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92DC6">
      <w:pPr>
        <w:spacing w:line="360" w:lineRule="auto"/>
        <w:jc w:val="center"/>
        <w:rPr>
          <w:rFonts w:hint="default" w:ascii="Times New Roman" w:hAnsi="Times New Roman" w:eastAsia="宋体" w:cs="Times New Roman"/>
          <w:sz w:val="36"/>
          <w:szCs w:val="36"/>
        </w:rPr>
      </w:pPr>
      <w:r>
        <w:rPr>
          <w:rFonts w:hint="default" w:ascii="Times New Roman" w:hAnsi="Times New Roman" w:eastAsia="宋体" w:cs="Times New Roman"/>
          <w:sz w:val="36"/>
          <w:szCs w:val="36"/>
        </w:rPr>
        <w:t>Supplementary Table S3. Definitions of diagnostic variables for value</w:t>
      </w:r>
      <w:r>
        <w:rPr>
          <w:rFonts w:hint="default" w:ascii="Times New Roman" w:hAnsi="Times New Roman" w:eastAsia="宋体" w:cs="Times New Roman"/>
          <w:sz w:val="36"/>
          <w:szCs w:val="36"/>
          <w:lang w:val="en-US" w:eastAsia="zh-CN"/>
        </w:rPr>
        <w:t>-</w:t>
      </w:r>
      <w:r>
        <w:rPr>
          <w:rFonts w:hint="default" w:ascii="Times New Roman" w:hAnsi="Times New Roman" w:eastAsia="宋体" w:cs="Times New Roman"/>
          <w:sz w:val="36"/>
          <w:szCs w:val="36"/>
        </w:rPr>
        <w:t>risk diagnosis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669"/>
        <w:gridCol w:w="1439"/>
        <w:gridCol w:w="1312"/>
        <w:gridCol w:w="3236"/>
        <w:gridCol w:w="2509"/>
        <w:gridCol w:w="2911"/>
      </w:tblGrid>
      <w:tr w14:paraId="64B5F983">
        <w:tc>
          <w:tcPr>
            <w:tcW w:w="1098" w:type="dxa"/>
            <w:shd w:val="clear" w:color="auto" w:fill="DBE3F4" w:themeFill="accent1" w:themeFillTint="32"/>
            <w:vAlign w:val="center"/>
          </w:tcPr>
          <w:p w14:paraId="3F7DACBF">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Variable code</w:t>
            </w:r>
          </w:p>
        </w:tc>
        <w:tc>
          <w:tcPr>
            <w:tcW w:w="1669" w:type="dxa"/>
            <w:shd w:val="clear" w:color="auto" w:fill="DBE3F4" w:themeFill="accent1" w:themeFillTint="32"/>
            <w:vAlign w:val="center"/>
          </w:tcPr>
          <w:p w14:paraId="55B20D12">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Diagnostic variable</w:t>
            </w:r>
          </w:p>
        </w:tc>
        <w:tc>
          <w:tcPr>
            <w:tcW w:w="1439" w:type="dxa"/>
            <w:shd w:val="clear" w:color="auto" w:fill="DBE3F4" w:themeFill="accent1" w:themeFillTint="32"/>
            <w:vAlign w:val="center"/>
          </w:tcPr>
          <w:p w14:paraId="4249F80C">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Chinese equivalent</w:t>
            </w:r>
          </w:p>
        </w:tc>
        <w:tc>
          <w:tcPr>
            <w:tcW w:w="1312" w:type="dxa"/>
            <w:shd w:val="clear" w:color="auto" w:fill="DBE3F4" w:themeFill="accent1" w:themeFillTint="32"/>
            <w:vAlign w:val="center"/>
          </w:tcPr>
          <w:p w14:paraId="0989BA95">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Attribute type</w:t>
            </w:r>
          </w:p>
        </w:tc>
        <w:tc>
          <w:tcPr>
            <w:tcW w:w="3236" w:type="dxa"/>
            <w:shd w:val="clear" w:color="auto" w:fill="DBE3F4" w:themeFill="accent1" w:themeFillTint="32"/>
            <w:vAlign w:val="center"/>
          </w:tcPr>
          <w:p w14:paraId="45582CBA">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Operational definition</w:t>
            </w:r>
          </w:p>
        </w:tc>
        <w:tc>
          <w:tcPr>
            <w:tcW w:w="2509" w:type="dxa"/>
            <w:shd w:val="clear" w:color="auto" w:fill="DBE3F4" w:themeFill="accent1" w:themeFillTint="32"/>
            <w:vAlign w:val="center"/>
          </w:tcPr>
          <w:p w14:paraId="496F50B1">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Main evidence sources</w:t>
            </w:r>
          </w:p>
        </w:tc>
        <w:tc>
          <w:tcPr>
            <w:tcW w:w="2911" w:type="dxa"/>
            <w:shd w:val="clear" w:color="auto" w:fill="DBE3F4" w:themeFill="accent1" w:themeFillTint="32"/>
            <w:vAlign w:val="center"/>
          </w:tcPr>
          <w:p w14:paraId="6D78F042">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bCs/>
                <w:kern w:val="0"/>
                <w:sz w:val="24"/>
                <w:szCs w:val="24"/>
                <w:lang w:val="en-US" w:eastAsia="zh-CN" w:bidi="ar"/>
              </w:rPr>
              <w:t>Scoring direction</w:t>
            </w:r>
          </w:p>
        </w:tc>
      </w:tr>
      <w:tr w14:paraId="4ADA02A8">
        <w:tc>
          <w:tcPr>
            <w:tcW w:w="1098" w:type="dxa"/>
            <w:vAlign w:val="center"/>
          </w:tcPr>
          <w:p w14:paraId="1C0140D2">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S</w:t>
            </w:r>
          </w:p>
        </w:tc>
        <w:tc>
          <w:tcPr>
            <w:tcW w:w="1669" w:type="dxa"/>
            <w:vAlign w:val="center"/>
          </w:tcPr>
          <w:p w14:paraId="68D1CC44">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Stability</w:t>
            </w:r>
          </w:p>
        </w:tc>
        <w:tc>
          <w:tcPr>
            <w:tcW w:w="1439" w:type="dxa"/>
            <w:vAlign w:val="center"/>
          </w:tcPr>
          <w:p w14:paraId="65B2F61D">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稳定性</w:t>
            </w:r>
          </w:p>
        </w:tc>
        <w:tc>
          <w:tcPr>
            <w:tcW w:w="1312" w:type="dxa"/>
            <w:vAlign w:val="center"/>
          </w:tcPr>
          <w:p w14:paraId="2B4BD560">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Value dimension</w:t>
            </w:r>
          </w:p>
        </w:tc>
        <w:tc>
          <w:tcPr>
            <w:tcW w:w="3236" w:type="dxa"/>
            <w:vAlign w:val="center"/>
          </w:tcPr>
          <w:p w14:paraId="6EB71447">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The degree to which a space gene has existed over time and whether its core spatial structure, spatial relationship and organisational logic remain intact under current rural renewal conditions.</w:t>
            </w:r>
          </w:p>
        </w:tc>
        <w:tc>
          <w:tcPr>
            <w:tcW w:w="2509" w:type="dxa"/>
            <w:vAlign w:val="center"/>
          </w:tcPr>
          <w:p w14:paraId="3B62FBA0">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Historical materials, field survey records, UAV images, spatial maps, settlement layout analysis, comparison of existing and planned spatial structures.</w:t>
            </w:r>
          </w:p>
        </w:tc>
        <w:tc>
          <w:tcPr>
            <w:tcW w:w="2911" w:type="dxa"/>
            <w:vAlign w:val="center"/>
          </w:tcPr>
          <w:p w14:paraId="588A1505">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A higher score indicates stronger historical continuity and better-preserved spatial structure.</w:t>
            </w:r>
          </w:p>
        </w:tc>
      </w:tr>
      <w:tr w14:paraId="5D00D8B5">
        <w:tc>
          <w:tcPr>
            <w:tcW w:w="1098" w:type="dxa"/>
            <w:vAlign w:val="center"/>
          </w:tcPr>
          <w:p w14:paraId="656FA378">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I</w:t>
            </w:r>
          </w:p>
        </w:tc>
        <w:tc>
          <w:tcPr>
            <w:tcW w:w="1669" w:type="dxa"/>
            <w:vAlign w:val="center"/>
          </w:tcPr>
          <w:p w14:paraId="1B381F4F">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Identifiability</w:t>
            </w:r>
          </w:p>
        </w:tc>
        <w:tc>
          <w:tcPr>
            <w:tcW w:w="1439" w:type="dxa"/>
            <w:vAlign w:val="center"/>
          </w:tcPr>
          <w:p w14:paraId="614C949C">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识别性</w:t>
            </w:r>
            <w:bookmarkStart w:id="0" w:name="_GoBack"/>
            <w:bookmarkEnd w:id="0"/>
          </w:p>
        </w:tc>
        <w:tc>
          <w:tcPr>
            <w:tcW w:w="1312" w:type="dxa"/>
            <w:vAlign w:val="center"/>
          </w:tcPr>
          <w:p w14:paraId="08DC151F">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Value dimension</w:t>
            </w:r>
          </w:p>
        </w:tc>
        <w:tc>
          <w:tcPr>
            <w:tcW w:w="3236" w:type="dxa"/>
            <w:vAlign w:val="center"/>
          </w:tcPr>
          <w:p w14:paraId="09F56132">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The degree to which a space gene can be recognised as a distinctive local spatial characteristic by villagers, researchers and spatial evidence. It reflects whether the feature contributes to local identity and place recognition.</w:t>
            </w:r>
          </w:p>
        </w:tc>
        <w:tc>
          <w:tcPr>
            <w:tcW w:w="2509" w:type="dxa"/>
            <w:vAlign w:val="center"/>
          </w:tcPr>
          <w:p w14:paraId="07D0D1F3">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Interviews, field photographs, villagers’ descriptions, spatial diagrams, public-node records, building and material surveys.</w:t>
            </w:r>
          </w:p>
        </w:tc>
        <w:tc>
          <w:tcPr>
            <w:tcW w:w="2911" w:type="dxa"/>
            <w:vAlign w:val="center"/>
          </w:tcPr>
          <w:p w14:paraId="495777A4">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A higher score indicates stronger local recognisability and clearer place-based distinctiveness.</w:t>
            </w:r>
          </w:p>
        </w:tc>
      </w:tr>
      <w:tr w14:paraId="5CF9B475">
        <w:tc>
          <w:tcPr>
            <w:tcW w:w="1098" w:type="dxa"/>
            <w:vAlign w:val="center"/>
          </w:tcPr>
          <w:p w14:paraId="76F1B9E0">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A</w:t>
            </w:r>
          </w:p>
        </w:tc>
        <w:tc>
          <w:tcPr>
            <w:tcW w:w="1669" w:type="dxa"/>
            <w:vAlign w:val="center"/>
          </w:tcPr>
          <w:p w14:paraId="12CDE2F6">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Relationality</w:t>
            </w:r>
          </w:p>
        </w:tc>
        <w:tc>
          <w:tcPr>
            <w:tcW w:w="1439" w:type="dxa"/>
            <w:vAlign w:val="center"/>
          </w:tcPr>
          <w:p w14:paraId="3BBB5C19">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关联性</w:t>
            </w:r>
          </w:p>
        </w:tc>
        <w:tc>
          <w:tcPr>
            <w:tcW w:w="1312" w:type="dxa"/>
            <w:vAlign w:val="center"/>
          </w:tcPr>
          <w:p w14:paraId="54418FCD">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Value dimension</w:t>
            </w:r>
          </w:p>
        </w:tc>
        <w:tc>
          <w:tcPr>
            <w:tcW w:w="3236" w:type="dxa"/>
            <w:vAlign w:val="center"/>
          </w:tcPr>
          <w:p w14:paraId="3598F6AA">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The degree to which a space gene is connected with other spatial elements, daily practices, public activities, ecological processes or settlement organisation. It reflects the functional and structural role of the space gene within the wider rural spatial order.</w:t>
            </w:r>
          </w:p>
        </w:tc>
        <w:tc>
          <w:tcPr>
            <w:tcW w:w="2509" w:type="dxa"/>
            <w:vAlign w:val="center"/>
          </w:tcPr>
          <w:p w14:paraId="661AE1B8">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GIS overlay analysis, field observation, behavioural records, interview materials, road and lane networks, public-space use records, courtyard and settlement relationship analysis.</w:t>
            </w:r>
          </w:p>
        </w:tc>
        <w:tc>
          <w:tcPr>
            <w:tcW w:w="2911" w:type="dxa"/>
            <w:vAlign w:val="center"/>
          </w:tcPr>
          <w:p w14:paraId="72EA0F5C">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A higher score indicates stronger connections with other spatial elements and everyday rural practices.</w:t>
            </w:r>
          </w:p>
        </w:tc>
      </w:tr>
      <w:tr w14:paraId="0FEF4FE7">
        <w:tc>
          <w:tcPr>
            <w:tcW w:w="1098" w:type="dxa"/>
            <w:vAlign w:val="center"/>
          </w:tcPr>
          <w:p w14:paraId="4D1489F0">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D</w:t>
            </w:r>
          </w:p>
        </w:tc>
        <w:tc>
          <w:tcPr>
            <w:tcW w:w="1669" w:type="dxa"/>
            <w:vAlign w:val="center"/>
          </w:tcPr>
          <w:p w14:paraId="227EBAF4">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Disturbance</w:t>
            </w:r>
          </w:p>
        </w:tc>
        <w:tc>
          <w:tcPr>
            <w:tcW w:w="1439" w:type="dxa"/>
            <w:vAlign w:val="center"/>
          </w:tcPr>
          <w:p w14:paraId="242023B8">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扰动性</w:t>
            </w:r>
          </w:p>
        </w:tc>
        <w:tc>
          <w:tcPr>
            <w:tcW w:w="1312" w:type="dxa"/>
            <w:vAlign w:val="center"/>
          </w:tcPr>
          <w:p w14:paraId="332652AE">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Risk dimension</w:t>
            </w:r>
          </w:p>
        </w:tc>
        <w:tc>
          <w:tcPr>
            <w:tcW w:w="3236" w:type="dxa"/>
            <w:vAlign w:val="center"/>
          </w:tcPr>
          <w:p w14:paraId="06B4C76F">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The degree to which a space gene is affected by rural renewal activities, including infrastructure construction, road upgrading, tourism development, public-space renewal, rural housing renovation, guesthouse conversion, industrial insertion and material replacement.</w:t>
            </w:r>
          </w:p>
        </w:tc>
        <w:tc>
          <w:tcPr>
            <w:tcW w:w="2509" w:type="dxa"/>
            <w:vAlign w:val="center"/>
          </w:tcPr>
          <w:p w14:paraId="7859EDD7">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Renewal project records, planning documents, field verification, photographs, UAV images, interviews, construction and renovation records.</w:t>
            </w:r>
          </w:p>
        </w:tc>
        <w:tc>
          <w:tcPr>
            <w:tcW w:w="2911" w:type="dxa"/>
            <w:vAlign w:val="center"/>
          </w:tcPr>
          <w:p w14:paraId="6CC96F1E">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val="0"/>
                <w:kern w:val="0"/>
                <w:sz w:val="24"/>
                <w:szCs w:val="24"/>
                <w:lang w:val="en-US" w:eastAsia="zh-CN" w:bidi="ar"/>
              </w:rPr>
              <w:t>A higher score indicates stronger disturbance and higher governance risk.</w:t>
            </w:r>
          </w:p>
        </w:tc>
      </w:tr>
    </w:tbl>
    <w:p w14:paraId="3F138807">
      <w:pPr>
        <w:jc w:val="center"/>
      </w:pPr>
    </w:p>
    <w:p w14:paraId="1B9C740A">
      <w:pPr>
        <w:jc w:val="center"/>
      </w:pPr>
    </w:p>
    <w:p w14:paraId="51637CA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Regular">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F5AAB"/>
    <w:rsid w:val="1E970A92"/>
    <w:rsid w:val="1F7F6591"/>
    <w:rsid w:val="2EFC75F9"/>
    <w:rsid w:val="2FE61FC2"/>
    <w:rsid w:val="76F74D23"/>
    <w:rsid w:val="EBCDFA12"/>
    <w:rsid w:val="EDFF5AAB"/>
    <w:rsid w:val="EFFDD3CE"/>
    <w:rsid w:val="F6BFA5A5"/>
    <w:rsid w:val="F6D31474"/>
    <w:rsid w:val="FFBA7EC0"/>
    <w:rsid w:val="FFFF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2026-09-02T03:47:00Z</dcterms:created>
  <dc:creator>刘畅</dc:creator>
  <cp:lastModifiedBy>刘畅</cp:lastModifiedBy>
  <dcterms:modified xsi:type="dcterms:W3CDTF">2026-09-04T12:11:55Z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5C12CFDA15BB111AD84A966ABE89E2A0_41</vt:lpwstr>
  </property>
</Properties>
</file>