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92DC6">
      <w:pPr>
        <w:spacing w:line="36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Supplementary Table S4. Five-point scoring criteria for value–risk diagnosis</w:t>
      </w:r>
    </w:p>
    <w:tbl>
      <w:tblPr>
        <w:tblStyle w:val="4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2994"/>
        <w:gridCol w:w="2327"/>
        <w:gridCol w:w="2429"/>
        <w:gridCol w:w="2429"/>
        <w:gridCol w:w="2432"/>
      </w:tblGrid>
      <w:tr w14:paraId="64B5F983">
        <w:trPr>
          <w:tblHeader/>
        </w:trPr>
        <w:tc>
          <w:tcPr>
            <w:tcW w:w="547" w:type="pct"/>
            <w:shd w:val="clear" w:color="auto" w:fill="DBE3F4" w:themeFill="accent1" w:themeFillTint="32"/>
            <w:vAlign w:val="center"/>
          </w:tcPr>
          <w:p w14:paraId="3F7DAC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Diagnostic variable</w:t>
            </w:r>
          </w:p>
        </w:tc>
        <w:tc>
          <w:tcPr>
            <w:tcW w:w="1056" w:type="pct"/>
            <w:shd w:val="clear" w:color="auto" w:fill="DBE3F4" w:themeFill="accent1" w:themeFillTint="32"/>
            <w:vAlign w:val="center"/>
          </w:tcPr>
          <w:p w14:paraId="55B20D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821" w:type="pct"/>
            <w:shd w:val="clear" w:color="auto" w:fill="DBE3F4" w:themeFill="accent1" w:themeFillTint="32"/>
            <w:vAlign w:val="center"/>
          </w:tcPr>
          <w:p w14:paraId="4249F8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857" w:type="pct"/>
            <w:shd w:val="clear" w:color="auto" w:fill="DBE3F4" w:themeFill="accent1" w:themeFillTint="32"/>
            <w:vAlign w:val="center"/>
          </w:tcPr>
          <w:p w14:paraId="0989BA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57" w:type="pct"/>
            <w:shd w:val="clear" w:color="auto" w:fill="DBE3F4" w:themeFill="accent1" w:themeFillTint="32"/>
            <w:vAlign w:val="center"/>
          </w:tcPr>
          <w:p w14:paraId="45582C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58" w:type="pct"/>
            <w:shd w:val="clear" w:color="auto" w:fill="DBE3F4" w:themeFill="accent1" w:themeFillTint="32"/>
            <w:vAlign w:val="center"/>
          </w:tcPr>
          <w:p w14:paraId="496F50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4ADA02A8">
        <w:tc>
          <w:tcPr>
            <w:tcW w:w="547" w:type="pct"/>
            <w:vAlign w:val="center"/>
          </w:tcPr>
          <w:p w14:paraId="1C0140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Stability</w:t>
            </w:r>
          </w:p>
        </w:tc>
        <w:tc>
          <w:tcPr>
            <w:tcW w:w="1056" w:type="pct"/>
            <w:vAlign w:val="center"/>
          </w:tcPr>
          <w:p w14:paraId="68D1CC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The space gene has existed over a long period; its core spatial structure is intact and the overall relationship is clearly maintained.</w:t>
            </w:r>
          </w:p>
        </w:tc>
        <w:tc>
          <w:tcPr>
            <w:tcW w:w="821" w:type="pct"/>
            <w:vAlign w:val="center"/>
          </w:tcPr>
          <w:p w14:paraId="65B2F6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The space gene has existed over a long period; its spatial structure is generally intact with only minor local changes.</w:t>
            </w:r>
          </w:p>
        </w:tc>
        <w:tc>
          <w:tcPr>
            <w:tcW w:w="857" w:type="pct"/>
            <w:vAlign w:val="center"/>
          </w:tcPr>
          <w:p w14:paraId="2B4BD5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The space gene is partially retained; its core structure remains recognisable but its integrity has been weakened.</w:t>
            </w:r>
          </w:p>
        </w:tc>
        <w:tc>
          <w:tcPr>
            <w:tcW w:w="857" w:type="pct"/>
            <w:vAlign w:val="center"/>
          </w:tcPr>
          <w:p w14:paraId="6EB714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Only limited spatial relations remain; the overall structure has been substantially damaged.</w:t>
            </w:r>
          </w:p>
        </w:tc>
        <w:tc>
          <w:tcPr>
            <w:tcW w:w="858" w:type="pct"/>
            <w:vAlign w:val="center"/>
          </w:tcPr>
          <w:p w14:paraId="3B62FB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The original spatial structure has largely disappeared and is difficult to identify.</w:t>
            </w:r>
          </w:p>
        </w:tc>
      </w:tr>
      <w:tr w14:paraId="5D00D8B5">
        <w:tc>
          <w:tcPr>
            <w:tcW w:w="547" w:type="pct"/>
            <w:vAlign w:val="center"/>
          </w:tcPr>
          <w:p w14:paraId="656FA3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Identifiability</w:t>
            </w:r>
          </w:p>
        </w:tc>
        <w:tc>
          <w:tcPr>
            <w:tcW w:w="1056" w:type="pct"/>
            <w:vAlign w:val="center"/>
          </w:tcPr>
          <w:p w14:paraId="1B381F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Clearly recognised by both villagers and spatial evidence as a distinctive local characteristic.</w:t>
            </w:r>
          </w:p>
        </w:tc>
        <w:tc>
          <w:tcPr>
            <w:tcW w:w="821" w:type="pct"/>
            <w:vAlign w:val="center"/>
          </w:tcPr>
          <w:p w14:paraId="614C94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Recognised by most villagers and spatial evidence as a relatively clear local characteristic.</w:t>
            </w:r>
          </w:p>
        </w:tc>
        <w:tc>
          <w:tcPr>
            <w:tcW w:w="857" w:type="pct"/>
            <w:vAlign w:val="center"/>
          </w:tcPr>
          <w:p w14:paraId="08DC1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Mainly identified by researchers or spatial analysis; villagers’ recognition is moderate.</w:t>
            </w:r>
          </w:p>
        </w:tc>
        <w:tc>
          <w:tcPr>
            <w:tcW w:w="857" w:type="pct"/>
            <w:vAlign w:val="center"/>
          </w:tcPr>
          <w:p w14:paraId="09F561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Recognised only by a few respondents or in limited spatial evidence; the feature is ambiguous.</w:t>
            </w:r>
          </w:p>
        </w:tc>
        <w:tc>
          <w:tcPr>
            <w:tcW w:w="858" w:type="pct"/>
            <w:vAlign w:val="center"/>
          </w:tcPr>
          <w:p w14:paraId="07D0D1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Weakly recognised by villagers and spatial evidence; local distinctiveness is unclear.</w:t>
            </w:r>
          </w:p>
        </w:tc>
      </w:tr>
      <w:tr w14:paraId="5CF9B475">
        <w:tc>
          <w:tcPr>
            <w:tcW w:w="547" w:type="pct"/>
            <w:vAlign w:val="center"/>
          </w:tcPr>
          <w:p w14:paraId="76F1B9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Relationality</w:t>
            </w:r>
          </w:p>
        </w:tc>
        <w:tc>
          <w:tcPr>
            <w:tcW w:w="1056" w:type="pct"/>
            <w:vAlign w:val="center"/>
          </w:tcPr>
          <w:p w14:paraId="12CDE2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Strongly connected with multiple spatial elements and everyday practices; plays a key role in maintaining overall spatial order.</w:t>
            </w:r>
          </w:p>
        </w:tc>
        <w:tc>
          <w:tcPr>
            <w:tcW w:w="821" w:type="pct"/>
            <w:vAlign w:val="center"/>
          </w:tcPr>
          <w:p w14:paraId="3BBB5C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Connected with several spatial elements or major everyday practices; relational role is relatively strong.</w:t>
            </w:r>
          </w:p>
        </w:tc>
        <w:tc>
          <w:tcPr>
            <w:tcW w:w="857" w:type="pct"/>
            <w:vAlign w:val="center"/>
          </w:tcPr>
          <w:p w14:paraId="54418F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Connected with some spatial elements or local activities; relational role is moderate.</w:t>
            </w:r>
          </w:p>
        </w:tc>
        <w:tc>
          <w:tcPr>
            <w:tcW w:w="857" w:type="pct"/>
            <w:vAlign w:val="center"/>
          </w:tcPr>
          <w:p w14:paraId="3598F6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Connected only with limited spatial elements or single activities; relational role is weak.</w:t>
            </w:r>
          </w:p>
        </w:tc>
        <w:tc>
          <w:tcPr>
            <w:tcW w:w="858" w:type="pct"/>
            <w:vAlign w:val="center"/>
          </w:tcPr>
          <w:p w14:paraId="661AE1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Largely isolated from other spatial elements and everyday practices.</w:t>
            </w:r>
          </w:p>
        </w:tc>
      </w:tr>
      <w:tr w14:paraId="0FEF4FE7">
        <w:tc>
          <w:tcPr>
            <w:tcW w:w="547" w:type="pct"/>
            <w:vAlign w:val="center"/>
          </w:tcPr>
          <w:p w14:paraId="4D1489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Disturbance</w:t>
            </w:r>
          </w:p>
        </w:tc>
        <w:tc>
          <w:tcPr>
            <w:tcW w:w="1056" w:type="pct"/>
            <w:vAlign w:val="center"/>
          </w:tcPr>
          <w:p w14:paraId="227EBA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Strongly affected by multiple renewal activities, such as road upgrading, tourism development, housing renovation, industrial insertion or material replacement.</w:t>
            </w:r>
          </w:p>
        </w:tc>
        <w:tc>
          <w:tcPr>
            <w:tcW w:w="821" w:type="pct"/>
            <w:vAlign w:val="center"/>
          </w:tcPr>
          <w:p w14:paraId="242023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Continuously affected by two or three types of renewal activities; disturbance is relatively strong.</w:t>
            </w:r>
          </w:p>
        </w:tc>
        <w:tc>
          <w:tcPr>
            <w:tcW w:w="857" w:type="pct"/>
            <w:vAlign w:val="center"/>
          </w:tcPr>
          <w:p w14:paraId="332652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Affected by one type or localised renewal activity; disturbance is moderate.</w:t>
            </w:r>
          </w:p>
        </w:tc>
        <w:tc>
          <w:tcPr>
            <w:tcW w:w="857" w:type="pct"/>
            <w:vAlign w:val="center"/>
          </w:tcPr>
          <w:p w14:paraId="06B4C7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Slightly affected by renewal activity; overall change is limited.</w:t>
            </w:r>
          </w:p>
        </w:tc>
        <w:tc>
          <w:tcPr>
            <w:tcW w:w="858" w:type="pct"/>
            <w:vAlign w:val="center"/>
          </w:tcPr>
          <w:p w14:paraId="7859ED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No clear disturbance from construction or renewal activities.</w:t>
            </w:r>
          </w:p>
        </w:tc>
      </w:tr>
    </w:tbl>
    <w:p w14:paraId="2A335ABC">
      <w:pPr>
        <w:pStyle w:val="2"/>
        <w:keepNext w:val="0"/>
        <w:keepLines w:val="0"/>
        <w:widowControl/>
        <w:suppressLineNumbers w:val="0"/>
      </w:pPr>
      <w:r>
        <w:rPr>
          <w:rStyle w:val="6"/>
        </w:rPr>
        <w:t>Note:</w:t>
      </w:r>
      <w:r>
        <w:t xml:space="preserve"> Stability, identifiability an</w:t>
      </w:r>
      <w:bookmarkStart w:id="0" w:name="_GoBack"/>
      <w:bookmarkEnd w:id="0"/>
      <w:r>
        <w:t>d relationality were treated as value dimensions. Disturbance was treated as the risk dimension.</w:t>
      </w:r>
    </w:p>
    <w:p w14:paraId="7ABA6767">
      <w:pPr>
        <w:keepNext w:val="0"/>
        <w:keepLines w:val="0"/>
        <w:widowControl/>
        <w:suppressLineNumbers w:val="0"/>
      </w:pPr>
    </w:p>
    <w:p w14:paraId="0126703B">
      <w:pPr>
        <w:keepNext w:val="0"/>
        <w:keepLines w:val="0"/>
        <w:widowControl/>
        <w:suppressLineNumbers w:val="0"/>
      </w:pPr>
    </w:p>
    <w:p w14:paraId="2B445004">
      <w:pPr>
        <w:keepNext w:val="0"/>
        <w:keepLines w:val="0"/>
        <w:widowControl/>
        <w:suppressLineNumbers w:val="0"/>
      </w:pPr>
    </w:p>
    <w:p w14:paraId="66DD34EE">
      <w:pPr>
        <w:keepNext w:val="0"/>
        <w:keepLines w:val="0"/>
        <w:widowControl/>
        <w:suppressLineNumbers w:val="0"/>
      </w:pPr>
    </w:p>
    <w:p w14:paraId="6255DCB5">
      <w:pPr>
        <w:keepNext w:val="0"/>
        <w:keepLines w:val="0"/>
        <w:widowControl/>
        <w:suppressLineNumbers w:val="0"/>
      </w:pPr>
    </w:p>
    <w:p w14:paraId="4FF971C8">
      <w:pPr>
        <w:keepNext w:val="0"/>
        <w:keepLines w:val="0"/>
        <w:widowControl/>
        <w:suppressLineNumbers w:val="0"/>
      </w:pPr>
    </w:p>
    <w:p w14:paraId="0054BD06">
      <w:pPr>
        <w:keepNext w:val="0"/>
        <w:keepLines w:val="0"/>
        <w:widowControl/>
        <w:suppressLineNumbers w:val="0"/>
      </w:pPr>
    </w:p>
    <w:p w14:paraId="56A174F7">
      <w:pPr>
        <w:keepNext w:val="0"/>
        <w:keepLines w:val="0"/>
        <w:widowControl/>
        <w:suppressLineNumbers w:val="0"/>
      </w:pPr>
    </w:p>
    <w:p w14:paraId="34FC0FDD">
      <w:pPr>
        <w:keepNext w:val="0"/>
        <w:keepLines w:val="0"/>
        <w:widowControl/>
        <w:suppressLineNumbers w:val="0"/>
      </w:pPr>
    </w:p>
    <w:p w14:paraId="622A898E">
      <w:pPr>
        <w:keepNext w:val="0"/>
        <w:keepLines w:val="0"/>
        <w:widowControl/>
        <w:suppressLineNumbers w:val="0"/>
      </w:pPr>
    </w:p>
    <w:p w14:paraId="4ABB7B11">
      <w:pPr>
        <w:keepNext w:val="0"/>
        <w:keepLines w:val="0"/>
        <w:widowControl/>
        <w:suppressLineNumbers w:val="0"/>
      </w:pPr>
    </w:p>
    <w:p w14:paraId="5B9807FE">
      <w:pPr>
        <w:keepNext w:val="0"/>
        <w:keepLines w:val="0"/>
        <w:widowControl/>
        <w:suppressLineNumbers w:val="0"/>
      </w:pPr>
    </w:p>
    <w:p w14:paraId="775772A6">
      <w:pPr>
        <w:keepNext w:val="0"/>
        <w:keepLines w:val="0"/>
        <w:widowControl/>
        <w:suppressLineNumbers w:val="0"/>
      </w:pPr>
    </w:p>
    <w:p w14:paraId="2D6849B5">
      <w:pPr>
        <w:keepNext w:val="0"/>
        <w:keepLines w:val="0"/>
        <w:widowControl/>
        <w:suppressLineNumbers w:val="0"/>
      </w:pPr>
    </w:p>
    <w:p w14:paraId="2EEED524">
      <w:pPr>
        <w:keepNext w:val="0"/>
        <w:keepLines w:val="0"/>
        <w:widowControl/>
        <w:suppressLineNumbers w:val="0"/>
      </w:pPr>
    </w:p>
    <w:p w14:paraId="4D1F8E75">
      <w:pPr>
        <w:keepNext w:val="0"/>
        <w:keepLines w:val="0"/>
        <w:widowControl/>
        <w:suppressLineNumbers w:val="0"/>
      </w:pPr>
    </w:p>
    <w:p w14:paraId="187AD2D4">
      <w:pPr>
        <w:keepNext w:val="0"/>
        <w:keepLines w:val="0"/>
        <w:widowControl/>
        <w:suppressLineNumbers w:val="0"/>
      </w:pPr>
    </w:p>
    <w:p w14:paraId="760ED980">
      <w:pPr>
        <w:keepNext w:val="0"/>
        <w:keepLines w:val="0"/>
        <w:widowControl/>
        <w:suppressLineNumbers w:val="0"/>
      </w:pPr>
    </w:p>
    <w:p w14:paraId="51637CA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5AAB"/>
    <w:rsid w:val="1E970A92"/>
    <w:rsid w:val="1F7F6591"/>
    <w:rsid w:val="2EFC75F9"/>
    <w:rsid w:val="2FE61FC2"/>
    <w:rsid w:val="3FF713CA"/>
    <w:rsid w:val="53E34B24"/>
    <w:rsid w:val="76F74D23"/>
    <w:rsid w:val="7BFDC5A2"/>
    <w:rsid w:val="DFDBD1F3"/>
    <w:rsid w:val="EDFF5AAB"/>
    <w:rsid w:val="EFFDD3CE"/>
    <w:rsid w:val="F6BFA5A5"/>
    <w:rsid w:val="F6D31474"/>
    <w:rsid w:val="F6FA4747"/>
    <w:rsid w:val="FB4BB322"/>
    <w:rsid w:val="FFBA7EC0"/>
    <w:rsid w:val="FF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2026-09-02T19:47:00Z</dcterms:created>
  <dc:creator>刘畅</dc:creator>
  <cp:lastModifiedBy>刘畅</cp:lastModifiedBy>
  <dcterms:modified xsi:type="dcterms:W3CDTF">2026-09-04T12:12:12Z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5C12CFDA15BB111AD84A966ABE89E2A0_41</vt:lpwstr>
  </property>
</Properties>
</file>