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AD2D4">
      <w:pPr>
        <w:keepNext w:val="0"/>
        <w:keepLines w:val="0"/>
        <w:widowControl/>
        <w:suppressLineNumbers w:val="0"/>
      </w:pPr>
    </w:p>
    <w:p w14:paraId="760ED980">
      <w:pPr>
        <w:keepNext w:val="0"/>
        <w:keepLines w:val="0"/>
        <w:widowControl/>
        <w:suppressLineNumbers w:val="0"/>
      </w:pPr>
    </w:p>
    <w:p w14:paraId="40CB23C2">
      <w:pPr>
        <w:keepNext w:val="0"/>
        <w:keepLines w:val="0"/>
        <w:widowControl/>
        <w:suppressLineNumbers w:val="0"/>
      </w:pPr>
    </w:p>
    <w:p w14:paraId="774C1A46">
      <w:pPr>
        <w:spacing w:line="360" w:lineRule="auto"/>
        <w:jc w:val="center"/>
        <w:rPr>
          <w:rFonts w:hint="default" w:ascii="Times New Roman" w:hAnsi="Times New Roman" w:eastAsia="宋体" w:cs="Times New Roman"/>
          <w:color w:val="auto"/>
          <w:sz w:val="36"/>
          <w:szCs w:val="36"/>
        </w:rPr>
      </w:pPr>
      <w:r>
        <w:rPr>
          <w:rFonts w:hint="default" w:ascii="Times New Roman" w:hAnsi="Times New Roman" w:eastAsia="宋体" w:cs="Times New Roman"/>
          <w:color w:val="auto"/>
          <w:sz w:val="36"/>
          <w:szCs w:val="36"/>
          <w:lang w:val="en-US" w:eastAsia="zh-CN"/>
        </w:rPr>
        <w:t>Supplementary Table S5. Dual-coder scoring records and final value–risk calculation</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1962"/>
        <w:gridCol w:w="1503"/>
        <w:gridCol w:w="1172"/>
        <w:gridCol w:w="1452"/>
        <w:gridCol w:w="1236"/>
        <w:gridCol w:w="1006"/>
        <w:gridCol w:w="3781"/>
      </w:tblGrid>
      <w:tr w14:paraId="5AC776D5">
        <w:tc>
          <w:tcPr>
            <w:tcW w:w="2062" w:type="dxa"/>
            <w:shd w:val="clear" w:color="auto" w:fill="DBE3F4" w:themeFill="accent1" w:themeFillTint="32"/>
            <w:vAlign w:val="center"/>
          </w:tcPr>
          <w:p w14:paraId="478E1A89">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Space gene category</w:t>
            </w:r>
          </w:p>
        </w:tc>
        <w:tc>
          <w:tcPr>
            <w:tcW w:w="1962" w:type="dxa"/>
            <w:shd w:val="clear" w:color="auto" w:fill="DBE3F4" w:themeFill="accent1" w:themeFillTint="32"/>
            <w:vAlign w:val="center"/>
          </w:tcPr>
          <w:p w14:paraId="78839BFB">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Governance attribute</w:t>
            </w:r>
          </w:p>
        </w:tc>
        <w:tc>
          <w:tcPr>
            <w:tcW w:w="1503" w:type="dxa"/>
            <w:shd w:val="clear" w:color="auto" w:fill="DBE3F4" w:themeFill="accent1" w:themeFillTint="32"/>
            <w:vAlign w:val="center"/>
          </w:tcPr>
          <w:p w14:paraId="5B223BDE">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Coder</w:t>
            </w:r>
          </w:p>
        </w:tc>
        <w:tc>
          <w:tcPr>
            <w:tcW w:w="1172" w:type="dxa"/>
            <w:shd w:val="clear" w:color="auto" w:fill="DBE3F4" w:themeFill="accent1" w:themeFillTint="32"/>
            <w:vAlign w:val="center"/>
          </w:tcPr>
          <w:p w14:paraId="2BA73BEE">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Stability (S)</w:t>
            </w:r>
          </w:p>
        </w:tc>
        <w:tc>
          <w:tcPr>
            <w:tcW w:w="1452" w:type="dxa"/>
            <w:shd w:val="clear" w:color="auto" w:fill="DBE3F4" w:themeFill="accent1" w:themeFillTint="32"/>
            <w:vAlign w:val="center"/>
          </w:tcPr>
          <w:p w14:paraId="7C81A57C">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Identifiability (I)</w:t>
            </w:r>
          </w:p>
        </w:tc>
        <w:tc>
          <w:tcPr>
            <w:tcW w:w="1236" w:type="dxa"/>
            <w:shd w:val="clear" w:color="auto" w:fill="DBE3F4" w:themeFill="accent1" w:themeFillTint="32"/>
            <w:vAlign w:val="center"/>
          </w:tcPr>
          <w:p w14:paraId="4D08B486">
            <w:pPr>
              <w:keepNext w:val="0"/>
              <w:keepLines w:val="0"/>
              <w:widowControl/>
              <w:suppressLineNumbers w:val="0"/>
              <w:spacing w:line="240" w:lineRule="auto"/>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Relationality (A)</w:t>
            </w:r>
          </w:p>
        </w:tc>
        <w:tc>
          <w:tcPr>
            <w:tcW w:w="1006" w:type="dxa"/>
            <w:shd w:val="clear" w:color="auto" w:fill="DBE3F4" w:themeFill="accent1" w:themeFillTint="32"/>
            <w:vAlign w:val="center"/>
          </w:tcPr>
          <w:p w14:paraId="456A8F86">
            <w:pPr>
              <w:keepNext w:val="0"/>
              <w:keepLines w:val="0"/>
              <w:widowControl/>
              <w:suppressLineNumbers w:val="0"/>
              <w:spacing w:line="240" w:lineRule="auto"/>
              <w:jc w:val="center"/>
              <w:rPr>
                <w:rFonts w:hint="default" w:ascii="Times New Roman Regular" w:hAnsi="Times New Roman Regular" w:eastAsia="宋体" w:cs="Times New Roman Regular"/>
                <w:b w:val="0"/>
                <w:bCs/>
                <w:kern w:val="0"/>
                <w:sz w:val="24"/>
                <w:szCs w:val="24"/>
                <w:lang w:val="en-US" w:eastAsia="zh-CN" w:bidi="ar"/>
              </w:rPr>
            </w:pPr>
            <w:r>
              <w:rPr>
                <w:rFonts w:hint="default" w:ascii="Times New Roman Regular" w:hAnsi="Times New Roman Regular" w:eastAsia="宋体" w:cs="Times New Roman Regular"/>
                <w:b/>
                <w:bCs/>
                <w:kern w:val="0"/>
                <w:sz w:val="24"/>
                <w:szCs w:val="24"/>
                <w:lang w:val="en-US" w:eastAsia="zh-CN" w:bidi="ar"/>
              </w:rPr>
              <w:t>Disturbance (D)</w:t>
            </w:r>
          </w:p>
        </w:tc>
        <w:tc>
          <w:tcPr>
            <w:tcW w:w="3781" w:type="dxa"/>
            <w:shd w:val="clear" w:color="auto" w:fill="DBE3F4" w:themeFill="accent1" w:themeFillTint="32"/>
            <w:vAlign w:val="center"/>
          </w:tcPr>
          <w:p w14:paraId="311CFB74">
            <w:pPr>
              <w:keepNext w:val="0"/>
              <w:keepLines w:val="0"/>
              <w:widowControl/>
              <w:suppressLineNumbers w:val="0"/>
              <w:spacing w:line="240" w:lineRule="auto"/>
              <w:jc w:val="center"/>
              <w:rPr>
                <w:rFonts w:hint="default" w:ascii="Times New Roman Regular" w:hAnsi="Times New Roman Regular" w:eastAsia="宋体" w:cs="Times New Roman Regular"/>
                <w:b w:val="0"/>
                <w:bCs/>
                <w:kern w:val="0"/>
                <w:sz w:val="24"/>
                <w:szCs w:val="24"/>
                <w:lang w:val="en-US" w:eastAsia="zh-CN" w:bidi="ar"/>
              </w:rPr>
            </w:pPr>
            <w:r>
              <w:rPr>
                <w:rFonts w:hint="default" w:ascii="Times New Roman Regular" w:hAnsi="Times New Roman Regular" w:eastAsia="宋体" w:cs="Times New Roman Regular"/>
                <w:b/>
                <w:bCs/>
                <w:kern w:val="0"/>
                <w:sz w:val="24"/>
                <w:szCs w:val="24"/>
                <w:lang w:val="en-US" w:eastAsia="zh-CN" w:bidi="ar"/>
              </w:rPr>
              <w:t>Notes on evidence</w:t>
            </w:r>
          </w:p>
        </w:tc>
      </w:tr>
      <w:tr w14:paraId="33B0C27B">
        <w:tc>
          <w:tcPr>
            <w:tcW w:w="2062" w:type="dxa"/>
            <w:vAlign w:val="center"/>
          </w:tcPr>
          <w:p w14:paraId="0926E210">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Mountain/forest–village–farmland–water spatial-pattern gene</w:t>
            </w:r>
          </w:p>
        </w:tc>
        <w:tc>
          <w:tcPr>
            <w:tcW w:w="1962" w:type="dxa"/>
            <w:vAlign w:val="center"/>
          </w:tcPr>
          <w:p w14:paraId="1452DE6D">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Control boundary</w:t>
            </w:r>
          </w:p>
        </w:tc>
        <w:tc>
          <w:tcPr>
            <w:tcW w:w="1503" w:type="dxa"/>
            <w:vAlign w:val="center"/>
          </w:tcPr>
          <w:p w14:paraId="07541EA8">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Coder 1</w:t>
            </w:r>
          </w:p>
        </w:tc>
        <w:tc>
          <w:tcPr>
            <w:tcW w:w="1172" w:type="dxa"/>
            <w:vAlign w:val="center"/>
          </w:tcPr>
          <w:p w14:paraId="22E85AFB">
            <w:pPr>
              <w:keepNext w:val="0"/>
              <w:keepLines w:val="0"/>
              <w:widowControl/>
              <w:suppressLineNumbers w:val="0"/>
              <w:spacing w:line="240" w:lineRule="auto"/>
              <w:jc w:val="right"/>
              <w:rPr>
                <w:rFonts w:hint="eastAsia" w:ascii="Times New Roman Regular" w:hAnsi="Times New Roman Regular" w:cs="Times New Roman Regular" w:eastAsiaTheme="minorEastAsia"/>
                <w:b w:val="0"/>
                <w:sz w:val="24"/>
                <w:szCs w:val="24"/>
                <w:vertAlign w:val="baseline"/>
                <w:lang w:val="en-US" w:eastAsia="zh-CN"/>
              </w:rPr>
            </w:pPr>
            <w:r>
              <w:rPr>
                <w:rFonts w:hint="eastAsia" w:ascii="Times New Roman Regular" w:hAnsi="Times New Roman Regular" w:cs="Times New Roman Regular"/>
                <w:b w:val="0"/>
                <w:sz w:val="24"/>
                <w:szCs w:val="24"/>
                <w:vertAlign w:val="baseline"/>
                <w:lang w:val="en-US" w:eastAsia="zh-CN"/>
              </w:rPr>
              <w:t>5</w:t>
            </w:r>
          </w:p>
        </w:tc>
        <w:tc>
          <w:tcPr>
            <w:tcW w:w="1452" w:type="dxa"/>
            <w:vAlign w:val="center"/>
          </w:tcPr>
          <w:p w14:paraId="70EBB605">
            <w:pPr>
              <w:keepNext w:val="0"/>
              <w:keepLines w:val="0"/>
              <w:widowControl/>
              <w:suppressLineNumbers w:val="0"/>
              <w:spacing w:line="240" w:lineRule="auto"/>
              <w:jc w:val="right"/>
              <w:rPr>
                <w:rFonts w:hint="eastAsia" w:ascii="Times New Roman Regular" w:hAnsi="Times New Roman Regular" w:cs="Times New Roman Regular" w:eastAsiaTheme="minorEastAsia"/>
                <w:b w:val="0"/>
                <w:sz w:val="24"/>
                <w:szCs w:val="24"/>
                <w:vertAlign w:val="baseline"/>
                <w:lang w:val="en-US" w:eastAsia="zh-CN"/>
              </w:rPr>
            </w:pPr>
            <w:r>
              <w:rPr>
                <w:rFonts w:hint="eastAsia" w:ascii="Times New Roman Regular" w:hAnsi="Times New Roman Regular" w:cs="Times New Roman Regular"/>
                <w:b w:val="0"/>
                <w:sz w:val="24"/>
                <w:szCs w:val="24"/>
                <w:vertAlign w:val="baseline"/>
                <w:lang w:val="en-US" w:eastAsia="zh-CN"/>
              </w:rPr>
              <w:t>5</w:t>
            </w:r>
          </w:p>
        </w:tc>
        <w:tc>
          <w:tcPr>
            <w:tcW w:w="1236" w:type="dxa"/>
            <w:vAlign w:val="center"/>
          </w:tcPr>
          <w:p w14:paraId="72ABD6F7">
            <w:pPr>
              <w:keepNext w:val="0"/>
              <w:keepLines w:val="0"/>
              <w:widowControl/>
              <w:suppressLineNumbers w:val="0"/>
              <w:spacing w:line="240" w:lineRule="auto"/>
              <w:jc w:val="right"/>
              <w:rPr>
                <w:rFonts w:hint="eastAsia" w:ascii="Times New Roman Regular" w:hAnsi="Times New Roman Regular" w:cs="Times New Roman Regular" w:eastAsiaTheme="minorEastAsia"/>
                <w:b w:val="0"/>
                <w:sz w:val="24"/>
                <w:szCs w:val="24"/>
                <w:vertAlign w:val="baseline"/>
                <w:lang w:val="en-US" w:eastAsia="zh-CN"/>
              </w:rPr>
            </w:pPr>
            <w:r>
              <w:rPr>
                <w:rFonts w:hint="eastAsia" w:ascii="Times New Roman Regular" w:hAnsi="Times New Roman Regular" w:cs="Times New Roman Regular"/>
                <w:b w:val="0"/>
                <w:sz w:val="24"/>
                <w:szCs w:val="24"/>
                <w:vertAlign w:val="baseline"/>
                <w:lang w:val="en-US" w:eastAsia="zh-CN"/>
              </w:rPr>
              <w:t>5</w:t>
            </w:r>
          </w:p>
        </w:tc>
        <w:tc>
          <w:tcPr>
            <w:tcW w:w="1006" w:type="dxa"/>
            <w:vAlign w:val="center"/>
          </w:tcPr>
          <w:p w14:paraId="48EF7CB3">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2</w:t>
            </w:r>
          </w:p>
        </w:tc>
        <w:tc>
          <w:tcPr>
            <w:tcW w:w="3781" w:type="dxa"/>
            <w:vAlign w:val="center"/>
          </w:tcPr>
          <w:p w14:paraId="0F37B557">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Spatial maps, UAV images, field photographs, planning documents, interviews</w:t>
            </w:r>
          </w:p>
        </w:tc>
      </w:tr>
      <w:tr w14:paraId="30BBEDCD">
        <w:tc>
          <w:tcPr>
            <w:tcW w:w="2062" w:type="dxa"/>
            <w:vAlign w:val="center"/>
          </w:tcPr>
          <w:p w14:paraId="4877D325">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Mountain/forest–village–farmland–water spatial-pattern gene</w:t>
            </w:r>
          </w:p>
        </w:tc>
        <w:tc>
          <w:tcPr>
            <w:tcW w:w="1962" w:type="dxa"/>
            <w:vAlign w:val="center"/>
          </w:tcPr>
          <w:p w14:paraId="6FF6182D">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Control boundary</w:t>
            </w:r>
          </w:p>
        </w:tc>
        <w:tc>
          <w:tcPr>
            <w:tcW w:w="1503" w:type="dxa"/>
            <w:vAlign w:val="center"/>
          </w:tcPr>
          <w:p w14:paraId="27A67924">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Coder 2</w:t>
            </w:r>
          </w:p>
        </w:tc>
        <w:tc>
          <w:tcPr>
            <w:tcW w:w="1172" w:type="dxa"/>
            <w:vAlign w:val="center"/>
          </w:tcPr>
          <w:p w14:paraId="263CABFC">
            <w:pPr>
              <w:keepNext w:val="0"/>
              <w:keepLines w:val="0"/>
              <w:widowControl/>
              <w:suppressLineNumbers w:val="0"/>
              <w:spacing w:line="240" w:lineRule="auto"/>
              <w:jc w:val="right"/>
              <w:rPr>
                <w:rFonts w:hint="eastAsia" w:ascii="Times New Roman Regular" w:hAnsi="Times New Roman Regular" w:cs="Times New Roman Regular" w:eastAsiaTheme="minorEastAsia"/>
                <w:b w:val="0"/>
                <w:sz w:val="24"/>
                <w:szCs w:val="24"/>
                <w:vertAlign w:val="baseline"/>
                <w:lang w:val="en-US" w:eastAsia="zh-CN"/>
              </w:rPr>
            </w:pPr>
            <w:r>
              <w:rPr>
                <w:rFonts w:hint="eastAsia" w:ascii="Times New Roman Regular" w:hAnsi="Times New Roman Regular" w:cs="Times New Roman Regular"/>
                <w:b w:val="0"/>
                <w:sz w:val="24"/>
                <w:szCs w:val="24"/>
                <w:vertAlign w:val="baseline"/>
                <w:lang w:val="en-US" w:eastAsia="zh-CN"/>
              </w:rPr>
              <w:t>5</w:t>
            </w:r>
          </w:p>
        </w:tc>
        <w:tc>
          <w:tcPr>
            <w:tcW w:w="1452" w:type="dxa"/>
            <w:vAlign w:val="center"/>
          </w:tcPr>
          <w:p w14:paraId="48C456E5">
            <w:pPr>
              <w:keepNext w:val="0"/>
              <w:keepLines w:val="0"/>
              <w:widowControl/>
              <w:suppressLineNumbers w:val="0"/>
              <w:spacing w:line="240" w:lineRule="auto"/>
              <w:jc w:val="right"/>
              <w:rPr>
                <w:rFonts w:hint="eastAsia" w:ascii="Times New Roman Regular" w:hAnsi="Times New Roman Regular" w:cs="Times New Roman Regular" w:eastAsiaTheme="minorEastAsia"/>
                <w:b w:val="0"/>
                <w:sz w:val="24"/>
                <w:szCs w:val="24"/>
                <w:vertAlign w:val="baseline"/>
                <w:lang w:val="en-US" w:eastAsia="zh-CN"/>
              </w:rPr>
            </w:pPr>
            <w:r>
              <w:rPr>
                <w:rFonts w:hint="eastAsia" w:ascii="Times New Roman Regular" w:hAnsi="Times New Roman Regular" w:cs="Times New Roman Regular"/>
                <w:b w:val="0"/>
                <w:sz w:val="24"/>
                <w:szCs w:val="24"/>
                <w:vertAlign w:val="baseline"/>
                <w:lang w:val="en-US" w:eastAsia="zh-CN"/>
              </w:rPr>
              <w:t>5</w:t>
            </w:r>
          </w:p>
        </w:tc>
        <w:tc>
          <w:tcPr>
            <w:tcW w:w="1236" w:type="dxa"/>
            <w:vAlign w:val="center"/>
          </w:tcPr>
          <w:p w14:paraId="66E2A710">
            <w:pPr>
              <w:keepNext w:val="0"/>
              <w:keepLines w:val="0"/>
              <w:widowControl/>
              <w:suppressLineNumbers w:val="0"/>
              <w:spacing w:line="240" w:lineRule="auto"/>
              <w:jc w:val="right"/>
              <w:rPr>
                <w:rFonts w:hint="eastAsia" w:ascii="Times New Roman Regular" w:hAnsi="Times New Roman Regular" w:cs="Times New Roman Regular" w:eastAsiaTheme="minorEastAsia"/>
                <w:b w:val="0"/>
                <w:sz w:val="24"/>
                <w:szCs w:val="24"/>
                <w:vertAlign w:val="baseline"/>
                <w:lang w:val="en-US" w:eastAsia="zh-CN"/>
              </w:rPr>
            </w:pPr>
            <w:r>
              <w:rPr>
                <w:rFonts w:hint="eastAsia" w:ascii="Times New Roman Regular" w:hAnsi="Times New Roman Regular" w:cs="Times New Roman Regular"/>
                <w:b w:val="0"/>
                <w:sz w:val="24"/>
                <w:szCs w:val="24"/>
                <w:vertAlign w:val="baseline"/>
                <w:lang w:val="en-US" w:eastAsia="zh-CN"/>
              </w:rPr>
              <w:t>5</w:t>
            </w:r>
          </w:p>
        </w:tc>
        <w:tc>
          <w:tcPr>
            <w:tcW w:w="1006" w:type="dxa"/>
            <w:vAlign w:val="center"/>
          </w:tcPr>
          <w:p w14:paraId="7EB23DA0">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4</w:t>
            </w:r>
          </w:p>
        </w:tc>
        <w:tc>
          <w:tcPr>
            <w:tcW w:w="3781" w:type="dxa"/>
            <w:vAlign w:val="center"/>
          </w:tcPr>
          <w:p w14:paraId="00025A39">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Spatial maps, UAV images, field photographs, planning documents, interviews</w:t>
            </w:r>
          </w:p>
        </w:tc>
      </w:tr>
      <w:tr w14:paraId="1344584D">
        <w:tc>
          <w:tcPr>
            <w:tcW w:w="2062" w:type="dxa"/>
            <w:vAlign w:val="center"/>
          </w:tcPr>
          <w:p w14:paraId="7C294EEA">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Mountain/forest–village–farmland–water spatial-pattern gene</w:t>
            </w:r>
          </w:p>
        </w:tc>
        <w:tc>
          <w:tcPr>
            <w:tcW w:w="1962" w:type="dxa"/>
            <w:vAlign w:val="center"/>
          </w:tcPr>
          <w:p w14:paraId="1E3961CA">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Control boundary</w:t>
            </w:r>
          </w:p>
        </w:tc>
        <w:tc>
          <w:tcPr>
            <w:tcW w:w="1503" w:type="dxa"/>
            <w:vAlign w:val="center"/>
          </w:tcPr>
          <w:p w14:paraId="39D32996">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Final consensus</w:t>
            </w:r>
          </w:p>
        </w:tc>
        <w:tc>
          <w:tcPr>
            <w:tcW w:w="1172" w:type="dxa"/>
            <w:vAlign w:val="center"/>
          </w:tcPr>
          <w:p w14:paraId="3DD30057">
            <w:pPr>
              <w:keepNext w:val="0"/>
              <w:keepLines w:val="0"/>
              <w:widowControl/>
              <w:suppressLineNumbers w:val="0"/>
              <w:spacing w:line="240" w:lineRule="auto"/>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452" w:type="dxa"/>
            <w:vAlign w:val="center"/>
          </w:tcPr>
          <w:p w14:paraId="21E817EA">
            <w:pPr>
              <w:keepNext w:val="0"/>
              <w:keepLines w:val="0"/>
              <w:widowControl/>
              <w:suppressLineNumbers w:val="0"/>
              <w:spacing w:line="240" w:lineRule="auto"/>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236" w:type="dxa"/>
            <w:vAlign w:val="center"/>
          </w:tcPr>
          <w:p w14:paraId="2569E25B">
            <w:pPr>
              <w:keepNext w:val="0"/>
              <w:keepLines w:val="0"/>
              <w:widowControl/>
              <w:suppressLineNumbers w:val="0"/>
              <w:spacing w:line="240" w:lineRule="auto"/>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006" w:type="dxa"/>
            <w:vAlign w:val="center"/>
          </w:tcPr>
          <w:p w14:paraId="70EFE8A3">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w:t>
            </w:r>
          </w:p>
        </w:tc>
        <w:tc>
          <w:tcPr>
            <w:tcW w:w="3781" w:type="dxa"/>
            <w:vAlign w:val="center"/>
          </w:tcPr>
          <w:p w14:paraId="06769837">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Final score reached through material rechecking and consensus discussion</w:t>
            </w:r>
          </w:p>
        </w:tc>
      </w:tr>
      <w:tr w14:paraId="0984ACB2">
        <w:tc>
          <w:tcPr>
            <w:tcW w:w="2062" w:type="dxa"/>
            <w:vAlign w:val="center"/>
          </w:tcPr>
          <w:p w14:paraId="186DF89E">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Fishbone-shaped street-and-lane morphology gene</w:t>
            </w:r>
          </w:p>
        </w:tc>
        <w:tc>
          <w:tcPr>
            <w:tcW w:w="1962" w:type="dxa"/>
            <w:vAlign w:val="center"/>
          </w:tcPr>
          <w:p w14:paraId="0D745F2E">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Organisational skeleton</w:t>
            </w:r>
          </w:p>
        </w:tc>
        <w:tc>
          <w:tcPr>
            <w:tcW w:w="1503" w:type="dxa"/>
            <w:vAlign w:val="center"/>
          </w:tcPr>
          <w:p w14:paraId="5423A136">
            <w:pPr>
              <w:keepNext w:val="0"/>
              <w:keepLines w:val="0"/>
              <w:widowControl/>
              <w:suppressLineNumbers w:val="0"/>
              <w:spacing w:line="240" w:lineRule="auto"/>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Coder 1</w:t>
            </w:r>
          </w:p>
        </w:tc>
        <w:tc>
          <w:tcPr>
            <w:tcW w:w="1172" w:type="dxa"/>
            <w:vAlign w:val="center"/>
          </w:tcPr>
          <w:p w14:paraId="1FE5E7F0">
            <w:pPr>
              <w:keepNext w:val="0"/>
              <w:keepLines w:val="0"/>
              <w:widowControl/>
              <w:suppressLineNumbers w:val="0"/>
              <w:spacing w:line="240" w:lineRule="auto"/>
              <w:jc w:val="right"/>
              <w:rPr>
                <w:rFonts w:hint="eastAsia" w:ascii="Times New Roman Regular" w:hAnsi="Times New Roman Regular" w:cs="Times New Roman Regular" w:eastAsiaTheme="minorEastAsia"/>
                <w:b w:val="0"/>
                <w:sz w:val="24"/>
                <w:szCs w:val="24"/>
                <w:vertAlign w:val="baseline"/>
                <w:lang w:val="en-US" w:eastAsia="zh-CN"/>
              </w:rPr>
            </w:pPr>
            <w:r>
              <w:rPr>
                <w:rFonts w:hint="eastAsia" w:ascii="Times New Roman Regular" w:hAnsi="Times New Roman Regular" w:cs="Times New Roman Regular"/>
                <w:b w:val="0"/>
                <w:sz w:val="24"/>
                <w:szCs w:val="24"/>
                <w:vertAlign w:val="baseline"/>
                <w:lang w:val="en-US" w:eastAsia="zh-CN"/>
              </w:rPr>
              <w:t>5</w:t>
            </w:r>
          </w:p>
        </w:tc>
        <w:tc>
          <w:tcPr>
            <w:tcW w:w="1452" w:type="dxa"/>
            <w:vAlign w:val="center"/>
          </w:tcPr>
          <w:p w14:paraId="6310F83B">
            <w:pPr>
              <w:keepNext w:val="0"/>
              <w:keepLines w:val="0"/>
              <w:widowControl/>
              <w:suppressLineNumbers w:val="0"/>
              <w:spacing w:line="240" w:lineRule="auto"/>
              <w:jc w:val="right"/>
              <w:rPr>
                <w:rFonts w:hint="eastAsia" w:ascii="Times New Roman Regular" w:hAnsi="Times New Roman Regular" w:cs="Times New Roman Regular" w:eastAsiaTheme="minorEastAsia"/>
                <w:b w:val="0"/>
                <w:sz w:val="24"/>
                <w:szCs w:val="24"/>
                <w:vertAlign w:val="baseline"/>
                <w:lang w:val="en-US" w:eastAsia="zh-CN"/>
              </w:rPr>
            </w:pPr>
            <w:r>
              <w:rPr>
                <w:rFonts w:hint="eastAsia" w:ascii="Times New Roman Regular" w:hAnsi="Times New Roman Regular" w:cs="Times New Roman Regular"/>
                <w:b w:val="0"/>
                <w:sz w:val="24"/>
                <w:szCs w:val="24"/>
                <w:vertAlign w:val="baseline"/>
                <w:lang w:val="en-US" w:eastAsia="zh-CN"/>
              </w:rPr>
              <w:t>5</w:t>
            </w:r>
          </w:p>
        </w:tc>
        <w:tc>
          <w:tcPr>
            <w:tcW w:w="1236" w:type="dxa"/>
            <w:vAlign w:val="center"/>
          </w:tcPr>
          <w:p w14:paraId="54523CA1">
            <w:pPr>
              <w:keepNext w:val="0"/>
              <w:keepLines w:val="0"/>
              <w:widowControl/>
              <w:suppressLineNumbers w:val="0"/>
              <w:spacing w:line="240" w:lineRule="auto"/>
              <w:jc w:val="right"/>
              <w:rPr>
                <w:rFonts w:hint="eastAsia" w:ascii="Times New Roman Regular" w:hAnsi="Times New Roman Regular" w:cs="Times New Roman Regular" w:eastAsiaTheme="minorEastAsia"/>
                <w:b w:val="0"/>
                <w:sz w:val="24"/>
                <w:szCs w:val="24"/>
                <w:vertAlign w:val="baseline"/>
                <w:lang w:val="en-US" w:eastAsia="zh-CN"/>
              </w:rPr>
            </w:pPr>
            <w:r>
              <w:rPr>
                <w:rFonts w:hint="eastAsia" w:ascii="Times New Roman Regular" w:hAnsi="Times New Roman Regular" w:cs="Times New Roman Regular"/>
                <w:b w:val="0"/>
                <w:sz w:val="24"/>
                <w:szCs w:val="24"/>
                <w:vertAlign w:val="baseline"/>
                <w:lang w:val="en-US" w:eastAsia="zh-CN"/>
              </w:rPr>
              <w:t>5</w:t>
            </w:r>
          </w:p>
        </w:tc>
        <w:tc>
          <w:tcPr>
            <w:tcW w:w="1006" w:type="dxa"/>
            <w:vAlign w:val="center"/>
          </w:tcPr>
          <w:p w14:paraId="193A03C5">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3781" w:type="dxa"/>
            <w:vAlign w:val="center"/>
          </w:tcPr>
          <w:p w14:paraId="10C02933">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Road maps, street-lane survey, field photographs, walking observation</w:t>
            </w:r>
          </w:p>
        </w:tc>
      </w:tr>
      <w:tr w14:paraId="5BBB1133">
        <w:tc>
          <w:tcPr>
            <w:tcW w:w="2062" w:type="dxa"/>
            <w:vAlign w:val="center"/>
          </w:tcPr>
          <w:p w14:paraId="10AB236C">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Fishbone-shaped street-and-lane morphology gene</w:t>
            </w:r>
          </w:p>
        </w:tc>
        <w:tc>
          <w:tcPr>
            <w:tcW w:w="1962" w:type="dxa"/>
            <w:vAlign w:val="center"/>
          </w:tcPr>
          <w:p w14:paraId="1F871CCF">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Organisational skeleton</w:t>
            </w:r>
          </w:p>
        </w:tc>
        <w:tc>
          <w:tcPr>
            <w:tcW w:w="1503" w:type="dxa"/>
            <w:vAlign w:val="center"/>
          </w:tcPr>
          <w:p w14:paraId="17AABFD1">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Coder 2</w:t>
            </w:r>
          </w:p>
        </w:tc>
        <w:tc>
          <w:tcPr>
            <w:tcW w:w="1172" w:type="dxa"/>
            <w:vAlign w:val="center"/>
          </w:tcPr>
          <w:p w14:paraId="44A73C5E">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1452" w:type="dxa"/>
            <w:vAlign w:val="center"/>
          </w:tcPr>
          <w:p w14:paraId="038CF8A9">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1236" w:type="dxa"/>
            <w:vAlign w:val="center"/>
          </w:tcPr>
          <w:p w14:paraId="63F59772">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3</w:t>
            </w:r>
          </w:p>
        </w:tc>
        <w:tc>
          <w:tcPr>
            <w:tcW w:w="1006" w:type="dxa"/>
            <w:vAlign w:val="center"/>
          </w:tcPr>
          <w:p w14:paraId="45CD3DA3">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3781" w:type="dxa"/>
            <w:vAlign w:val="center"/>
          </w:tcPr>
          <w:p w14:paraId="33A22835">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Road maps, street-lane survey, field photographs, walking observation</w:t>
            </w:r>
          </w:p>
        </w:tc>
      </w:tr>
      <w:tr w14:paraId="1A7EB2AD">
        <w:tc>
          <w:tcPr>
            <w:tcW w:w="2062" w:type="dxa"/>
            <w:vAlign w:val="center"/>
          </w:tcPr>
          <w:p w14:paraId="5A1EB564">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Fishbone-shaped street-and-lane morphology gene</w:t>
            </w:r>
          </w:p>
        </w:tc>
        <w:tc>
          <w:tcPr>
            <w:tcW w:w="1962" w:type="dxa"/>
            <w:vAlign w:val="center"/>
          </w:tcPr>
          <w:p w14:paraId="5E72D2F8">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Organisational skeleton</w:t>
            </w:r>
          </w:p>
        </w:tc>
        <w:tc>
          <w:tcPr>
            <w:tcW w:w="1503" w:type="dxa"/>
            <w:vAlign w:val="center"/>
          </w:tcPr>
          <w:p w14:paraId="04D239FA">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Final consensus</w:t>
            </w:r>
          </w:p>
        </w:tc>
        <w:tc>
          <w:tcPr>
            <w:tcW w:w="1172" w:type="dxa"/>
            <w:vAlign w:val="center"/>
          </w:tcPr>
          <w:p w14:paraId="33E6B282">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1452" w:type="dxa"/>
            <w:vAlign w:val="center"/>
          </w:tcPr>
          <w:p w14:paraId="35562553">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1236" w:type="dxa"/>
            <w:vAlign w:val="center"/>
          </w:tcPr>
          <w:p w14:paraId="5A21518A">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4</w:t>
            </w:r>
          </w:p>
        </w:tc>
        <w:tc>
          <w:tcPr>
            <w:tcW w:w="1006" w:type="dxa"/>
            <w:vAlign w:val="center"/>
          </w:tcPr>
          <w:p w14:paraId="3BAA1A64">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3781" w:type="dxa"/>
            <w:vAlign w:val="center"/>
          </w:tcPr>
          <w:p w14:paraId="112BE762">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Final score reached through material rechecking and consensus discussion</w:t>
            </w:r>
          </w:p>
        </w:tc>
      </w:tr>
      <w:tr w14:paraId="3B4867EB">
        <w:tc>
          <w:tcPr>
            <w:tcW w:w="2062" w:type="dxa"/>
            <w:vAlign w:val="center"/>
          </w:tcPr>
          <w:p w14:paraId="0AFF5362">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Multi-core centripetal spatial-node gene</w:t>
            </w:r>
          </w:p>
        </w:tc>
        <w:tc>
          <w:tcPr>
            <w:tcW w:w="1962" w:type="dxa"/>
            <w:vAlign w:val="center"/>
          </w:tcPr>
          <w:p w14:paraId="29418979">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Public node</w:t>
            </w:r>
          </w:p>
        </w:tc>
        <w:tc>
          <w:tcPr>
            <w:tcW w:w="1503" w:type="dxa"/>
            <w:vAlign w:val="center"/>
          </w:tcPr>
          <w:p w14:paraId="30191685">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Coder 1</w:t>
            </w:r>
          </w:p>
        </w:tc>
        <w:tc>
          <w:tcPr>
            <w:tcW w:w="1172" w:type="dxa"/>
            <w:vAlign w:val="center"/>
          </w:tcPr>
          <w:p w14:paraId="19EEB903">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4</w:t>
            </w:r>
          </w:p>
        </w:tc>
        <w:tc>
          <w:tcPr>
            <w:tcW w:w="1452" w:type="dxa"/>
            <w:vAlign w:val="center"/>
          </w:tcPr>
          <w:p w14:paraId="2FDAAD42">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1236" w:type="dxa"/>
            <w:vAlign w:val="center"/>
          </w:tcPr>
          <w:p w14:paraId="715D5A31">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1006" w:type="dxa"/>
            <w:vAlign w:val="center"/>
          </w:tcPr>
          <w:p w14:paraId="18C8B9EA">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3</w:t>
            </w:r>
          </w:p>
        </w:tc>
        <w:tc>
          <w:tcPr>
            <w:tcW w:w="3781" w:type="dxa"/>
            <w:vAlign w:val="center"/>
          </w:tcPr>
          <w:p w14:paraId="7FA622C0">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Node distribution map, activity observation, field photographs, interviews</w:t>
            </w:r>
          </w:p>
        </w:tc>
      </w:tr>
      <w:tr w14:paraId="2310CE9F">
        <w:tc>
          <w:tcPr>
            <w:tcW w:w="2062" w:type="dxa"/>
            <w:vAlign w:val="center"/>
          </w:tcPr>
          <w:p w14:paraId="10D65863">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Multi-core centripetal spatial-node gene</w:t>
            </w:r>
          </w:p>
        </w:tc>
        <w:tc>
          <w:tcPr>
            <w:tcW w:w="1962" w:type="dxa"/>
            <w:vAlign w:val="center"/>
          </w:tcPr>
          <w:p w14:paraId="11562B24">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Public node</w:t>
            </w:r>
          </w:p>
        </w:tc>
        <w:tc>
          <w:tcPr>
            <w:tcW w:w="1503" w:type="dxa"/>
            <w:vAlign w:val="center"/>
          </w:tcPr>
          <w:p w14:paraId="4A4DC05E">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Coder 2</w:t>
            </w:r>
          </w:p>
        </w:tc>
        <w:tc>
          <w:tcPr>
            <w:tcW w:w="1172" w:type="dxa"/>
            <w:vAlign w:val="center"/>
          </w:tcPr>
          <w:p w14:paraId="14FC8FB8">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4</w:t>
            </w:r>
          </w:p>
        </w:tc>
        <w:tc>
          <w:tcPr>
            <w:tcW w:w="1452" w:type="dxa"/>
            <w:vAlign w:val="center"/>
          </w:tcPr>
          <w:p w14:paraId="16CC417E">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1236" w:type="dxa"/>
            <w:vAlign w:val="center"/>
          </w:tcPr>
          <w:p w14:paraId="11AE400E">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1006" w:type="dxa"/>
            <w:vAlign w:val="center"/>
          </w:tcPr>
          <w:p w14:paraId="41D56DEE">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3</w:t>
            </w:r>
          </w:p>
        </w:tc>
        <w:tc>
          <w:tcPr>
            <w:tcW w:w="3781" w:type="dxa"/>
            <w:vAlign w:val="center"/>
          </w:tcPr>
          <w:p w14:paraId="363EC00A">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Node distribution map, activity observation, field photographs, interviews</w:t>
            </w:r>
          </w:p>
        </w:tc>
      </w:tr>
      <w:tr w14:paraId="121EFD24">
        <w:tc>
          <w:tcPr>
            <w:tcW w:w="2062" w:type="dxa"/>
            <w:vAlign w:val="center"/>
          </w:tcPr>
          <w:p w14:paraId="13BE24A3">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Multi-core centripetal spatial-node gene</w:t>
            </w:r>
          </w:p>
        </w:tc>
        <w:tc>
          <w:tcPr>
            <w:tcW w:w="1962" w:type="dxa"/>
            <w:vAlign w:val="center"/>
          </w:tcPr>
          <w:p w14:paraId="3CE5FB85">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Public node</w:t>
            </w:r>
          </w:p>
        </w:tc>
        <w:tc>
          <w:tcPr>
            <w:tcW w:w="1503" w:type="dxa"/>
            <w:vAlign w:val="center"/>
          </w:tcPr>
          <w:p w14:paraId="39AE5ECA">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Final consensus</w:t>
            </w:r>
          </w:p>
        </w:tc>
        <w:tc>
          <w:tcPr>
            <w:tcW w:w="1172" w:type="dxa"/>
            <w:vAlign w:val="center"/>
          </w:tcPr>
          <w:p w14:paraId="570BCCBC">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4</w:t>
            </w:r>
          </w:p>
        </w:tc>
        <w:tc>
          <w:tcPr>
            <w:tcW w:w="1452" w:type="dxa"/>
            <w:vAlign w:val="center"/>
          </w:tcPr>
          <w:p w14:paraId="2C3586EC">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1236" w:type="dxa"/>
            <w:vAlign w:val="center"/>
          </w:tcPr>
          <w:p w14:paraId="486CD726">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1006" w:type="dxa"/>
            <w:vAlign w:val="center"/>
          </w:tcPr>
          <w:p w14:paraId="3A120CD8">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w:t>
            </w:r>
          </w:p>
        </w:tc>
        <w:tc>
          <w:tcPr>
            <w:tcW w:w="3781" w:type="dxa"/>
            <w:vAlign w:val="center"/>
          </w:tcPr>
          <w:p w14:paraId="2A109F38">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Final score reached through material rechecking and consensus discussion</w:t>
            </w:r>
          </w:p>
        </w:tc>
      </w:tr>
      <w:tr w14:paraId="45735821">
        <w:tc>
          <w:tcPr>
            <w:tcW w:w="2062" w:type="dxa"/>
            <w:vAlign w:val="center"/>
          </w:tcPr>
          <w:p w14:paraId="45504272">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White-walls-and-grey-tiles courtyard gene</w:t>
            </w:r>
          </w:p>
        </w:tc>
        <w:tc>
          <w:tcPr>
            <w:tcW w:w="1962" w:type="dxa"/>
            <w:vAlign w:val="center"/>
          </w:tcPr>
          <w:p w14:paraId="05EA4002">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Architectural unit</w:t>
            </w:r>
          </w:p>
        </w:tc>
        <w:tc>
          <w:tcPr>
            <w:tcW w:w="1503" w:type="dxa"/>
            <w:vAlign w:val="center"/>
          </w:tcPr>
          <w:p w14:paraId="44AE1F81">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Coder 1</w:t>
            </w:r>
          </w:p>
        </w:tc>
        <w:tc>
          <w:tcPr>
            <w:tcW w:w="1172" w:type="dxa"/>
            <w:vAlign w:val="center"/>
          </w:tcPr>
          <w:p w14:paraId="1D073F8B">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2</w:t>
            </w:r>
          </w:p>
        </w:tc>
        <w:tc>
          <w:tcPr>
            <w:tcW w:w="1452" w:type="dxa"/>
            <w:vAlign w:val="center"/>
          </w:tcPr>
          <w:p w14:paraId="071F952F">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1236" w:type="dxa"/>
            <w:vAlign w:val="center"/>
          </w:tcPr>
          <w:p w14:paraId="6F8D395D">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3</w:t>
            </w:r>
          </w:p>
        </w:tc>
        <w:tc>
          <w:tcPr>
            <w:tcW w:w="1006" w:type="dxa"/>
            <w:vAlign w:val="center"/>
          </w:tcPr>
          <w:p w14:paraId="13583A59">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3781" w:type="dxa"/>
            <w:vAlign w:val="center"/>
          </w:tcPr>
          <w:p w14:paraId="308F8148">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Courtyard survey, housing-renovation records, field photographs, interviews</w:t>
            </w:r>
          </w:p>
        </w:tc>
      </w:tr>
      <w:tr w14:paraId="26F7D6A1">
        <w:tc>
          <w:tcPr>
            <w:tcW w:w="2062" w:type="dxa"/>
            <w:vAlign w:val="center"/>
          </w:tcPr>
          <w:p w14:paraId="2EB57109">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White-walls-and-grey-tiles courtyard gene</w:t>
            </w:r>
          </w:p>
        </w:tc>
        <w:tc>
          <w:tcPr>
            <w:tcW w:w="1962" w:type="dxa"/>
            <w:vAlign w:val="center"/>
          </w:tcPr>
          <w:p w14:paraId="24EF0396">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Architectural unit</w:t>
            </w:r>
          </w:p>
        </w:tc>
        <w:tc>
          <w:tcPr>
            <w:tcW w:w="1503" w:type="dxa"/>
            <w:vAlign w:val="center"/>
          </w:tcPr>
          <w:p w14:paraId="152BBAC9">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Coder 2</w:t>
            </w:r>
          </w:p>
        </w:tc>
        <w:tc>
          <w:tcPr>
            <w:tcW w:w="1172" w:type="dxa"/>
            <w:vAlign w:val="center"/>
          </w:tcPr>
          <w:p w14:paraId="211BB907">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4</w:t>
            </w:r>
          </w:p>
        </w:tc>
        <w:tc>
          <w:tcPr>
            <w:tcW w:w="1452" w:type="dxa"/>
            <w:vAlign w:val="center"/>
          </w:tcPr>
          <w:p w14:paraId="25C362BE">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3</w:t>
            </w:r>
          </w:p>
        </w:tc>
        <w:tc>
          <w:tcPr>
            <w:tcW w:w="1236" w:type="dxa"/>
            <w:vAlign w:val="center"/>
          </w:tcPr>
          <w:p w14:paraId="32225D80">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3</w:t>
            </w:r>
          </w:p>
        </w:tc>
        <w:tc>
          <w:tcPr>
            <w:tcW w:w="1006" w:type="dxa"/>
            <w:vAlign w:val="center"/>
          </w:tcPr>
          <w:p w14:paraId="02A1F4AD">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3781" w:type="dxa"/>
            <w:vAlign w:val="center"/>
          </w:tcPr>
          <w:p w14:paraId="431FB2CD">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Courtyard survey, housing-renovation records, field photographs, interviews</w:t>
            </w:r>
          </w:p>
        </w:tc>
      </w:tr>
      <w:tr w14:paraId="7245B141">
        <w:tc>
          <w:tcPr>
            <w:tcW w:w="2062" w:type="dxa"/>
            <w:vAlign w:val="center"/>
          </w:tcPr>
          <w:p w14:paraId="33211D20">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White-walls-and-grey-tiles courtyard gene</w:t>
            </w:r>
          </w:p>
        </w:tc>
        <w:tc>
          <w:tcPr>
            <w:tcW w:w="1962" w:type="dxa"/>
            <w:vAlign w:val="center"/>
          </w:tcPr>
          <w:p w14:paraId="7E77AFB6">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Architectural unit</w:t>
            </w:r>
          </w:p>
        </w:tc>
        <w:tc>
          <w:tcPr>
            <w:tcW w:w="1503" w:type="dxa"/>
            <w:vAlign w:val="center"/>
          </w:tcPr>
          <w:p w14:paraId="587295BC">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Final consensus</w:t>
            </w:r>
          </w:p>
        </w:tc>
        <w:tc>
          <w:tcPr>
            <w:tcW w:w="1172" w:type="dxa"/>
            <w:vAlign w:val="center"/>
          </w:tcPr>
          <w:p w14:paraId="4C14BBC2">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w:t>
            </w:r>
          </w:p>
        </w:tc>
        <w:tc>
          <w:tcPr>
            <w:tcW w:w="1452" w:type="dxa"/>
            <w:vAlign w:val="center"/>
          </w:tcPr>
          <w:p w14:paraId="6ABBD633">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4</w:t>
            </w:r>
          </w:p>
        </w:tc>
        <w:tc>
          <w:tcPr>
            <w:tcW w:w="1236" w:type="dxa"/>
            <w:vAlign w:val="center"/>
          </w:tcPr>
          <w:p w14:paraId="248C9975">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w:t>
            </w:r>
          </w:p>
        </w:tc>
        <w:tc>
          <w:tcPr>
            <w:tcW w:w="1006" w:type="dxa"/>
            <w:vAlign w:val="center"/>
          </w:tcPr>
          <w:p w14:paraId="6696028D">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3781" w:type="dxa"/>
            <w:vAlign w:val="center"/>
          </w:tcPr>
          <w:p w14:paraId="16C94B42">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Final score reached through material rechecking and consensus discussion</w:t>
            </w:r>
          </w:p>
        </w:tc>
      </w:tr>
      <w:tr w14:paraId="04830216">
        <w:tc>
          <w:tcPr>
            <w:tcW w:w="2062" w:type="dxa"/>
            <w:vAlign w:val="center"/>
          </w:tcPr>
          <w:p w14:paraId="0F3BA166">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Post-and-lintel/interlocking timber-frame material gene</w:t>
            </w:r>
          </w:p>
        </w:tc>
        <w:tc>
          <w:tcPr>
            <w:tcW w:w="1962" w:type="dxa"/>
            <w:vAlign w:val="center"/>
          </w:tcPr>
          <w:p w14:paraId="3E345A59">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Material interface</w:t>
            </w:r>
          </w:p>
        </w:tc>
        <w:tc>
          <w:tcPr>
            <w:tcW w:w="1503" w:type="dxa"/>
            <w:vAlign w:val="center"/>
          </w:tcPr>
          <w:p w14:paraId="2140D930">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Coder 1</w:t>
            </w:r>
          </w:p>
        </w:tc>
        <w:tc>
          <w:tcPr>
            <w:tcW w:w="1172" w:type="dxa"/>
            <w:vAlign w:val="center"/>
          </w:tcPr>
          <w:p w14:paraId="6B9C0D45">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4</w:t>
            </w:r>
          </w:p>
        </w:tc>
        <w:tc>
          <w:tcPr>
            <w:tcW w:w="1452" w:type="dxa"/>
            <w:vAlign w:val="center"/>
          </w:tcPr>
          <w:p w14:paraId="51399624">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4</w:t>
            </w:r>
          </w:p>
        </w:tc>
        <w:tc>
          <w:tcPr>
            <w:tcW w:w="1236" w:type="dxa"/>
            <w:vAlign w:val="center"/>
          </w:tcPr>
          <w:p w14:paraId="3B4926A2">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3</w:t>
            </w:r>
          </w:p>
        </w:tc>
        <w:tc>
          <w:tcPr>
            <w:tcW w:w="1006" w:type="dxa"/>
            <w:vAlign w:val="center"/>
          </w:tcPr>
          <w:p w14:paraId="3AA6C3E1">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3781" w:type="dxa"/>
            <w:vAlign w:val="center"/>
          </w:tcPr>
          <w:p w14:paraId="5E950878">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Material survey, construction photographs, field observation, interviews</w:t>
            </w:r>
          </w:p>
        </w:tc>
      </w:tr>
      <w:tr w14:paraId="54705C2A">
        <w:tc>
          <w:tcPr>
            <w:tcW w:w="2062" w:type="dxa"/>
            <w:vAlign w:val="center"/>
          </w:tcPr>
          <w:p w14:paraId="19999809">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Post-and-lintel/interlocking timber-frame material gene</w:t>
            </w:r>
          </w:p>
        </w:tc>
        <w:tc>
          <w:tcPr>
            <w:tcW w:w="1962" w:type="dxa"/>
            <w:vAlign w:val="center"/>
          </w:tcPr>
          <w:p w14:paraId="43457CE5">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Material interface</w:t>
            </w:r>
          </w:p>
        </w:tc>
        <w:tc>
          <w:tcPr>
            <w:tcW w:w="1503" w:type="dxa"/>
            <w:vAlign w:val="center"/>
          </w:tcPr>
          <w:p w14:paraId="65C280F1">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Coder 2</w:t>
            </w:r>
          </w:p>
        </w:tc>
        <w:tc>
          <w:tcPr>
            <w:tcW w:w="1172" w:type="dxa"/>
            <w:vAlign w:val="center"/>
          </w:tcPr>
          <w:p w14:paraId="46512EDA">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2</w:t>
            </w:r>
          </w:p>
        </w:tc>
        <w:tc>
          <w:tcPr>
            <w:tcW w:w="1452" w:type="dxa"/>
            <w:vAlign w:val="center"/>
          </w:tcPr>
          <w:p w14:paraId="28437826">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4</w:t>
            </w:r>
          </w:p>
        </w:tc>
        <w:tc>
          <w:tcPr>
            <w:tcW w:w="1236" w:type="dxa"/>
            <w:vAlign w:val="center"/>
          </w:tcPr>
          <w:p w14:paraId="57621DA6">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3</w:t>
            </w:r>
          </w:p>
        </w:tc>
        <w:tc>
          <w:tcPr>
            <w:tcW w:w="1006" w:type="dxa"/>
            <w:vAlign w:val="center"/>
          </w:tcPr>
          <w:p w14:paraId="597088B0">
            <w:pPr>
              <w:keepNext w:val="0"/>
              <w:keepLines w:val="0"/>
              <w:widowControl/>
              <w:suppressLineNumbers w:val="0"/>
              <w:spacing w:line="240" w:lineRule="auto"/>
              <w:jc w:val="right"/>
              <w:rPr>
                <w:rFonts w:hint="default" w:ascii="Times New Roman Regular" w:hAnsi="Times New Roman Regular" w:eastAsia="宋体" w:cs="Times New Roman Regular"/>
                <w:b w:val="0"/>
                <w:kern w:val="0"/>
                <w:sz w:val="24"/>
                <w:szCs w:val="24"/>
                <w:lang w:val="en-US" w:eastAsia="zh-CN" w:bidi="ar"/>
              </w:rPr>
            </w:pPr>
            <w:r>
              <w:rPr>
                <w:rFonts w:hint="eastAsia" w:ascii="Times New Roman Regular" w:hAnsi="Times New Roman Regular" w:eastAsia="宋体" w:cs="Times New Roman Regular"/>
                <w:b w:val="0"/>
                <w:kern w:val="0"/>
                <w:sz w:val="24"/>
                <w:szCs w:val="24"/>
                <w:lang w:val="en-US" w:eastAsia="zh-CN" w:bidi="ar"/>
              </w:rPr>
              <w:t>5</w:t>
            </w:r>
          </w:p>
        </w:tc>
        <w:tc>
          <w:tcPr>
            <w:tcW w:w="3781" w:type="dxa"/>
            <w:vAlign w:val="center"/>
          </w:tcPr>
          <w:p w14:paraId="4E303D5D">
            <w:pPr>
              <w:keepNext w:val="0"/>
              <w:keepLines w:val="0"/>
              <w:widowControl/>
              <w:suppressLineNumbers w:val="0"/>
              <w:spacing w:line="240" w:lineRule="auto"/>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 xml:space="preserve">Material survey, construction photographs, field observation, </w:t>
            </w:r>
            <w:bookmarkStart w:id="0" w:name="_GoBack"/>
            <w:bookmarkEnd w:id="0"/>
            <w:r>
              <w:rPr>
                <w:rFonts w:hint="default" w:ascii="Times New Roman Regular" w:hAnsi="Times New Roman Regular" w:eastAsia="宋体" w:cs="Times New Roman Regular"/>
                <w:kern w:val="0"/>
                <w:sz w:val="24"/>
                <w:szCs w:val="24"/>
                <w:lang w:val="en-US" w:eastAsia="zh-CN" w:bidi="ar"/>
              </w:rPr>
              <w:t>interviews</w:t>
            </w:r>
          </w:p>
        </w:tc>
      </w:tr>
      <w:tr w14:paraId="2B02D5DD">
        <w:tc>
          <w:tcPr>
            <w:tcW w:w="2062" w:type="dxa"/>
            <w:vAlign w:val="center"/>
          </w:tcPr>
          <w:p w14:paraId="29093FF1">
            <w:pPr>
              <w:keepNext w:val="0"/>
              <w:keepLines w:val="0"/>
              <w:widowControl/>
              <w:suppressLineNumbers w:val="0"/>
              <w:spacing w:line="240" w:lineRule="auto"/>
              <w:jc w:val="left"/>
              <w:rPr>
                <w:rFonts w:hint="default" w:ascii="Times New Roman Regular" w:hAnsi="Times New Roman Regular" w:eastAsia="宋体" w:cs="Times New Roman Regular"/>
                <w:color w:val="0000FF"/>
                <w:kern w:val="0"/>
                <w:sz w:val="24"/>
                <w:szCs w:val="24"/>
                <w:highlight w:val="none"/>
                <w:shd w:val="clear" w:color="FFFFFF" w:fill="D9D9D9"/>
                <w:lang w:val="en-US" w:eastAsia="zh-CN" w:bidi="ar"/>
              </w:rPr>
            </w:pPr>
            <w:r>
              <w:rPr>
                <w:rFonts w:hint="default" w:ascii="Times New Roman Regular" w:hAnsi="Times New Roman Regular" w:eastAsia="宋体" w:cs="Times New Roman Regular"/>
                <w:kern w:val="0"/>
                <w:sz w:val="24"/>
                <w:szCs w:val="24"/>
                <w:lang w:val="en-US" w:eastAsia="zh-CN" w:bidi="ar"/>
              </w:rPr>
              <w:t>Post-and-lintel/interlocking timber-frame material gene</w:t>
            </w:r>
          </w:p>
        </w:tc>
        <w:tc>
          <w:tcPr>
            <w:tcW w:w="1962" w:type="dxa"/>
            <w:vAlign w:val="center"/>
          </w:tcPr>
          <w:p w14:paraId="7F24A342">
            <w:pPr>
              <w:keepNext w:val="0"/>
              <w:keepLines w:val="0"/>
              <w:widowControl/>
              <w:suppressLineNumbers w:val="0"/>
              <w:spacing w:line="240" w:lineRule="auto"/>
              <w:jc w:val="left"/>
              <w:rPr>
                <w:rFonts w:hint="default" w:ascii="Times New Roman Regular" w:hAnsi="Times New Roman Regular" w:eastAsia="宋体" w:cs="Times New Roman Regular"/>
                <w:color w:val="0000FF"/>
                <w:kern w:val="0"/>
                <w:sz w:val="24"/>
                <w:szCs w:val="24"/>
                <w:highlight w:val="none"/>
                <w:shd w:val="clear" w:color="FFFFFF" w:fill="D9D9D9"/>
                <w:lang w:val="en-US" w:eastAsia="zh-CN" w:bidi="ar"/>
              </w:rPr>
            </w:pPr>
            <w:r>
              <w:rPr>
                <w:rFonts w:hint="default" w:ascii="Times New Roman Regular" w:hAnsi="Times New Roman Regular" w:eastAsia="宋体" w:cs="Times New Roman Regular"/>
                <w:kern w:val="0"/>
                <w:sz w:val="24"/>
                <w:szCs w:val="24"/>
                <w:lang w:val="en-US" w:eastAsia="zh-CN" w:bidi="ar"/>
              </w:rPr>
              <w:t>Material interface</w:t>
            </w:r>
          </w:p>
        </w:tc>
        <w:tc>
          <w:tcPr>
            <w:tcW w:w="1503" w:type="dxa"/>
            <w:vAlign w:val="center"/>
          </w:tcPr>
          <w:p w14:paraId="7CF447AE">
            <w:pPr>
              <w:keepNext w:val="0"/>
              <w:keepLines w:val="0"/>
              <w:widowControl/>
              <w:suppressLineNumbers w:val="0"/>
              <w:spacing w:line="240" w:lineRule="auto"/>
              <w:jc w:val="left"/>
              <w:rPr>
                <w:rFonts w:hint="default" w:ascii="Times New Roman Regular" w:hAnsi="Times New Roman Regular" w:eastAsia="宋体" w:cs="Times New Roman Regular"/>
                <w:color w:val="0000FF"/>
                <w:kern w:val="0"/>
                <w:sz w:val="24"/>
                <w:szCs w:val="24"/>
                <w:highlight w:val="none"/>
                <w:shd w:val="clear" w:color="FFFFFF" w:fill="D9D9D9"/>
                <w:lang w:val="en-US" w:eastAsia="zh-CN" w:bidi="ar"/>
              </w:rPr>
            </w:pPr>
            <w:r>
              <w:rPr>
                <w:rFonts w:hint="default" w:ascii="Times New Roman Regular" w:hAnsi="Times New Roman Regular" w:eastAsia="宋体" w:cs="Times New Roman Regular"/>
                <w:kern w:val="0"/>
                <w:sz w:val="24"/>
                <w:szCs w:val="24"/>
                <w:lang w:val="en-US" w:eastAsia="zh-CN" w:bidi="ar"/>
              </w:rPr>
              <w:t>Final consensus</w:t>
            </w:r>
          </w:p>
        </w:tc>
        <w:tc>
          <w:tcPr>
            <w:tcW w:w="1172" w:type="dxa"/>
            <w:vAlign w:val="center"/>
          </w:tcPr>
          <w:p w14:paraId="3C41F3B3">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w:t>
            </w:r>
          </w:p>
        </w:tc>
        <w:tc>
          <w:tcPr>
            <w:tcW w:w="1452" w:type="dxa"/>
            <w:vAlign w:val="center"/>
          </w:tcPr>
          <w:p w14:paraId="2C69954C">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4</w:t>
            </w:r>
          </w:p>
        </w:tc>
        <w:tc>
          <w:tcPr>
            <w:tcW w:w="1236" w:type="dxa"/>
            <w:vAlign w:val="center"/>
          </w:tcPr>
          <w:p w14:paraId="5E388487">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w:t>
            </w:r>
          </w:p>
        </w:tc>
        <w:tc>
          <w:tcPr>
            <w:tcW w:w="1006" w:type="dxa"/>
            <w:vAlign w:val="center"/>
          </w:tcPr>
          <w:p w14:paraId="68FBF5EE">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3781" w:type="dxa"/>
            <w:vAlign w:val="center"/>
          </w:tcPr>
          <w:p w14:paraId="6CD06F42">
            <w:pPr>
              <w:keepNext w:val="0"/>
              <w:keepLines w:val="0"/>
              <w:widowControl/>
              <w:suppressLineNumbers w:val="0"/>
              <w:spacing w:line="240" w:lineRule="auto"/>
              <w:jc w:val="left"/>
              <w:rPr>
                <w:rFonts w:hint="default" w:ascii="Times New Roman Regular" w:hAnsi="Times New Roman Regular" w:eastAsia="宋体" w:cs="Times New Roman Regular"/>
                <w:kern w:val="0"/>
                <w:sz w:val="24"/>
                <w:szCs w:val="24"/>
                <w:highlight w:val="green"/>
                <w:lang w:val="en-US" w:eastAsia="zh-CN" w:bidi="ar"/>
              </w:rPr>
            </w:pPr>
            <w:r>
              <w:rPr>
                <w:rFonts w:hint="default" w:ascii="Times New Roman Regular" w:hAnsi="Times New Roman Regular" w:eastAsia="宋体" w:cs="Times New Roman Regular"/>
                <w:kern w:val="0"/>
                <w:sz w:val="24"/>
                <w:szCs w:val="24"/>
                <w:lang w:val="en-US" w:eastAsia="zh-CN" w:bidi="ar"/>
              </w:rPr>
              <w:t>Final score reached through material rechecking and consensus discussion</w:t>
            </w:r>
          </w:p>
        </w:tc>
      </w:tr>
    </w:tbl>
    <w:p w14:paraId="468B59CB">
      <w:pPr>
        <w:pStyle w:val="2"/>
        <w:keepNext w:val="0"/>
        <w:keepLines w:val="0"/>
        <w:widowControl/>
        <w:suppressLineNumbers w:val="0"/>
        <w:jc w:val="center"/>
        <w:rPr>
          <w:rFonts w:hint="eastAsia"/>
          <w:sz w:val="36"/>
          <w:szCs w:val="36"/>
        </w:rPr>
      </w:pPr>
      <w:r>
        <w:rPr>
          <w:rStyle w:val="6"/>
          <w:sz w:val="36"/>
          <w:szCs w:val="36"/>
        </w:rPr>
        <w:t>Supplementary Table S5 continued. Final value–risk calculation</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0"/>
        <w:gridCol w:w="2000"/>
        <w:gridCol w:w="1074"/>
        <w:gridCol w:w="1074"/>
        <w:gridCol w:w="1074"/>
        <w:gridCol w:w="1074"/>
        <w:gridCol w:w="1074"/>
        <w:gridCol w:w="1076"/>
        <w:gridCol w:w="1274"/>
        <w:gridCol w:w="1934"/>
      </w:tblGrid>
      <w:tr w14:paraId="2D05C4D3">
        <w:tc>
          <w:tcPr>
            <w:tcW w:w="2520" w:type="dxa"/>
            <w:shd w:val="clear" w:color="auto" w:fill="DBE3F4" w:themeFill="accent1" w:themeFillTint="32"/>
            <w:vAlign w:val="center"/>
          </w:tcPr>
          <w:p w14:paraId="52A3D2EB">
            <w:pPr>
              <w:keepNext w:val="0"/>
              <w:keepLines w:val="0"/>
              <w:widowControl/>
              <w:suppressLineNumbers w:val="0"/>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Space gene category</w:t>
            </w:r>
          </w:p>
        </w:tc>
        <w:tc>
          <w:tcPr>
            <w:tcW w:w="2000" w:type="dxa"/>
            <w:shd w:val="clear" w:color="auto" w:fill="DBE3F4" w:themeFill="accent1" w:themeFillTint="32"/>
            <w:vAlign w:val="center"/>
          </w:tcPr>
          <w:p w14:paraId="0E5F8569">
            <w:pPr>
              <w:keepNext w:val="0"/>
              <w:keepLines w:val="0"/>
              <w:widowControl/>
              <w:suppressLineNumbers w:val="0"/>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Governance attribute</w:t>
            </w:r>
          </w:p>
        </w:tc>
        <w:tc>
          <w:tcPr>
            <w:tcW w:w="1074" w:type="dxa"/>
            <w:shd w:val="clear" w:color="auto" w:fill="DBE3F4" w:themeFill="accent1" w:themeFillTint="32"/>
            <w:vAlign w:val="center"/>
          </w:tcPr>
          <w:p w14:paraId="1646DB51">
            <w:pPr>
              <w:keepNext w:val="0"/>
              <w:keepLines w:val="0"/>
              <w:widowControl/>
              <w:suppressLineNumbers w:val="0"/>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Final S</w:t>
            </w:r>
          </w:p>
        </w:tc>
        <w:tc>
          <w:tcPr>
            <w:tcW w:w="1074" w:type="dxa"/>
            <w:shd w:val="clear" w:color="auto" w:fill="DBE3F4" w:themeFill="accent1" w:themeFillTint="32"/>
            <w:vAlign w:val="center"/>
          </w:tcPr>
          <w:p w14:paraId="1EED1D5F">
            <w:pPr>
              <w:keepNext w:val="0"/>
              <w:keepLines w:val="0"/>
              <w:widowControl/>
              <w:suppressLineNumbers w:val="0"/>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Final I</w:t>
            </w:r>
          </w:p>
        </w:tc>
        <w:tc>
          <w:tcPr>
            <w:tcW w:w="1074" w:type="dxa"/>
            <w:shd w:val="clear" w:color="auto" w:fill="DBE3F4" w:themeFill="accent1" w:themeFillTint="32"/>
            <w:vAlign w:val="center"/>
          </w:tcPr>
          <w:p w14:paraId="5FE1F0F8">
            <w:pPr>
              <w:keepNext w:val="0"/>
              <w:keepLines w:val="0"/>
              <w:widowControl/>
              <w:suppressLineNumbers w:val="0"/>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Final A</w:t>
            </w:r>
          </w:p>
        </w:tc>
        <w:tc>
          <w:tcPr>
            <w:tcW w:w="1074" w:type="dxa"/>
            <w:shd w:val="clear" w:color="auto" w:fill="DBE3F4" w:themeFill="accent1" w:themeFillTint="32"/>
            <w:vAlign w:val="center"/>
          </w:tcPr>
          <w:p w14:paraId="48C47638">
            <w:pPr>
              <w:keepNext w:val="0"/>
              <w:keepLines w:val="0"/>
              <w:widowControl/>
              <w:suppressLineNumbers w:val="0"/>
              <w:jc w:val="center"/>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b/>
                <w:bCs/>
                <w:kern w:val="0"/>
                <w:sz w:val="24"/>
                <w:szCs w:val="24"/>
                <w:lang w:val="en-US" w:eastAsia="zh-CN" w:bidi="ar"/>
              </w:rPr>
              <w:t>Final D</w:t>
            </w:r>
          </w:p>
        </w:tc>
        <w:tc>
          <w:tcPr>
            <w:tcW w:w="1074" w:type="dxa"/>
            <w:shd w:val="clear" w:color="auto" w:fill="DBE3F4" w:themeFill="accent1" w:themeFillTint="32"/>
            <w:vAlign w:val="center"/>
          </w:tcPr>
          <w:p w14:paraId="49046042">
            <w:pPr>
              <w:keepNext w:val="0"/>
              <w:keepLines w:val="0"/>
              <w:widowControl/>
              <w:suppressLineNumbers w:val="0"/>
              <w:jc w:val="center"/>
              <w:rPr>
                <w:rFonts w:hint="default" w:ascii="Times New Roman Regular" w:hAnsi="Times New Roman Regular" w:eastAsia="宋体" w:cs="Times New Roman Regular"/>
                <w:b w:val="0"/>
                <w:bCs/>
                <w:kern w:val="0"/>
                <w:sz w:val="24"/>
                <w:szCs w:val="24"/>
                <w:lang w:val="en-US" w:eastAsia="zh-CN" w:bidi="ar"/>
              </w:rPr>
            </w:pPr>
            <w:r>
              <w:rPr>
                <w:rFonts w:hint="default" w:ascii="Times New Roman Regular" w:hAnsi="Times New Roman Regular" w:eastAsia="宋体" w:cs="Times New Roman Regular"/>
                <w:b/>
                <w:bCs/>
                <w:kern w:val="0"/>
                <w:sz w:val="24"/>
                <w:szCs w:val="24"/>
                <w:lang w:val="en-US" w:eastAsia="zh-CN" w:bidi="ar"/>
              </w:rPr>
              <w:t>Value score V = (S + I + A) / 3</w:t>
            </w:r>
          </w:p>
        </w:tc>
        <w:tc>
          <w:tcPr>
            <w:tcW w:w="1076" w:type="dxa"/>
            <w:shd w:val="clear" w:color="auto" w:fill="DBE3F4" w:themeFill="accent1" w:themeFillTint="32"/>
            <w:vAlign w:val="center"/>
          </w:tcPr>
          <w:p w14:paraId="279820ED">
            <w:pPr>
              <w:keepNext w:val="0"/>
              <w:keepLines w:val="0"/>
              <w:widowControl/>
              <w:suppressLineNumbers w:val="0"/>
              <w:jc w:val="center"/>
              <w:rPr>
                <w:rFonts w:hint="default" w:ascii="Times New Roman Regular" w:hAnsi="Times New Roman Regular" w:eastAsia="宋体" w:cs="Times New Roman Regular"/>
                <w:b w:val="0"/>
                <w:bCs/>
                <w:kern w:val="0"/>
                <w:sz w:val="24"/>
                <w:szCs w:val="24"/>
                <w:lang w:val="en-US" w:eastAsia="zh-CN" w:bidi="ar"/>
              </w:rPr>
            </w:pPr>
            <w:r>
              <w:rPr>
                <w:rFonts w:hint="default" w:ascii="Times New Roman Regular" w:hAnsi="Times New Roman Regular" w:eastAsia="宋体" w:cs="Times New Roman Regular"/>
                <w:b/>
                <w:bCs/>
                <w:kern w:val="0"/>
                <w:sz w:val="24"/>
                <w:szCs w:val="24"/>
                <w:lang w:val="en-US" w:eastAsia="zh-CN" w:bidi="ar"/>
              </w:rPr>
              <w:t>Risk score R = D</w:t>
            </w:r>
          </w:p>
        </w:tc>
        <w:tc>
          <w:tcPr>
            <w:tcW w:w="1274" w:type="dxa"/>
            <w:shd w:val="clear" w:color="auto" w:fill="DBE3F4" w:themeFill="accent1" w:themeFillTint="32"/>
            <w:vAlign w:val="center"/>
          </w:tcPr>
          <w:p w14:paraId="421F16DE">
            <w:pPr>
              <w:keepNext w:val="0"/>
              <w:keepLines w:val="0"/>
              <w:widowControl/>
              <w:suppressLineNumbers w:val="0"/>
              <w:jc w:val="center"/>
              <w:rPr>
                <w:rFonts w:hint="default" w:ascii="Times New Roman Regular" w:hAnsi="Times New Roman Regular" w:eastAsia="宋体" w:cs="Times New Roman Regular"/>
                <w:b w:val="0"/>
                <w:bCs/>
                <w:kern w:val="0"/>
                <w:sz w:val="24"/>
                <w:szCs w:val="24"/>
                <w:lang w:val="en-US" w:eastAsia="zh-CN" w:bidi="ar"/>
              </w:rPr>
            </w:pPr>
            <w:r>
              <w:rPr>
                <w:rFonts w:hint="default" w:ascii="Times New Roman Regular" w:hAnsi="Times New Roman Regular" w:eastAsia="宋体" w:cs="Times New Roman Regular"/>
                <w:b/>
                <w:bCs/>
                <w:kern w:val="0"/>
                <w:sz w:val="24"/>
                <w:szCs w:val="24"/>
                <w:lang w:val="en-US" w:eastAsia="zh-CN" w:bidi="ar"/>
              </w:rPr>
              <w:t>Governance state</w:t>
            </w:r>
          </w:p>
        </w:tc>
        <w:tc>
          <w:tcPr>
            <w:tcW w:w="1934" w:type="dxa"/>
            <w:shd w:val="clear" w:color="auto" w:fill="DBE3F4" w:themeFill="accent1" w:themeFillTint="32"/>
            <w:vAlign w:val="center"/>
          </w:tcPr>
          <w:p w14:paraId="50261612">
            <w:pPr>
              <w:keepNext w:val="0"/>
              <w:keepLines w:val="0"/>
              <w:widowControl/>
              <w:suppressLineNumbers w:val="0"/>
              <w:jc w:val="center"/>
              <w:rPr>
                <w:rFonts w:hint="default" w:ascii="Times New Roman Regular" w:hAnsi="Times New Roman Regular" w:eastAsia="宋体" w:cs="Times New Roman Regular"/>
                <w:b w:val="0"/>
                <w:bCs/>
                <w:kern w:val="0"/>
                <w:sz w:val="24"/>
                <w:szCs w:val="24"/>
                <w:lang w:val="en-US" w:eastAsia="zh-CN" w:bidi="ar"/>
              </w:rPr>
            </w:pPr>
            <w:r>
              <w:rPr>
                <w:rFonts w:hint="default" w:ascii="Times New Roman Regular" w:hAnsi="Times New Roman Regular" w:eastAsia="宋体" w:cs="Times New Roman Regular"/>
                <w:b/>
                <w:bCs/>
                <w:kern w:val="0"/>
                <w:sz w:val="24"/>
                <w:szCs w:val="24"/>
                <w:lang w:val="en-US" w:eastAsia="zh-CN" w:bidi="ar"/>
              </w:rPr>
              <w:t>Rule orientation</w:t>
            </w:r>
          </w:p>
        </w:tc>
      </w:tr>
      <w:tr w14:paraId="7A8E3A34">
        <w:tc>
          <w:tcPr>
            <w:tcW w:w="2520" w:type="dxa"/>
            <w:vAlign w:val="center"/>
          </w:tcPr>
          <w:p w14:paraId="3BA5627E">
            <w:pPr>
              <w:keepNext w:val="0"/>
              <w:keepLines w:val="0"/>
              <w:widowControl/>
              <w:suppressLineNumbers w:val="0"/>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Mountain/forest–village–farmland–water spatial-pattern gene</w:t>
            </w:r>
          </w:p>
        </w:tc>
        <w:tc>
          <w:tcPr>
            <w:tcW w:w="2000" w:type="dxa"/>
            <w:vAlign w:val="center"/>
          </w:tcPr>
          <w:p w14:paraId="77685259">
            <w:pPr>
              <w:keepNext w:val="0"/>
              <w:keepLines w:val="0"/>
              <w:widowControl/>
              <w:suppressLineNumbers w:val="0"/>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Control boundary</w:t>
            </w:r>
          </w:p>
        </w:tc>
        <w:tc>
          <w:tcPr>
            <w:tcW w:w="1074" w:type="dxa"/>
            <w:vAlign w:val="center"/>
          </w:tcPr>
          <w:p w14:paraId="7A4C6158">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074" w:type="dxa"/>
            <w:vAlign w:val="center"/>
          </w:tcPr>
          <w:p w14:paraId="2A05922A">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074" w:type="dxa"/>
            <w:vAlign w:val="center"/>
          </w:tcPr>
          <w:p w14:paraId="71A213DB">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074" w:type="dxa"/>
            <w:vAlign w:val="center"/>
          </w:tcPr>
          <w:p w14:paraId="1A8FE849">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3</w:t>
            </w:r>
          </w:p>
        </w:tc>
        <w:tc>
          <w:tcPr>
            <w:tcW w:w="1074" w:type="dxa"/>
            <w:vAlign w:val="center"/>
          </w:tcPr>
          <w:p w14:paraId="22EDFE49">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5.00</w:t>
            </w:r>
          </w:p>
        </w:tc>
        <w:tc>
          <w:tcPr>
            <w:tcW w:w="1076" w:type="dxa"/>
            <w:vAlign w:val="center"/>
          </w:tcPr>
          <w:p w14:paraId="69F3AB22">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w:t>
            </w:r>
          </w:p>
        </w:tc>
        <w:tc>
          <w:tcPr>
            <w:tcW w:w="1274" w:type="dxa"/>
            <w:vAlign w:val="center"/>
          </w:tcPr>
          <w:p w14:paraId="33BF9332">
            <w:pPr>
              <w:keepNext w:val="0"/>
              <w:keepLines w:val="0"/>
              <w:widowControl/>
              <w:suppressLineNumbers w:val="0"/>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Continuation</w:t>
            </w:r>
          </w:p>
        </w:tc>
        <w:tc>
          <w:tcPr>
            <w:tcW w:w="1934" w:type="dxa"/>
            <w:vAlign w:val="center"/>
          </w:tcPr>
          <w:p w14:paraId="18F6224A">
            <w:pPr>
              <w:keepNext w:val="0"/>
              <w:keepLines w:val="0"/>
              <w:widowControl/>
              <w:suppressLineNumbers w:val="0"/>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Spatial-pattern continuity</w:t>
            </w:r>
          </w:p>
        </w:tc>
      </w:tr>
      <w:tr w14:paraId="64852A36">
        <w:tc>
          <w:tcPr>
            <w:tcW w:w="2520" w:type="dxa"/>
            <w:vAlign w:val="center"/>
          </w:tcPr>
          <w:p w14:paraId="675DCEF6">
            <w:pPr>
              <w:keepNext w:val="0"/>
              <w:keepLines w:val="0"/>
              <w:widowControl/>
              <w:suppressLineNumbers w:val="0"/>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Fishbone-shaped street-and-lane morphology gene</w:t>
            </w:r>
          </w:p>
        </w:tc>
        <w:tc>
          <w:tcPr>
            <w:tcW w:w="2000" w:type="dxa"/>
            <w:vAlign w:val="center"/>
          </w:tcPr>
          <w:p w14:paraId="5C6F195E">
            <w:pPr>
              <w:keepNext w:val="0"/>
              <w:keepLines w:val="0"/>
              <w:widowControl/>
              <w:suppressLineNumbers w:val="0"/>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Organisational skeleton</w:t>
            </w:r>
          </w:p>
        </w:tc>
        <w:tc>
          <w:tcPr>
            <w:tcW w:w="1074" w:type="dxa"/>
            <w:vAlign w:val="center"/>
          </w:tcPr>
          <w:p w14:paraId="0C165675">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074" w:type="dxa"/>
            <w:vAlign w:val="center"/>
          </w:tcPr>
          <w:p w14:paraId="19C9AE4C">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074" w:type="dxa"/>
            <w:vAlign w:val="center"/>
          </w:tcPr>
          <w:p w14:paraId="3FD27041">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4</w:t>
            </w:r>
          </w:p>
        </w:tc>
        <w:tc>
          <w:tcPr>
            <w:tcW w:w="1074" w:type="dxa"/>
            <w:vAlign w:val="center"/>
          </w:tcPr>
          <w:p w14:paraId="697CECB4">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074" w:type="dxa"/>
            <w:vAlign w:val="center"/>
          </w:tcPr>
          <w:p w14:paraId="705BE28F">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4.67</w:t>
            </w:r>
          </w:p>
        </w:tc>
        <w:tc>
          <w:tcPr>
            <w:tcW w:w="1076" w:type="dxa"/>
            <w:vAlign w:val="center"/>
          </w:tcPr>
          <w:p w14:paraId="5A213570">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1274" w:type="dxa"/>
            <w:vAlign w:val="center"/>
          </w:tcPr>
          <w:p w14:paraId="4B84F936">
            <w:pPr>
              <w:keepNext w:val="0"/>
              <w:keepLines w:val="0"/>
              <w:widowControl/>
              <w:suppressLineNumbers w:val="0"/>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Repair</w:t>
            </w:r>
          </w:p>
        </w:tc>
        <w:tc>
          <w:tcPr>
            <w:tcW w:w="1934" w:type="dxa"/>
            <w:vAlign w:val="center"/>
          </w:tcPr>
          <w:p w14:paraId="6C77E3E4">
            <w:pPr>
              <w:keepNext w:val="0"/>
              <w:keepLines w:val="0"/>
              <w:widowControl/>
              <w:suppressLineNumbers w:val="0"/>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Street-lane fabric repair</w:t>
            </w:r>
          </w:p>
        </w:tc>
      </w:tr>
      <w:tr w14:paraId="7F8078AB">
        <w:tc>
          <w:tcPr>
            <w:tcW w:w="2520" w:type="dxa"/>
            <w:vAlign w:val="center"/>
          </w:tcPr>
          <w:p w14:paraId="3FB31C77">
            <w:pPr>
              <w:keepNext w:val="0"/>
              <w:keepLines w:val="0"/>
              <w:widowControl/>
              <w:suppressLineNumbers w:val="0"/>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Multi-core centripetal spatial-node gene</w:t>
            </w:r>
          </w:p>
        </w:tc>
        <w:tc>
          <w:tcPr>
            <w:tcW w:w="2000" w:type="dxa"/>
            <w:vAlign w:val="center"/>
          </w:tcPr>
          <w:p w14:paraId="5898CBE3">
            <w:pPr>
              <w:keepNext w:val="0"/>
              <w:keepLines w:val="0"/>
              <w:widowControl/>
              <w:suppressLineNumbers w:val="0"/>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Public node</w:t>
            </w:r>
          </w:p>
        </w:tc>
        <w:tc>
          <w:tcPr>
            <w:tcW w:w="1074" w:type="dxa"/>
            <w:vAlign w:val="center"/>
          </w:tcPr>
          <w:p w14:paraId="11808EA8">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4</w:t>
            </w:r>
          </w:p>
        </w:tc>
        <w:tc>
          <w:tcPr>
            <w:tcW w:w="1074" w:type="dxa"/>
            <w:vAlign w:val="center"/>
          </w:tcPr>
          <w:p w14:paraId="3946C679">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074" w:type="dxa"/>
            <w:vAlign w:val="center"/>
          </w:tcPr>
          <w:p w14:paraId="699AE973">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074" w:type="dxa"/>
            <w:vAlign w:val="center"/>
          </w:tcPr>
          <w:p w14:paraId="13157DCB">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3</w:t>
            </w:r>
          </w:p>
        </w:tc>
        <w:tc>
          <w:tcPr>
            <w:tcW w:w="1074" w:type="dxa"/>
            <w:vAlign w:val="center"/>
          </w:tcPr>
          <w:p w14:paraId="26F91042">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4.67</w:t>
            </w:r>
          </w:p>
        </w:tc>
        <w:tc>
          <w:tcPr>
            <w:tcW w:w="1076" w:type="dxa"/>
            <w:vAlign w:val="center"/>
          </w:tcPr>
          <w:p w14:paraId="1A3FC7D8">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w:t>
            </w:r>
          </w:p>
        </w:tc>
        <w:tc>
          <w:tcPr>
            <w:tcW w:w="1274" w:type="dxa"/>
            <w:vAlign w:val="center"/>
          </w:tcPr>
          <w:p w14:paraId="34F3A023">
            <w:pPr>
              <w:keepNext w:val="0"/>
              <w:keepLines w:val="0"/>
              <w:widowControl/>
              <w:suppressLineNumbers w:val="0"/>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Adaptation</w:t>
            </w:r>
          </w:p>
        </w:tc>
        <w:tc>
          <w:tcPr>
            <w:tcW w:w="1934" w:type="dxa"/>
            <w:vAlign w:val="center"/>
          </w:tcPr>
          <w:p w14:paraId="5DE22DB8">
            <w:pPr>
              <w:keepNext w:val="0"/>
              <w:keepLines w:val="0"/>
              <w:widowControl/>
              <w:suppressLineNumbers w:val="0"/>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Node multifunctionality</w:t>
            </w:r>
          </w:p>
        </w:tc>
      </w:tr>
      <w:tr w14:paraId="0F4C9943">
        <w:tc>
          <w:tcPr>
            <w:tcW w:w="2520" w:type="dxa"/>
            <w:vAlign w:val="center"/>
          </w:tcPr>
          <w:p w14:paraId="11CFBA73">
            <w:pPr>
              <w:keepNext w:val="0"/>
              <w:keepLines w:val="0"/>
              <w:widowControl/>
              <w:suppressLineNumbers w:val="0"/>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White-walls-and-grey-tiles courtyard gene</w:t>
            </w:r>
          </w:p>
        </w:tc>
        <w:tc>
          <w:tcPr>
            <w:tcW w:w="2000" w:type="dxa"/>
            <w:vAlign w:val="center"/>
          </w:tcPr>
          <w:p w14:paraId="3ABD01C6">
            <w:pPr>
              <w:keepNext w:val="0"/>
              <w:keepLines w:val="0"/>
              <w:widowControl/>
              <w:suppressLineNumbers w:val="0"/>
              <w:jc w:val="lef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Architectural unit</w:t>
            </w:r>
          </w:p>
        </w:tc>
        <w:tc>
          <w:tcPr>
            <w:tcW w:w="1074" w:type="dxa"/>
            <w:vAlign w:val="center"/>
          </w:tcPr>
          <w:p w14:paraId="4914E570">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3</w:t>
            </w:r>
          </w:p>
        </w:tc>
        <w:tc>
          <w:tcPr>
            <w:tcW w:w="1074" w:type="dxa"/>
            <w:vAlign w:val="center"/>
          </w:tcPr>
          <w:p w14:paraId="2644B241">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4</w:t>
            </w:r>
          </w:p>
        </w:tc>
        <w:tc>
          <w:tcPr>
            <w:tcW w:w="1074" w:type="dxa"/>
            <w:vAlign w:val="center"/>
          </w:tcPr>
          <w:p w14:paraId="01C3DFBD">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3</w:t>
            </w:r>
          </w:p>
        </w:tc>
        <w:tc>
          <w:tcPr>
            <w:tcW w:w="1074" w:type="dxa"/>
            <w:vAlign w:val="center"/>
          </w:tcPr>
          <w:p w14:paraId="537B0368">
            <w:pPr>
              <w:keepNext w:val="0"/>
              <w:keepLines w:val="0"/>
              <w:widowControl/>
              <w:suppressLineNumbers w:val="0"/>
              <w:jc w:val="right"/>
              <w:rPr>
                <w:rFonts w:hint="default" w:ascii="Times New Roman Regular" w:hAnsi="Times New Roman Regular" w:cs="Times New Roman Regular"/>
                <w:b w:val="0"/>
                <w:sz w:val="24"/>
                <w:szCs w:val="24"/>
                <w:vertAlign w:val="baseline"/>
              </w:rPr>
            </w:pPr>
            <w:r>
              <w:rPr>
                <w:rFonts w:hint="default" w:ascii="Times New Roman Regular" w:hAnsi="Times New Roman Regular" w:eastAsia="宋体" w:cs="Times New Roman Regular"/>
                <w:kern w:val="0"/>
                <w:sz w:val="24"/>
                <w:szCs w:val="24"/>
                <w:lang w:val="en-US" w:eastAsia="zh-CN" w:bidi="ar"/>
              </w:rPr>
              <w:t>5</w:t>
            </w:r>
          </w:p>
        </w:tc>
        <w:tc>
          <w:tcPr>
            <w:tcW w:w="1074" w:type="dxa"/>
            <w:vAlign w:val="center"/>
          </w:tcPr>
          <w:p w14:paraId="6F912E99">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3.33</w:t>
            </w:r>
          </w:p>
        </w:tc>
        <w:tc>
          <w:tcPr>
            <w:tcW w:w="1076" w:type="dxa"/>
            <w:vAlign w:val="center"/>
          </w:tcPr>
          <w:p w14:paraId="49283830">
            <w:pPr>
              <w:keepNext w:val="0"/>
              <w:keepLines w:val="0"/>
              <w:widowControl/>
              <w:suppressLineNumbers w:val="0"/>
              <w:jc w:val="righ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1274" w:type="dxa"/>
            <w:vAlign w:val="center"/>
          </w:tcPr>
          <w:p w14:paraId="4E2BFB8B">
            <w:pPr>
              <w:keepNext w:val="0"/>
              <w:keepLines w:val="0"/>
              <w:widowControl/>
              <w:suppressLineNumbers w:val="0"/>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Adaptation</w:t>
            </w:r>
          </w:p>
        </w:tc>
        <w:tc>
          <w:tcPr>
            <w:tcW w:w="1934" w:type="dxa"/>
            <w:vAlign w:val="center"/>
          </w:tcPr>
          <w:p w14:paraId="59F78DC7">
            <w:pPr>
              <w:keepNext w:val="0"/>
              <w:keepLines w:val="0"/>
              <w:widowControl/>
              <w:suppressLineNumbers w:val="0"/>
              <w:jc w:val="left"/>
              <w:rPr>
                <w:rFonts w:hint="default" w:ascii="Times New Roman Regular" w:hAnsi="Times New Roman Regular" w:eastAsia="宋体" w:cs="Times New Roman Regular"/>
                <w:b w:val="0"/>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Courtyard adaptation</w:t>
            </w:r>
          </w:p>
        </w:tc>
      </w:tr>
      <w:tr w14:paraId="5059FD7F">
        <w:tc>
          <w:tcPr>
            <w:tcW w:w="2520" w:type="dxa"/>
            <w:vAlign w:val="center"/>
          </w:tcPr>
          <w:p w14:paraId="7D5E7A43">
            <w:pPr>
              <w:keepNext w:val="0"/>
              <w:keepLines w:val="0"/>
              <w:widowControl/>
              <w:suppressLineNumbers w:val="0"/>
              <w:jc w:val="lef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Post-and-lintel/interlocking timber-frame material gene</w:t>
            </w:r>
          </w:p>
        </w:tc>
        <w:tc>
          <w:tcPr>
            <w:tcW w:w="2000" w:type="dxa"/>
            <w:vAlign w:val="center"/>
          </w:tcPr>
          <w:p w14:paraId="1BB639C3">
            <w:pPr>
              <w:keepNext w:val="0"/>
              <w:keepLines w:val="0"/>
              <w:widowControl/>
              <w:suppressLineNumbers w:val="0"/>
              <w:jc w:val="lef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Material interface</w:t>
            </w:r>
          </w:p>
        </w:tc>
        <w:tc>
          <w:tcPr>
            <w:tcW w:w="1074" w:type="dxa"/>
            <w:vAlign w:val="center"/>
          </w:tcPr>
          <w:p w14:paraId="11737C45">
            <w:pPr>
              <w:keepNext w:val="0"/>
              <w:keepLines w:val="0"/>
              <w:widowControl/>
              <w:suppressLineNumbers w:val="0"/>
              <w:jc w:val="righ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w:t>
            </w:r>
          </w:p>
        </w:tc>
        <w:tc>
          <w:tcPr>
            <w:tcW w:w="1074" w:type="dxa"/>
            <w:vAlign w:val="center"/>
          </w:tcPr>
          <w:p w14:paraId="24B14ABF">
            <w:pPr>
              <w:keepNext w:val="0"/>
              <w:keepLines w:val="0"/>
              <w:widowControl/>
              <w:suppressLineNumbers w:val="0"/>
              <w:jc w:val="righ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4</w:t>
            </w:r>
          </w:p>
        </w:tc>
        <w:tc>
          <w:tcPr>
            <w:tcW w:w="1074" w:type="dxa"/>
            <w:vAlign w:val="center"/>
          </w:tcPr>
          <w:p w14:paraId="5A766A5B">
            <w:pPr>
              <w:keepNext w:val="0"/>
              <w:keepLines w:val="0"/>
              <w:widowControl/>
              <w:suppressLineNumbers w:val="0"/>
              <w:jc w:val="righ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w:t>
            </w:r>
          </w:p>
        </w:tc>
        <w:tc>
          <w:tcPr>
            <w:tcW w:w="1074" w:type="dxa"/>
            <w:vAlign w:val="center"/>
          </w:tcPr>
          <w:p w14:paraId="013A8C79">
            <w:pPr>
              <w:keepNext w:val="0"/>
              <w:keepLines w:val="0"/>
              <w:widowControl/>
              <w:suppressLineNumbers w:val="0"/>
              <w:jc w:val="righ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1074" w:type="dxa"/>
            <w:vAlign w:val="center"/>
          </w:tcPr>
          <w:p w14:paraId="072AC952">
            <w:pPr>
              <w:keepNext w:val="0"/>
              <w:keepLines w:val="0"/>
              <w:widowControl/>
              <w:suppressLineNumbers w:val="0"/>
              <w:jc w:val="righ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3.33</w:t>
            </w:r>
          </w:p>
        </w:tc>
        <w:tc>
          <w:tcPr>
            <w:tcW w:w="1076" w:type="dxa"/>
            <w:vAlign w:val="center"/>
          </w:tcPr>
          <w:p w14:paraId="4DB5E0B0">
            <w:pPr>
              <w:keepNext w:val="0"/>
              <w:keepLines w:val="0"/>
              <w:widowControl/>
              <w:suppressLineNumbers w:val="0"/>
              <w:jc w:val="righ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5</w:t>
            </w:r>
          </w:p>
        </w:tc>
        <w:tc>
          <w:tcPr>
            <w:tcW w:w="1274" w:type="dxa"/>
            <w:vAlign w:val="center"/>
          </w:tcPr>
          <w:p w14:paraId="7C3C2E42">
            <w:pPr>
              <w:keepNext w:val="0"/>
              <w:keepLines w:val="0"/>
              <w:widowControl/>
              <w:suppressLineNumbers w:val="0"/>
              <w:jc w:val="lef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Repair/adaptation</w:t>
            </w:r>
          </w:p>
        </w:tc>
        <w:tc>
          <w:tcPr>
            <w:tcW w:w="1934" w:type="dxa"/>
            <w:vAlign w:val="center"/>
          </w:tcPr>
          <w:p w14:paraId="7E5C23CE">
            <w:pPr>
              <w:keepNext w:val="0"/>
              <w:keepLines w:val="0"/>
              <w:widowControl/>
              <w:suppressLineNumbers w:val="0"/>
              <w:jc w:val="left"/>
              <w:rPr>
                <w:rFonts w:hint="default" w:ascii="Times New Roman Regular" w:hAnsi="Times New Roman Regular" w:eastAsia="宋体" w:cs="Times New Roman Regular"/>
                <w:kern w:val="0"/>
                <w:sz w:val="24"/>
                <w:szCs w:val="24"/>
                <w:lang w:val="en-US" w:eastAsia="zh-CN" w:bidi="ar"/>
              </w:rPr>
            </w:pPr>
            <w:r>
              <w:rPr>
                <w:rFonts w:hint="default" w:ascii="Times New Roman Regular" w:hAnsi="Times New Roman Regular" w:eastAsia="宋体" w:cs="Times New Roman Regular"/>
                <w:kern w:val="0"/>
                <w:sz w:val="24"/>
                <w:szCs w:val="24"/>
                <w:lang w:val="en-US" w:eastAsia="zh-CN" w:bidi="ar"/>
              </w:rPr>
              <w:t>Material-interface coordination</w:t>
            </w:r>
          </w:p>
        </w:tc>
      </w:tr>
    </w:tbl>
    <w:p w14:paraId="7D7FD3AC">
      <w:pPr>
        <w:pStyle w:val="2"/>
        <w:keepNext w:val="0"/>
        <w:keepLines w:val="0"/>
        <w:widowControl/>
        <w:suppressLineNumbers w:val="0"/>
      </w:pPr>
      <w:r>
        <w:rPr>
          <w:rStyle w:val="6"/>
        </w:rPr>
        <w:t>Note:</w:t>
      </w:r>
      <w:r>
        <w:t xml:space="preserve"> </w:t>
      </w:r>
      <w:r>
        <w:rPr>
          <w:rFonts w:hint="eastAsia"/>
        </w:rPr>
        <w:t>The rows labelled “Coder 1” and “Coder 2” record the independent scores assigned by the two researchers. The rows labelled “Final consensus” record the values used in the manuscript after evidence rechecking and consensus review</w:t>
      </w:r>
      <w:r>
        <w:t>.</w:t>
      </w:r>
    </w:p>
    <w:p w14:paraId="09BDB4DA">
      <w:pPr>
        <w:pStyle w:val="2"/>
        <w:keepNext w:val="0"/>
        <w:keepLines w:val="0"/>
        <w:widowControl/>
        <w:suppressLineNumbers w:val="0"/>
        <w:jc w:val="center"/>
        <w:rPr>
          <w:rStyle w:val="6"/>
        </w:rPr>
      </w:pPr>
    </w:p>
    <w:p w14:paraId="51637CA7"/>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Times New Roman Regular">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Regular">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DFF5AAB"/>
    <w:rsid w:val="11900817"/>
    <w:rsid w:val="14515D10"/>
    <w:rsid w:val="1E970A92"/>
    <w:rsid w:val="1F7F6591"/>
    <w:rsid w:val="2EFC75F9"/>
    <w:rsid w:val="2FE61FC2"/>
    <w:rsid w:val="3FF713CA"/>
    <w:rsid w:val="55297D14"/>
    <w:rsid w:val="5BCB6C65"/>
    <w:rsid w:val="76F74D23"/>
    <w:rsid w:val="7BFDC5A2"/>
    <w:rsid w:val="DFDBD1F3"/>
    <w:rsid w:val="EDFF5AAB"/>
    <w:rsid w:val="EFECC9E9"/>
    <w:rsid w:val="EFFDD3CE"/>
    <w:rsid w:val="F6BFA5A5"/>
    <w:rsid w:val="F6D31474"/>
    <w:rsid w:val="F713FBB7"/>
    <w:rsid w:val="F7E2DC9F"/>
    <w:rsid w:val="FAFF2B49"/>
    <w:rsid w:val="FB4BB322"/>
    <w:rsid w:val="FD6F14CA"/>
    <w:rsid w:val="FFBA7EC0"/>
    <w:rsid w:val="FFFF5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458</Words>
  <Characters>3051</Characters>
  <Lines>0</Lines>
  <Paragraphs>0</Paragraphs>
  <TotalTime>0</TotalTime>
  <ScaleCrop>false</ScaleCrop>
  <LinksUpToDate>false</LinksUpToDate>
  <CharactersWithSpaces>3320</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2026-09-03T11:47:00Z</dcterms:created>
  <dc:creator>刘畅</dc:creator>
  <cp:lastModifiedBy>刘畅</cp:lastModifiedBy>
  <dcterms:modified xsi:type="dcterms:W3CDTF">2026-09-04T12:12:52Z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C2139453E284C84B1F3E9A6A283A8931_43</vt:lpwstr>
  </property>
  <property fmtid="{D5CDD505-2E9C-101B-9397-08002B2CF9AE}" pid="4" name="KSOTemplateDocerSaveRecord">
    <vt:lpwstr>eyJoZGlkIjoiYTA1OTI4M2VlMDhjMWQ5ODNkOTdmYzMzZmJhYjA4OGIiLCJ1c2VySWQiOiI2MTg2NTMwOTEifQ==</vt:lpwstr>
  </property>
</Properties>
</file>