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C1A46">
      <w:pPr>
        <w:spacing w:line="360" w:lineRule="auto"/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>Supplementary Table S8. Scenario-validation records for Shichuangou Village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452"/>
        <w:gridCol w:w="1873"/>
        <w:gridCol w:w="1949"/>
        <w:gridCol w:w="1503"/>
        <w:gridCol w:w="1134"/>
        <w:gridCol w:w="1273"/>
        <w:gridCol w:w="2022"/>
        <w:gridCol w:w="1734"/>
      </w:tblGrid>
      <w:tr w14:paraId="2E457C6C">
        <w:trPr>
          <w:tblHeader/>
        </w:trPr>
        <w:tc>
          <w:tcPr>
            <w:tcW w:w="1234" w:type="dxa"/>
            <w:shd w:val="clear" w:color="auto" w:fill="DBE3F4" w:themeFill="accent1" w:themeFillTint="32"/>
            <w:vAlign w:val="center"/>
          </w:tcPr>
          <w:p w14:paraId="478E1A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Scenario</w:t>
            </w:r>
          </w:p>
        </w:tc>
        <w:tc>
          <w:tcPr>
            <w:tcW w:w="1452" w:type="dxa"/>
            <w:shd w:val="clear" w:color="auto" w:fill="DBE3F4" w:themeFill="accent1" w:themeFillTint="32"/>
            <w:vAlign w:val="center"/>
          </w:tcPr>
          <w:p w14:paraId="78839B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Governance context</w:t>
            </w:r>
          </w:p>
        </w:tc>
        <w:tc>
          <w:tcPr>
            <w:tcW w:w="1873" w:type="dxa"/>
            <w:shd w:val="clear" w:color="auto" w:fill="DBE3F4" w:themeFill="accent1" w:themeFillTint="32"/>
            <w:vAlign w:val="center"/>
          </w:tcPr>
          <w:p w14:paraId="5B223B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Main renewal issue</w:t>
            </w:r>
          </w:p>
        </w:tc>
        <w:tc>
          <w:tcPr>
            <w:tcW w:w="1949" w:type="dxa"/>
            <w:shd w:val="clear" w:color="auto" w:fill="DBE3F4" w:themeFill="accent1" w:themeFillTint="32"/>
            <w:vAlign w:val="center"/>
          </w:tcPr>
          <w:p w14:paraId="2BA73B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Affected space gene</w:t>
            </w:r>
          </w:p>
        </w:tc>
        <w:tc>
          <w:tcPr>
            <w:tcW w:w="1503" w:type="dxa"/>
            <w:shd w:val="clear" w:color="auto" w:fill="DBE3F4" w:themeFill="accent1" w:themeFillTint="32"/>
            <w:vAlign w:val="center"/>
          </w:tcPr>
          <w:p w14:paraId="7C81A5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Governance attributes</w:t>
            </w:r>
          </w:p>
        </w:tc>
        <w:tc>
          <w:tcPr>
            <w:tcW w:w="1134" w:type="dxa"/>
            <w:shd w:val="clear" w:color="auto" w:fill="DBE3F4" w:themeFill="accent1" w:themeFillTint="32"/>
            <w:vAlign w:val="center"/>
          </w:tcPr>
          <w:p w14:paraId="4D08B4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Evidence used</w:t>
            </w:r>
          </w:p>
        </w:tc>
        <w:tc>
          <w:tcPr>
            <w:tcW w:w="1273" w:type="dxa"/>
            <w:shd w:val="clear" w:color="auto" w:fill="DBE3F4" w:themeFill="accent1" w:themeFillTint="32"/>
            <w:vAlign w:val="center"/>
          </w:tcPr>
          <w:p w14:paraId="456A8F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Rule called</w:t>
            </w:r>
          </w:p>
        </w:tc>
        <w:tc>
          <w:tcPr>
            <w:tcW w:w="2022" w:type="dxa"/>
            <w:shd w:val="clear" w:color="auto" w:fill="DBE3F4" w:themeFill="accent1" w:themeFillTint="32"/>
            <w:vAlign w:val="center"/>
          </w:tcPr>
          <w:p w14:paraId="311CFB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Toolbox component used</w:t>
            </w:r>
          </w:p>
        </w:tc>
        <w:tc>
          <w:tcPr>
            <w:tcW w:w="1734" w:type="dxa"/>
            <w:shd w:val="clear" w:color="auto" w:fill="DBE3F4" w:themeFill="accent1" w:themeFillTint="32"/>
            <w:vAlign w:val="center"/>
          </w:tcPr>
          <w:p w14:paraId="413495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Validation judgement</w:t>
            </w:r>
          </w:p>
        </w:tc>
      </w:tr>
      <w:tr w14:paraId="06523474">
        <w:tc>
          <w:tcPr>
            <w:tcW w:w="1234" w:type="dxa"/>
            <w:vAlign w:val="center"/>
          </w:tcPr>
          <w:p w14:paraId="0926E2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Parking and visitor-service facility insertion</w:t>
            </w:r>
          </w:p>
        </w:tc>
        <w:tc>
          <w:tcPr>
            <w:tcW w:w="1452" w:type="dxa"/>
            <w:vAlign w:val="center"/>
          </w:tcPr>
          <w:p w14:paraId="1452DE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Village planning; project siting; tourism facility layout</w:t>
            </w:r>
          </w:p>
        </w:tc>
        <w:tc>
          <w:tcPr>
            <w:tcW w:w="1873" w:type="dxa"/>
            <w:vAlign w:val="center"/>
          </w:tcPr>
          <w:p w14:paraId="07541E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Parking areas and visitor-service facilities may occupy the river-valley corridor, disturb settlement edges and alter street-lane circulation</w:t>
            </w:r>
          </w:p>
        </w:tc>
        <w:tc>
          <w:tcPr>
            <w:tcW w:w="1949" w:type="dxa"/>
            <w:vAlign w:val="center"/>
          </w:tcPr>
          <w:p w14:paraId="22E85A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Mountain/forest–village–farmland–water spatial-pattern gene; fishbone-shaped street-and-lane morphology gene</w:t>
            </w:r>
          </w:p>
        </w:tc>
        <w:tc>
          <w:tcPr>
            <w:tcW w:w="1503" w:type="dxa"/>
            <w:vAlign w:val="center"/>
          </w:tcPr>
          <w:p w14:paraId="70EBB6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Control boundary; organisational skeleton</w:t>
            </w:r>
          </w:p>
        </w:tc>
        <w:tc>
          <w:tcPr>
            <w:tcW w:w="1134" w:type="dxa"/>
            <w:vAlign w:val="center"/>
          </w:tcPr>
          <w:p w14:paraId="72ABD6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Village plan, UAV image, field photographs, field observation, interview notes</w:t>
            </w:r>
          </w:p>
        </w:tc>
        <w:tc>
          <w:tcPr>
            <w:tcW w:w="1273" w:type="dxa"/>
            <w:vAlign w:val="center"/>
          </w:tcPr>
          <w:p w14:paraId="48EF7C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Boundary control; ecological corridor protection; street-skeleton continuity; slow-mobility organisation</w:t>
            </w:r>
          </w:p>
        </w:tc>
        <w:tc>
          <w:tcPr>
            <w:tcW w:w="2022" w:type="dxa"/>
            <w:vAlign w:val="center"/>
          </w:tcPr>
          <w:p w14:paraId="0F37B5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Governance zoning map; value–risk–rule checklist; dynamic project database</w:t>
            </w:r>
          </w:p>
        </w:tc>
        <w:tc>
          <w:tcPr>
            <w:tcW w:w="1734" w:type="dxa"/>
            <w:vAlign w:val="center"/>
          </w:tcPr>
          <w:p w14:paraId="25617A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Facilities may be conditionally inserted in moderate renewal or flexible development zones, but should not occupy core conservation areas, ecological corridors or traditional street-lane skeletons.</w:t>
            </w:r>
          </w:p>
        </w:tc>
      </w:tr>
      <w:tr w14:paraId="5A470832">
        <w:tc>
          <w:tcPr>
            <w:tcW w:w="1234" w:type="dxa"/>
            <w:vAlign w:val="center"/>
          </w:tcPr>
          <w:p w14:paraId="4877D3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Public-node renewal</w:t>
            </w:r>
          </w:p>
        </w:tc>
        <w:tc>
          <w:tcPr>
            <w:tcW w:w="1452" w:type="dxa"/>
            <w:vAlign w:val="center"/>
          </w:tcPr>
          <w:p w14:paraId="6FF618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Public-space renewal; service facility insertion</w:t>
            </w:r>
          </w:p>
        </w:tc>
        <w:tc>
          <w:tcPr>
            <w:tcW w:w="1873" w:type="dxa"/>
            <w:vAlign w:val="center"/>
          </w:tcPr>
          <w:p w14:paraId="27A679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Public nodes may be over-landscaped, commercialised or tourism-oriented, weakening everyday public use by villagers</w:t>
            </w:r>
          </w:p>
        </w:tc>
        <w:tc>
          <w:tcPr>
            <w:tcW w:w="1949" w:type="dxa"/>
            <w:vAlign w:val="center"/>
          </w:tcPr>
          <w:p w14:paraId="263CAB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Multi-core centripetal public-node gene</w:t>
            </w:r>
          </w:p>
        </w:tc>
        <w:tc>
          <w:tcPr>
            <w:tcW w:w="1503" w:type="dxa"/>
            <w:vAlign w:val="center"/>
          </w:tcPr>
          <w:p w14:paraId="48C456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Public node</w:t>
            </w:r>
          </w:p>
        </w:tc>
        <w:tc>
          <w:tcPr>
            <w:tcW w:w="1134" w:type="dxa"/>
            <w:vAlign w:val="center"/>
          </w:tcPr>
          <w:p w14:paraId="66E2A7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Node distribution map, field photographs, activity observation, interview notes</w:t>
            </w:r>
          </w:p>
        </w:tc>
        <w:tc>
          <w:tcPr>
            <w:tcW w:w="1273" w:type="dxa"/>
            <w:vAlign w:val="center"/>
          </w:tcPr>
          <w:p w14:paraId="7EB23D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Node multifunctionality; public-service insertion; local-memory retention; coordination between old and new nodes</w:t>
            </w:r>
          </w:p>
        </w:tc>
        <w:tc>
          <w:tcPr>
            <w:tcW w:w="2022" w:type="dxa"/>
            <w:vAlign w:val="center"/>
          </w:tcPr>
          <w:p w14:paraId="00025A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Value–risk–rule checklist; adaptive renewal rule set</w:t>
            </w:r>
          </w:p>
        </w:tc>
        <w:tc>
          <w:tcPr>
            <w:tcW w:w="1734" w:type="dxa"/>
            <w:vAlign w:val="center"/>
          </w:tcPr>
          <w:p w14:paraId="71CF8B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Renewal should retain everyday public use and village social interaction, while allowing compatible service, display and visitor functions.</w:t>
            </w:r>
          </w:p>
        </w:tc>
      </w:tr>
      <w:tr w14:paraId="1B94386A">
        <w:tc>
          <w:tcPr>
            <w:tcW w:w="1234" w:type="dxa"/>
            <w:vAlign w:val="center"/>
          </w:tcPr>
          <w:p w14:paraId="7C294E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Rural housing and guesthouse renovation</w:t>
            </w:r>
          </w:p>
        </w:tc>
        <w:tc>
          <w:tcPr>
            <w:tcW w:w="1452" w:type="dxa"/>
            <w:vAlign w:val="center"/>
          </w:tcPr>
          <w:p w14:paraId="1E3961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Rural housing renovation; guesthouse conversion</w:t>
            </w:r>
          </w:p>
        </w:tc>
        <w:tc>
          <w:tcPr>
            <w:tcW w:w="1873" w:type="dxa"/>
            <w:vAlign w:val="center"/>
          </w:tcPr>
          <w:p w14:paraId="39D329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Building extension, height increase, courtyard hardening and commercial insertion may disturb courtyard scale, spatial layers and street-facing interfaces</w:t>
            </w:r>
          </w:p>
        </w:tc>
        <w:tc>
          <w:tcPr>
            <w:tcW w:w="1949" w:type="dxa"/>
            <w:vAlign w:val="center"/>
          </w:tcPr>
          <w:p w14:paraId="3DD300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White-walls-and-grey-tiles courtyard gene</w:t>
            </w:r>
          </w:p>
        </w:tc>
        <w:tc>
          <w:tcPr>
            <w:tcW w:w="1503" w:type="dxa"/>
            <w:vAlign w:val="center"/>
          </w:tcPr>
          <w:p w14:paraId="21E817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Architectural unit</w:t>
            </w:r>
          </w:p>
        </w:tc>
        <w:tc>
          <w:tcPr>
            <w:tcW w:w="1134" w:type="dxa"/>
            <w:vAlign w:val="center"/>
          </w:tcPr>
          <w:p w14:paraId="2569E2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Courtyard survey, field photographs, interview notes, housing-renovation records</w:t>
            </w:r>
          </w:p>
        </w:tc>
        <w:tc>
          <w:tcPr>
            <w:tcW w:w="1273" w:type="dxa"/>
            <w:vAlign w:val="center"/>
          </w:tcPr>
          <w:p w14:paraId="70EFE8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Courtyard-scale control; dwelling adaptation; courtyard reuse; street-interface maintenance</w:t>
            </w:r>
          </w:p>
        </w:tc>
        <w:tc>
          <w:tcPr>
            <w:tcW w:w="2022" w:type="dxa"/>
            <w:vAlign w:val="center"/>
          </w:tcPr>
          <w:p w14:paraId="067698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Checklist; adaptive renewal rule set; dynamic project database</w:t>
            </w:r>
          </w:p>
        </w:tc>
        <w:tc>
          <w:tcPr>
            <w:tcW w:w="1734" w:type="dxa"/>
            <w:vAlign w:val="center"/>
          </w:tcPr>
          <w:p w14:paraId="691A32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Housing improvement and guesthouse conversion may be allowed, but building height, volume, courtyard depth and street interface should be controlled.</w:t>
            </w:r>
          </w:p>
        </w:tc>
      </w:tr>
      <w:tr w14:paraId="292385D0">
        <w:tc>
          <w:tcPr>
            <w:tcW w:w="1234" w:type="dxa"/>
            <w:vAlign w:val="center"/>
          </w:tcPr>
          <w:p w14:paraId="186DF8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Material-interface control</w:t>
            </w:r>
          </w:p>
        </w:tc>
        <w:tc>
          <w:tcPr>
            <w:tcW w:w="1452" w:type="dxa"/>
            <w:vAlign w:val="center"/>
          </w:tcPr>
          <w:p w14:paraId="0D745F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Façade renewal; building repair; material replacement</w:t>
            </w:r>
          </w:p>
        </w:tc>
        <w:tc>
          <w:tcPr>
            <w:tcW w:w="1873" w:type="dxa"/>
            <w:vAlign w:val="center"/>
          </w:tcPr>
          <w:p w14:paraId="5423A1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Modern materials, uniform façade treatment and decorative renovation may weaken local construction character</w:t>
            </w:r>
          </w:p>
        </w:tc>
        <w:tc>
          <w:tcPr>
            <w:tcW w:w="1949" w:type="dxa"/>
            <w:vAlign w:val="center"/>
          </w:tcPr>
          <w:p w14:paraId="1FE5E7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Post-and-lintel/interlocking timber-frame material gene</w:t>
            </w:r>
          </w:p>
        </w:tc>
        <w:tc>
          <w:tcPr>
            <w:tcW w:w="1503" w:type="dxa"/>
            <w:vAlign w:val="center"/>
          </w:tcPr>
          <w:p w14:paraId="6310F8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Material interface</w:t>
            </w:r>
          </w:p>
        </w:tc>
        <w:tc>
          <w:tcPr>
            <w:tcW w:w="1134" w:type="dxa"/>
            <w:vAlign w:val="center"/>
          </w:tcPr>
          <w:p w14:paraId="54523C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Material survey, construction photographs, field observation, interview notes</w:t>
            </w:r>
          </w:p>
        </w:tc>
        <w:tc>
          <w:tcPr>
            <w:tcW w:w="1273" w:type="dxa"/>
            <w:vAlign w:val="center"/>
          </w:tcPr>
          <w:p w14:paraId="193A03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Material coordination; colour–texture control; selective repair; continuation of local construction logic</w:t>
            </w:r>
          </w:p>
        </w:tc>
        <w:tc>
          <w:tcPr>
            <w:tcW w:w="2022" w:type="dxa"/>
            <w:vAlign w:val="center"/>
          </w:tcPr>
          <w:p w14:paraId="10C029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Checklist; material guidance; dynamic project database</w:t>
            </w:r>
          </w:p>
        </w:tc>
        <w:tc>
          <w:tcPr>
            <w:tcW w:w="1734" w:type="dxa"/>
            <w:vAlign w:val="center"/>
          </w:tcPr>
          <w:p w14:paraId="1F53C4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Representative interfaces in core areas and along key lanes should retain local material logic; modern materials may be used in ordinary areas only through coordinated substitution.</w:t>
            </w:r>
          </w:p>
        </w:tc>
      </w:tr>
      <w:tr w14:paraId="253D4402">
        <w:tc>
          <w:tcPr>
            <w:tcW w:w="1234" w:type="dxa"/>
            <w:vAlign w:val="center"/>
          </w:tcPr>
          <w:p w14:paraId="10AB23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Industrial development and tourism insertion</w:t>
            </w:r>
          </w:p>
        </w:tc>
        <w:tc>
          <w:tcPr>
            <w:tcW w:w="1452" w:type="dxa"/>
            <w:vAlign w:val="center"/>
          </w:tcPr>
          <w:p w14:paraId="1F871C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Industrial development; tourism planning; project review</w:t>
            </w:r>
          </w:p>
        </w:tc>
        <w:tc>
          <w:tcPr>
            <w:tcW w:w="1873" w:type="dxa"/>
            <w:vAlign w:val="center"/>
          </w:tcPr>
          <w:p w14:paraId="17AABF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Guesthouses, restaurants, exhibition spaces and tourism routes may increase spatial congestion, occupy public nodes and compress villagers’ living space</w:t>
            </w:r>
          </w:p>
        </w:tc>
        <w:tc>
          <w:tcPr>
            <w:tcW w:w="1949" w:type="dxa"/>
            <w:vAlign w:val="center"/>
          </w:tcPr>
          <w:p w14:paraId="44A73C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Spatial-pattern gene; street-and-lane morphology gene; public-node gene; courtyard gene; construction-material gene</w:t>
            </w:r>
          </w:p>
        </w:tc>
        <w:tc>
          <w:tcPr>
            <w:tcW w:w="1503" w:type="dxa"/>
            <w:vAlign w:val="center"/>
          </w:tcPr>
          <w:p w14:paraId="038CF8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Control boundary; organisational skeleton; public node; architectural unit; material interface</w:t>
            </w:r>
          </w:p>
        </w:tc>
        <w:tc>
          <w:tcPr>
            <w:tcW w:w="1134" w:type="dxa"/>
            <w:vAlign w:val="center"/>
          </w:tcPr>
          <w:p w14:paraId="63F597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Planning documents, project records, field photographs, interviews, UAV images</w:t>
            </w:r>
          </w:p>
        </w:tc>
        <w:tc>
          <w:tcPr>
            <w:tcW w:w="1273" w:type="dxa"/>
            <w:vAlign w:val="center"/>
          </w:tcPr>
          <w:p w14:paraId="45CD3D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Industrial insertion constraint; visitor-circulation organisation; node multifunctionality; courtyard adaptation; material-interface coordination</w:t>
            </w:r>
          </w:p>
        </w:tc>
        <w:tc>
          <w:tcPr>
            <w:tcW w:w="2022" w:type="dxa"/>
            <w:vAlign w:val="center"/>
          </w:tcPr>
          <w:p w14:paraId="33A228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Governance zoning map; checklist; dynamic project database; adaptive rule set</w:t>
            </w:r>
          </w:p>
        </w:tc>
        <w:tc>
          <w:tcPr>
            <w:tcW w:w="1734" w:type="dxa"/>
            <w:vAlign w:val="center"/>
          </w:tcPr>
          <w:p w14:paraId="02AD9F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Industrial and tourism projects should be prioritised in moderate renewal and flexible development zones and reviewed according to capacity, traffic, publicness and architectural-character requirements.</w:t>
            </w:r>
          </w:p>
        </w:tc>
      </w:tr>
      <w:tr w14:paraId="5F8D9B0B">
        <w:tc>
          <w:tcPr>
            <w:tcW w:w="1234" w:type="dxa"/>
            <w:vAlign w:val="center"/>
          </w:tcPr>
          <w:p w14:paraId="5A1EB5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Scenario</w:t>
            </w:r>
          </w:p>
        </w:tc>
        <w:tc>
          <w:tcPr>
            <w:tcW w:w="1452" w:type="dxa"/>
            <w:vAlign w:val="center"/>
          </w:tcPr>
          <w:p w14:paraId="5E72D2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Governance context</w:t>
            </w:r>
          </w:p>
        </w:tc>
        <w:tc>
          <w:tcPr>
            <w:tcW w:w="1873" w:type="dxa"/>
            <w:vAlign w:val="center"/>
          </w:tcPr>
          <w:p w14:paraId="04D239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Main renewal issue</w:t>
            </w:r>
          </w:p>
        </w:tc>
        <w:tc>
          <w:tcPr>
            <w:tcW w:w="1949" w:type="dxa"/>
            <w:vAlign w:val="center"/>
          </w:tcPr>
          <w:p w14:paraId="33E6B2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Affected space genes</w:t>
            </w:r>
          </w:p>
        </w:tc>
        <w:tc>
          <w:tcPr>
            <w:tcW w:w="1503" w:type="dxa"/>
            <w:vAlign w:val="center"/>
          </w:tcPr>
          <w:p w14:paraId="355625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Governance attributes</w:t>
            </w:r>
          </w:p>
        </w:tc>
        <w:tc>
          <w:tcPr>
            <w:tcW w:w="1134" w:type="dxa"/>
            <w:vAlign w:val="center"/>
          </w:tcPr>
          <w:p w14:paraId="5A2151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Evidence used</w:t>
            </w:r>
          </w:p>
        </w:tc>
        <w:tc>
          <w:tcPr>
            <w:tcW w:w="1273" w:type="dxa"/>
            <w:vAlign w:val="center"/>
          </w:tcPr>
          <w:p w14:paraId="3BAA1A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Rule called</w:t>
            </w:r>
          </w:p>
        </w:tc>
        <w:tc>
          <w:tcPr>
            <w:tcW w:w="2022" w:type="dxa"/>
            <w:vAlign w:val="center"/>
          </w:tcPr>
          <w:p w14:paraId="112BE7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Toolbox component used</w:t>
            </w:r>
          </w:p>
        </w:tc>
        <w:tc>
          <w:tcPr>
            <w:tcW w:w="1734" w:type="dxa"/>
            <w:vAlign w:val="center"/>
          </w:tcPr>
          <w:p w14:paraId="65556A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Validation judgement</w:t>
            </w:r>
          </w:p>
        </w:tc>
      </w:tr>
    </w:tbl>
    <w:p w14:paraId="7E7DD459">
      <w:pPr>
        <w:pStyle w:val="4"/>
        <w:keepNext w:val="0"/>
        <w:keepLines w:val="0"/>
        <w:widowControl/>
        <w:suppressLineNumbers w:val="0"/>
      </w:pPr>
      <w:r>
        <w:rPr>
          <w:rStyle w:val="8"/>
        </w:rPr>
        <w:t>Note:</w:t>
      </w:r>
      <w:r>
        <w:t xml:space="preserve"> Scenario validation was used to test whether the governance toolbox could locate proposed interventions, identify affected space genes, call corresponding adaptive renewal rules and record follow-up information. It does not represent </w:t>
      </w:r>
      <w:bookmarkStart w:id="0" w:name="_GoBack"/>
      <w:bookmarkEnd w:id="0"/>
      <w:r>
        <w:t>post-implementation performance evaluation.</w:t>
      </w:r>
    </w:p>
    <w:p w14:paraId="72201573">
      <w:pPr>
        <w:keepNext w:val="0"/>
        <w:keepLines w:val="0"/>
        <w:widowControl/>
        <w:suppressLineNumbers w:val="0"/>
      </w:pPr>
    </w:p>
    <w:p w14:paraId="1CAB7185">
      <w:pPr>
        <w:pStyle w:val="2"/>
        <w:keepNext w:val="0"/>
        <w:keepLines w:val="0"/>
        <w:widowControl/>
        <w:suppressLineNumbers w:val="0"/>
      </w:pPr>
    </w:p>
    <w:p w14:paraId="4E0A0B1C">
      <w:pPr>
        <w:pStyle w:val="2"/>
        <w:keepNext w:val="0"/>
        <w:keepLines w:val="0"/>
        <w:widowControl/>
        <w:suppressLineNumbers w:val="0"/>
      </w:pPr>
    </w:p>
    <w:p w14:paraId="73B6FA2E">
      <w:pPr>
        <w:pStyle w:val="2"/>
        <w:keepNext w:val="0"/>
        <w:keepLines w:val="0"/>
        <w:widowControl/>
        <w:suppressLineNumbers w:val="0"/>
      </w:pPr>
    </w:p>
    <w:p w14:paraId="1EBE982C">
      <w:pPr>
        <w:pStyle w:val="2"/>
        <w:keepNext w:val="0"/>
        <w:keepLines w:val="0"/>
        <w:widowControl/>
        <w:suppressLineNumbers w:val="0"/>
      </w:pPr>
    </w:p>
    <w:p w14:paraId="51637CA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F5AAB"/>
    <w:rsid w:val="1E970A92"/>
    <w:rsid w:val="1F7F6591"/>
    <w:rsid w:val="2EFC75F9"/>
    <w:rsid w:val="2FE61FC2"/>
    <w:rsid w:val="347B82E7"/>
    <w:rsid w:val="3F660EBF"/>
    <w:rsid w:val="3FF713CA"/>
    <w:rsid w:val="5DEF2FF8"/>
    <w:rsid w:val="6FF8F4F9"/>
    <w:rsid w:val="76F74D23"/>
    <w:rsid w:val="7BFDC5A2"/>
    <w:rsid w:val="7F4651D0"/>
    <w:rsid w:val="7FDE4A43"/>
    <w:rsid w:val="DFDBD1F3"/>
    <w:rsid w:val="EDFF5AAB"/>
    <w:rsid w:val="EE7F1024"/>
    <w:rsid w:val="EFFDD3CE"/>
    <w:rsid w:val="F6BFA5A5"/>
    <w:rsid w:val="F6D31474"/>
    <w:rsid w:val="FB4BB322"/>
    <w:rsid w:val="FFBA7EC0"/>
    <w:rsid w:val="FFFF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2026-09-03T03:47:00Z</dcterms:created>
  <dc:creator>刘畅</dc:creator>
  <cp:lastModifiedBy>刘畅</cp:lastModifiedBy>
  <dcterms:modified xsi:type="dcterms:W3CDTF">2026-09-04T12:14:12Z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5C12CFDA15BB111AD84A966ABE89E2A0_41</vt:lpwstr>
  </property>
</Properties>
</file>