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A92DC6">
      <w:pPr>
        <w:spacing w:line="360" w:lineRule="auto"/>
        <w:jc w:val="center"/>
        <w:rPr>
          <w:sz w:val="36"/>
          <w:szCs w:val="36"/>
        </w:rPr>
      </w:pPr>
      <w:r>
        <w:rPr>
          <w:sz w:val="36"/>
          <w:szCs w:val="36"/>
        </w:rPr>
        <w:t>Supplementary Table S2. Correspondence among five categories of space genes, fourteen feature factors, spatial carriers, and governance attributes</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0"/>
        <w:gridCol w:w="1464"/>
        <w:gridCol w:w="1746"/>
        <w:gridCol w:w="930"/>
        <w:gridCol w:w="2191"/>
        <w:gridCol w:w="1477"/>
        <w:gridCol w:w="5616"/>
      </w:tblGrid>
      <w:tr w14:paraId="64B5F983">
        <w:tc>
          <w:tcPr>
            <w:tcW w:w="750" w:type="dxa"/>
            <w:shd w:val="clear" w:color="auto" w:fill="DBE3F4" w:themeFill="accent1" w:themeFillTint="32"/>
            <w:vAlign w:val="center"/>
          </w:tcPr>
          <w:p w14:paraId="3F7DACBF">
            <w:pPr>
              <w:spacing w:line="240" w:lineRule="auto"/>
              <w:rPr>
                <w:rFonts w:hint="default" w:ascii="Times New Roman Regular" w:hAnsi="Times New Roman Regular" w:cs="Times New Roman Regular"/>
                <w:vertAlign w:val="baseline"/>
              </w:rPr>
            </w:pPr>
            <w:r>
              <w:rPr>
                <w:rFonts w:hint="default" w:ascii="Times New Roman Regular" w:hAnsi="Times New Roman Regular" w:cs="Times New Roman Regular"/>
                <w:lang w:val="en-US" w:eastAsia="zh-CN"/>
              </w:rPr>
              <w:t>Code</w:t>
            </w:r>
          </w:p>
        </w:tc>
        <w:tc>
          <w:tcPr>
            <w:tcW w:w="1464" w:type="dxa"/>
            <w:shd w:val="clear" w:color="auto" w:fill="DBE3F4" w:themeFill="accent1" w:themeFillTint="32"/>
            <w:vAlign w:val="center"/>
          </w:tcPr>
          <w:p w14:paraId="55B20D12">
            <w:pPr>
              <w:spacing w:line="240" w:lineRule="auto"/>
              <w:rPr>
                <w:rFonts w:hint="default" w:ascii="Times New Roman Regular" w:hAnsi="Times New Roman Regular" w:cs="Times New Roman Regular"/>
                <w:vertAlign w:val="baseline"/>
              </w:rPr>
            </w:pPr>
            <w:r>
              <w:rPr>
                <w:rFonts w:hint="default" w:ascii="Times New Roman Regular" w:hAnsi="Times New Roman Regular" w:cs="Times New Roman Regular"/>
                <w:lang w:val="en-US" w:eastAsia="zh-CN"/>
              </w:rPr>
              <w:t>Category of space gene</w:t>
            </w:r>
          </w:p>
        </w:tc>
        <w:tc>
          <w:tcPr>
            <w:tcW w:w="1746" w:type="dxa"/>
            <w:shd w:val="clear" w:color="auto" w:fill="DBE3F4" w:themeFill="accent1" w:themeFillTint="32"/>
            <w:vAlign w:val="center"/>
          </w:tcPr>
          <w:p w14:paraId="4249F80C">
            <w:pPr>
              <w:spacing w:line="240" w:lineRule="auto"/>
              <w:rPr>
                <w:rFonts w:hint="default" w:ascii="Times New Roman Regular" w:hAnsi="Times New Roman Regular" w:cs="Times New Roman Regular"/>
                <w:vertAlign w:val="baseline"/>
              </w:rPr>
            </w:pPr>
            <w:r>
              <w:rPr>
                <w:rFonts w:hint="default" w:ascii="Times New Roman Regular" w:hAnsi="Times New Roman Regular" w:cs="Times New Roman Regular"/>
                <w:lang w:val="en-US" w:eastAsia="zh-CN"/>
              </w:rPr>
              <w:t>Feature factors</w:t>
            </w:r>
          </w:p>
        </w:tc>
        <w:tc>
          <w:tcPr>
            <w:tcW w:w="930" w:type="dxa"/>
            <w:shd w:val="clear" w:color="auto" w:fill="DBE3F4" w:themeFill="accent1" w:themeFillTint="32"/>
            <w:vAlign w:val="center"/>
          </w:tcPr>
          <w:p w14:paraId="0989BA95">
            <w:pPr>
              <w:spacing w:line="240" w:lineRule="auto"/>
              <w:rPr>
                <w:rFonts w:hint="default" w:ascii="Times New Roman Regular" w:hAnsi="Times New Roman Regular" w:cs="Times New Roman Regular"/>
                <w:vertAlign w:val="baseline"/>
              </w:rPr>
            </w:pPr>
            <w:r>
              <w:rPr>
                <w:rFonts w:hint="default" w:ascii="Times New Roman Regular" w:hAnsi="Times New Roman Regular" w:cs="Times New Roman Regular"/>
                <w:lang w:val="en-US" w:eastAsia="zh-CN"/>
              </w:rPr>
              <w:t>Spatial scale</w:t>
            </w:r>
          </w:p>
        </w:tc>
        <w:tc>
          <w:tcPr>
            <w:tcW w:w="2191" w:type="dxa"/>
            <w:shd w:val="clear" w:color="auto" w:fill="DBE3F4" w:themeFill="accent1" w:themeFillTint="32"/>
            <w:vAlign w:val="center"/>
          </w:tcPr>
          <w:p w14:paraId="45582CBA">
            <w:pPr>
              <w:spacing w:line="240" w:lineRule="auto"/>
              <w:rPr>
                <w:rFonts w:hint="default" w:ascii="Times New Roman Regular" w:hAnsi="Times New Roman Regular" w:cs="Times New Roman Regular"/>
                <w:vertAlign w:val="baseline"/>
              </w:rPr>
            </w:pPr>
            <w:r>
              <w:rPr>
                <w:rFonts w:hint="default" w:ascii="Times New Roman Regular" w:hAnsi="Times New Roman Regular" w:cs="Times New Roman Regular"/>
                <w:lang w:val="en-US" w:eastAsia="zh-CN"/>
              </w:rPr>
              <w:t>Spatial carriers</w:t>
            </w:r>
          </w:p>
        </w:tc>
        <w:tc>
          <w:tcPr>
            <w:tcW w:w="1477" w:type="dxa"/>
            <w:shd w:val="clear" w:color="auto" w:fill="DBE3F4" w:themeFill="accent1" w:themeFillTint="32"/>
            <w:vAlign w:val="center"/>
          </w:tcPr>
          <w:p w14:paraId="496F50B1">
            <w:pPr>
              <w:spacing w:line="240" w:lineRule="auto"/>
              <w:rPr>
                <w:rFonts w:hint="default" w:ascii="Times New Roman Regular" w:hAnsi="Times New Roman Regular" w:cs="Times New Roman Regular"/>
                <w:vertAlign w:val="baseline"/>
              </w:rPr>
            </w:pPr>
            <w:r>
              <w:rPr>
                <w:rFonts w:hint="default" w:ascii="Times New Roman Regular" w:hAnsi="Times New Roman Regular" w:cs="Times New Roman Regular"/>
                <w:lang w:val="en-US" w:eastAsia="zh-CN"/>
              </w:rPr>
              <w:t>Governance attribute</w:t>
            </w:r>
          </w:p>
        </w:tc>
        <w:tc>
          <w:tcPr>
            <w:tcW w:w="5616" w:type="dxa"/>
            <w:shd w:val="clear" w:color="auto" w:fill="DBE3F4" w:themeFill="accent1" w:themeFillTint="32"/>
            <w:vAlign w:val="center"/>
          </w:tcPr>
          <w:p w14:paraId="6D78F042">
            <w:pPr>
              <w:spacing w:line="240" w:lineRule="auto"/>
              <w:rPr>
                <w:rFonts w:hint="default" w:ascii="Times New Roman Regular" w:hAnsi="Times New Roman Regular" w:cs="Times New Roman Regular"/>
                <w:vertAlign w:val="baseline"/>
              </w:rPr>
            </w:pPr>
            <w:r>
              <w:rPr>
                <w:rFonts w:hint="default" w:ascii="Times New Roman Regular" w:hAnsi="Times New Roman Regular" w:cs="Times New Roman Regular"/>
                <w:lang w:val="en-US" w:eastAsia="zh-CN"/>
              </w:rPr>
              <w:t>Governance object / translation meaning</w:t>
            </w:r>
          </w:p>
        </w:tc>
      </w:tr>
      <w:tr w14:paraId="4ADA02A8">
        <w:tc>
          <w:tcPr>
            <w:tcW w:w="750" w:type="dxa"/>
            <w:vAlign w:val="center"/>
          </w:tcPr>
          <w:p w14:paraId="1C0140D2">
            <w:pPr>
              <w:spacing w:line="240" w:lineRule="auto"/>
              <w:rPr>
                <w:rFonts w:hint="default" w:ascii="Times New Roman Regular" w:hAnsi="Times New Roman Regular" w:cs="Times New Roman Regular"/>
                <w:vertAlign w:val="baseline"/>
              </w:rPr>
            </w:pPr>
            <w:r>
              <w:rPr>
                <w:rFonts w:hint="default" w:ascii="Times New Roman Regular" w:hAnsi="Times New Roman Regular" w:cs="Times New Roman Regular"/>
                <w:lang w:val="en-US" w:eastAsia="zh-CN"/>
              </w:rPr>
              <w:t>G1</w:t>
            </w:r>
          </w:p>
        </w:tc>
        <w:tc>
          <w:tcPr>
            <w:tcW w:w="1464" w:type="dxa"/>
            <w:vAlign w:val="center"/>
          </w:tcPr>
          <w:p w14:paraId="68D1CC44">
            <w:pPr>
              <w:spacing w:line="240" w:lineRule="auto"/>
              <w:rPr>
                <w:rFonts w:hint="default" w:ascii="Times New Roman Regular" w:hAnsi="Times New Roman Regular" w:cs="Times New Roman Regular"/>
                <w:vertAlign w:val="baseline"/>
              </w:rPr>
            </w:pPr>
            <w:r>
              <w:rPr>
                <w:rFonts w:hint="default" w:ascii="Times New Roman Regular" w:hAnsi="Times New Roman Regular" w:cs="Times New Roman Regular"/>
                <w:lang w:val="en-US" w:eastAsia="zh-CN"/>
              </w:rPr>
              <w:t>Overall spatial-pattern gene</w:t>
            </w:r>
          </w:p>
        </w:tc>
        <w:tc>
          <w:tcPr>
            <w:tcW w:w="1746" w:type="dxa"/>
            <w:vAlign w:val="center"/>
          </w:tcPr>
          <w:p w14:paraId="65B2F61D">
            <w:pPr>
              <w:spacing w:line="240" w:lineRule="auto"/>
              <w:rPr>
                <w:rFonts w:hint="default" w:ascii="Times New Roman Regular" w:hAnsi="Times New Roman Regular" w:cs="Times New Roman Regular"/>
                <w:vertAlign w:val="baseline"/>
              </w:rPr>
            </w:pPr>
            <w:r>
              <w:rPr>
                <w:rFonts w:hint="default" w:ascii="Times New Roman Regular" w:hAnsi="Times New Roman Regular" w:cs="Times New Roman Regular"/>
                <w:lang w:val="en-US" w:eastAsia="zh-CN"/>
              </w:rPr>
              <w:t>1.Settlement morphology; 2.Spatial order structure</w:t>
            </w:r>
          </w:p>
        </w:tc>
        <w:tc>
          <w:tcPr>
            <w:tcW w:w="930" w:type="dxa"/>
            <w:vAlign w:val="center"/>
          </w:tcPr>
          <w:p w14:paraId="2B4BD560">
            <w:pPr>
              <w:spacing w:line="240" w:lineRule="auto"/>
              <w:rPr>
                <w:rFonts w:hint="default" w:ascii="Times New Roman Regular" w:hAnsi="Times New Roman Regular" w:cs="Times New Roman Regular"/>
                <w:vertAlign w:val="baseline"/>
              </w:rPr>
            </w:pPr>
            <w:r>
              <w:rPr>
                <w:rFonts w:hint="default" w:ascii="Times New Roman Regular" w:hAnsi="Times New Roman Regular" w:cs="Times New Roman Regular"/>
                <w:lang w:val="en-US" w:eastAsia="zh-CN"/>
              </w:rPr>
              <w:t>Macro scale</w:t>
            </w:r>
          </w:p>
        </w:tc>
        <w:tc>
          <w:tcPr>
            <w:tcW w:w="2191" w:type="dxa"/>
            <w:vAlign w:val="center"/>
          </w:tcPr>
          <w:p w14:paraId="6EB71447">
            <w:pPr>
              <w:spacing w:line="240" w:lineRule="auto"/>
              <w:rPr>
                <w:rFonts w:hint="default" w:ascii="Times New Roman Regular" w:hAnsi="Times New Roman Regular" w:cs="Times New Roman Regular"/>
                <w:vertAlign w:val="baseline"/>
              </w:rPr>
            </w:pPr>
            <w:r>
              <w:rPr>
                <w:rFonts w:hint="default" w:ascii="Times New Roman Regular" w:hAnsi="Times New Roman Regular" w:cs="Times New Roman Regular"/>
                <w:lang w:val="en-US" w:eastAsia="zh-CN"/>
              </w:rPr>
              <w:t>Mountains,forests, water systems, farmland,settlement boundary,construction land boundary</w:t>
            </w:r>
          </w:p>
        </w:tc>
        <w:tc>
          <w:tcPr>
            <w:tcW w:w="1477" w:type="dxa"/>
            <w:vAlign w:val="center"/>
          </w:tcPr>
          <w:p w14:paraId="3B62FBA0">
            <w:pPr>
              <w:spacing w:line="240" w:lineRule="auto"/>
              <w:rPr>
                <w:rFonts w:hint="default" w:ascii="Times New Roman Regular" w:hAnsi="Times New Roman Regular" w:cs="Times New Roman Regular"/>
                <w:vertAlign w:val="baseline"/>
              </w:rPr>
            </w:pPr>
            <w:r>
              <w:rPr>
                <w:rFonts w:hint="default" w:ascii="Times New Roman Regular" w:hAnsi="Times New Roman Regular" w:cs="Times New Roman Regular"/>
                <w:lang w:val="en-US" w:eastAsia="zh-CN"/>
              </w:rPr>
              <w:t>Control boundary</w:t>
            </w:r>
          </w:p>
        </w:tc>
        <w:tc>
          <w:tcPr>
            <w:tcW w:w="5616" w:type="dxa"/>
            <w:vAlign w:val="center"/>
          </w:tcPr>
          <w:p w14:paraId="588A1505">
            <w:pPr>
              <w:spacing w:line="240" w:lineRule="auto"/>
              <w:rPr>
                <w:rFonts w:hint="default" w:ascii="Times New Roman Regular" w:hAnsi="Times New Roman Regular" w:cs="Times New Roman Regular"/>
                <w:vertAlign w:val="baseline"/>
              </w:rPr>
            </w:pPr>
            <w:r>
              <w:rPr>
                <w:rFonts w:hint="default" w:ascii="Times New Roman Regular" w:hAnsi="Times New Roman Regular" w:cs="Times New Roman Regular"/>
                <w:lang w:val="en-US" w:eastAsia="zh-CN"/>
              </w:rPr>
              <w:t>Translates the overall mountain–water–farmland–village relationship into rules for construction-boundary control, ecological corridor protection,visual corridor maintenance, and settlement expansion guidance.</w:t>
            </w:r>
          </w:p>
        </w:tc>
      </w:tr>
      <w:tr w14:paraId="5D00D8B5">
        <w:tc>
          <w:tcPr>
            <w:tcW w:w="750" w:type="dxa"/>
            <w:vAlign w:val="center"/>
          </w:tcPr>
          <w:p w14:paraId="656FA378">
            <w:pPr>
              <w:spacing w:line="240" w:lineRule="auto"/>
              <w:rPr>
                <w:rFonts w:hint="default" w:ascii="Times New Roman Regular" w:hAnsi="Times New Roman Regular" w:cs="Times New Roman Regular"/>
                <w:vertAlign w:val="baseline"/>
              </w:rPr>
            </w:pPr>
            <w:r>
              <w:rPr>
                <w:rFonts w:hint="default" w:ascii="Times New Roman Regular" w:hAnsi="Times New Roman Regular" w:cs="Times New Roman Regular"/>
                <w:lang w:val="en-US" w:eastAsia="zh-CN"/>
              </w:rPr>
              <w:t>G2</w:t>
            </w:r>
          </w:p>
        </w:tc>
        <w:tc>
          <w:tcPr>
            <w:tcW w:w="1464" w:type="dxa"/>
            <w:vAlign w:val="center"/>
          </w:tcPr>
          <w:p w14:paraId="1B381F4F">
            <w:pPr>
              <w:spacing w:line="240" w:lineRule="auto"/>
              <w:rPr>
                <w:rFonts w:hint="default" w:ascii="Times New Roman Regular" w:hAnsi="Times New Roman Regular" w:cs="Times New Roman Regular"/>
                <w:vertAlign w:val="baseline"/>
              </w:rPr>
            </w:pPr>
            <w:r>
              <w:rPr>
                <w:rFonts w:hint="default" w:ascii="Times New Roman Regular" w:hAnsi="Times New Roman Regular" w:cs="Times New Roman Regular"/>
                <w:lang w:val="en-US" w:eastAsia="zh-CN"/>
              </w:rPr>
              <w:t>Stre</w:t>
            </w:r>
            <w:bookmarkStart w:id="0" w:name="_GoBack"/>
            <w:bookmarkEnd w:id="0"/>
            <w:r>
              <w:rPr>
                <w:rFonts w:hint="default" w:ascii="Times New Roman Regular" w:hAnsi="Times New Roman Regular" w:cs="Times New Roman Regular"/>
                <w:lang w:val="en-US" w:eastAsia="zh-CN"/>
              </w:rPr>
              <w:t>et-and-lane morphology gene</w:t>
            </w:r>
          </w:p>
        </w:tc>
        <w:tc>
          <w:tcPr>
            <w:tcW w:w="1746" w:type="dxa"/>
            <w:vAlign w:val="center"/>
          </w:tcPr>
          <w:p w14:paraId="708BFACE">
            <w:pPr>
              <w:numPr>
                <w:ilvl w:val="0"/>
                <w:numId w:val="1"/>
              </w:numPr>
              <w:spacing w:line="240" w:lineRule="auto"/>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Street-and-lane scale;</w:t>
            </w:r>
          </w:p>
          <w:p w14:paraId="6CDC32AA">
            <w:pPr>
              <w:numPr>
                <w:ilvl w:val="0"/>
                <w:numId w:val="1"/>
              </w:numPr>
              <w:spacing w:line="240" w:lineRule="auto"/>
              <w:rPr>
                <w:rFonts w:hint="default" w:ascii="Times New Roman Regular" w:hAnsi="Times New Roman Regular" w:cs="Times New Roman Regular"/>
                <w:vertAlign w:val="baseline"/>
              </w:rPr>
            </w:pPr>
            <w:r>
              <w:rPr>
                <w:rFonts w:hint="default" w:ascii="Times New Roman Regular" w:hAnsi="Times New Roman Regular" w:cs="Times New Roman Regular"/>
                <w:lang w:val="en-US" w:eastAsia="zh-CN"/>
              </w:rPr>
              <w:t xml:space="preserve">Street-and-lane fabric; </w:t>
            </w:r>
          </w:p>
          <w:p w14:paraId="614C949C">
            <w:pPr>
              <w:numPr>
                <w:ilvl w:val="0"/>
                <w:numId w:val="1"/>
              </w:numPr>
              <w:spacing w:line="240" w:lineRule="auto"/>
              <w:rPr>
                <w:rFonts w:hint="default" w:ascii="Times New Roman Regular" w:hAnsi="Times New Roman Regular" w:cs="Times New Roman Regular"/>
                <w:vertAlign w:val="baseline"/>
              </w:rPr>
            </w:pPr>
            <w:r>
              <w:rPr>
                <w:rFonts w:hint="default" w:ascii="Times New Roman Regular" w:hAnsi="Times New Roman Regular" w:cs="Times New Roman Regular"/>
                <w:lang w:val="en-US" w:eastAsia="zh-CN"/>
              </w:rPr>
              <w:t>Street-and-lane interface</w:t>
            </w:r>
          </w:p>
        </w:tc>
        <w:tc>
          <w:tcPr>
            <w:tcW w:w="930" w:type="dxa"/>
            <w:vAlign w:val="center"/>
          </w:tcPr>
          <w:p w14:paraId="08DC151F">
            <w:pPr>
              <w:spacing w:line="240" w:lineRule="auto"/>
              <w:rPr>
                <w:rFonts w:hint="default" w:ascii="Times New Roman Regular" w:hAnsi="Times New Roman Regular" w:cs="Times New Roman Regular"/>
                <w:vertAlign w:val="baseline"/>
              </w:rPr>
            </w:pPr>
            <w:r>
              <w:rPr>
                <w:rFonts w:hint="default" w:ascii="Times New Roman Regular" w:hAnsi="Times New Roman Regular" w:cs="Times New Roman Regular"/>
                <w:lang w:val="en-US" w:eastAsia="zh-CN"/>
              </w:rPr>
              <w:t>Meso scale</w:t>
            </w:r>
          </w:p>
        </w:tc>
        <w:tc>
          <w:tcPr>
            <w:tcW w:w="2191" w:type="dxa"/>
            <w:vAlign w:val="center"/>
          </w:tcPr>
          <w:p w14:paraId="09F56132">
            <w:pPr>
              <w:spacing w:line="240" w:lineRule="auto"/>
              <w:rPr>
                <w:rFonts w:hint="default" w:ascii="Times New Roman Regular" w:hAnsi="Times New Roman Regular" w:cs="Times New Roman Regular"/>
                <w:vertAlign w:val="baseline"/>
              </w:rPr>
            </w:pPr>
            <w:r>
              <w:rPr>
                <w:rFonts w:hint="default" w:ascii="Times New Roman Regular" w:hAnsi="Times New Roman Regular" w:cs="Times New Roman Regular"/>
                <w:lang w:val="en-US" w:eastAsia="zh-CN"/>
              </w:rPr>
              <w:t>Main streets, branch lanes,alley width, street texture, movement sequence, street-facing interfaces</w:t>
            </w:r>
          </w:p>
        </w:tc>
        <w:tc>
          <w:tcPr>
            <w:tcW w:w="1477" w:type="dxa"/>
            <w:vAlign w:val="center"/>
          </w:tcPr>
          <w:p w14:paraId="07D0D1F3">
            <w:pPr>
              <w:spacing w:line="240" w:lineRule="auto"/>
              <w:rPr>
                <w:rFonts w:hint="default" w:ascii="Times New Roman Regular" w:hAnsi="Times New Roman Regular" w:cs="Times New Roman Regular"/>
                <w:vertAlign w:val="baseline"/>
              </w:rPr>
            </w:pPr>
            <w:r>
              <w:rPr>
                <w:rFonts w:hint="default" w:ascii="Times New Roman Regular" w:hAnsi="Times New Roman Regular" w:cs="Times New Roman Regular"/>
                <w:lang w:val="en-US" w:eastAsia="zh-CN"/>
              </w:rPr>
              <w:t>Organisational skeleton</w:t>
            </w:r>
          </w:p>
        </w:tc>
        <w:tc>
          <w:tcPr>
            <w:tcW w:w="5616" w:type="dxa"/>
            <w:vAlign w:val="center"/>
          </w:tcPr>
          <w:p w14:paraId="495777A4">
            <w:pPr>
              <w:spacing w:line="240" w:lineRule="auto"/>
              <w:rPr>
                <w:rFonts w:hint="default" w:ascii="Times New Roman Regular" w:hAnsi="Times New Roman Regular" w:cs="Times New Roman Regular"/>
                <w:vertAlign w:val="baseline"/>
              </w:rPr>
            </w:pPr>
            <w:r>
              <w:rPr>
                <w:rFonts w:hint="default" w:ascii="Times New Roman Regular" w:hAnsi="Times New Roman Regular" w:cs="Times New Roman Regular"/>
                <w:lang w:val="en-US" w:eastAsia="zh-CN"/>
              </w:rPr>
              <w:t>Translates the internal street-and-lane structure into rules for street repair,road-width control, slow-mobility organisation, parking adjustment,and continuity of daily movement paths.</w:t>
            </w:r>
          </w:p>
        </w:tc>
      </w:tr>
      <w:tr w14:paraId="5CF9B475">
        <w:tc>
          <w:tcPr>
            <w:tcW w:w="750" w:type="dxa"/>
            <w:vAlign w:val="center"/>
          </w:tcPr>
          <w:p w14:paraId="76F1B9E0">
            <w:pPr>
              <w:spacing w:line="240" w:lineRule="auto"/>
              <w:rPr>
                <w:rFonts w:hint="default" w:ascii="Times New Roman Regular" w:hAnsi="Times New Roman Regular" w:cs="Times New Roman Regular"/>
                <w:vertAlign w:val="baseline"/>
              </w:rPr>
            </w:pPr>
            <w:r>
              <w:rPr>
                <w:rFonts w:hint="default" w:ascii="Times New Roman Regular" w:hAnsi="Times New Roman Regular" w:cs="Times New Roman Regular"/>
                <w:lang w:val="en-US" w:eastAsia="zh-CN"/>
              </w:rPr>
              <w:t>G3</w:t>
            </w:r>
          </w:p>
        </w:tc>
        <w:tc>
          <w:tcPr>
            <w:tcW w:w="1464" w:type="dxa"/>
            <w:vAlign w:val="center"/>
          </w:tcPr>
          <w:p w14:paraId="12CDE2F6">
            <w:pPr>
              <w:spacing w:line="240" w:lineRule="auto"/>
              <w:rPr>
                <w:rFonts w:hint="default" w:ascii="Times New Roman Regular" w:hAnsi="Times New Roman Regular" w:cs="Times New Roman Regular"/>
                <w:vertAlign w:val="baseline"/>
              </w:rPr>
            </w:pPr>
            <w:r>
              <w:rPr>
                <w:rFonts w:hint="default" w:ascii="Times New Roman Regular" w:hAnsi="Times New Roman Regular" w:cs="Times New Roman Regular"/>
                <w:lang w:val="en-US" w:eastAsia="zh-CN"/>
              </w:rPr>
              <w:t>Public-node gene</w:t>
            </w:r>
          </w:p>
        </w:tc>
        <w:tc>
          <w:tcPr>
            <w:tcW w:w="1746" w:type="dxa"/>
            <w:vAlign w:val="center"/>
          </w:tcPr>
          <w:p w14:paraId="45CF6DDF">
            <w:pPr>
              <w:numPr>
                <w:ilvl w:val="0"/>
                <w:numId w:val="1"/>
              </w:numPr>
              <w:spacing w:line="240" w:lineRule="auto"/>
              <w:ind w:left="0" w:leftChars="0" w:firstLine="0" w:firstLineChars="0"/>
              <w:rPr>
                <w:rFonts w:hint="default" w:ascii="Times New Roman Regular" w:hAnsi="Times New Roman Regular" w:cs="Times New Roman Regular"/>
                <w:lang w:val="en-US" w:eastAsia="zh-CN"/>
              </w:rPr>
            </w:pPr>
            <w:r>
              <w:rPr>
                <w:rFonts w:hint="default" w:ascii="Times New Roman Regular" w:hAnsi="Times New Roman Regular" w:cs="Times New Roman Regular"/>
                <w:lang w:val="en-US" w:eastAsia="zh-CN"/>
              </w:rPr>
              <w:t xml:space="preserve">Spatial-node relationship; </w:t>
            </w:r>
          </w:p>
          <w:p w14:paraId="3BBB5C19">
            <w:pPr>
              <w:numPr>
                <w:ilvl w:val="0"/>
                <w:numId w:val="1"/>
              </w:numPr>
              <w:spacing w:line="240" w:lineRule="auto"/>
              <w:ind w:left="0" w:leftChars="0" w:firstLine="0" w:firstLineChars="0"/>
              <w:rPr>
                <w:rFonts w:hint="default" w:ascii="Times New Roman Regular" w:hAnsi="Times New Roman Regular" w:cs="Times New Roman Regular"/>
                <w:vertAlign w:val="baseline"/>
              </w:rPr>
            </w:pPr>
            <w:r>
              <w:rPr>
                <w:rFonts w:hint="default" w:ascii="Times New Roman Regular" w:hAnsi="Times New Roman Regular" w:cs="Times New Roman Regular"/>
                <w:lang w:val="en-US" w:eastAsia="zh-CN"/>
              </w:rPr>
              <w:t>Spatial-node hierarchy;8. Spatial-node configuration</w:t>
            </w:r>
          </w:p>
        </w:tc>
        <w:tc>
          <w:tcPr>
            <w:tcW w:w="930" w:type="dxa"/>
            <w:vAlign w:val="center"/>
          </w:tcPr>
          <w:p w14:paraId="54418FCD">
            <w:pPr>
              <w:spacing w:line="240" w:lineRule="auto"/>
              <w:rPr>
                <w:rFonts w:hint="default" w:ascii="Times New Roman Regular" w:hAnsi="Times New Roman Regular" w:cs="Times New Roman Regular"/>
                <w:vertAlign w:val="baseline"/>
              </w:rPr>
            </w:pPr>
            <w:r>
              <w:rPr>
                <w:rFonts w:hint="default" w:ascii="Times New Roman Regular" w:hAnsi="Times New Roman Regular" w:cs="Times New Roman Regular"/>
                <w:lang w:val="en-US" w:eastAsia="zh-CN"/>
              </w:rPr>
              <w:t>Meso scale</w:t>
            </w:r>
          </w:p>
        </w:tc>
        <w:tc>
          <w:tcPr>
            <w:tcW w:w="2191" w:type="dxa"/>
            <w:vAlign w:val="center"/>
          </w:tcPr>
          <w:p w14:paraId="3598F6AA">
            <w:pPr>
              <w:spacing w:line="240" w:lineRule="auto"/>
              <w:rPr>
                <w:rFonts w:hint="default" w:ascii="Times New Roman Regular" w:hAnsi="Times New Roman Regular" w:cs="Times New Roman Regular"/>
                <w:vertAlign w:val="baseline"/>
              </w:rPr>
            </w:pPr>
            <w:r>
              <w:rPr>
                <w:rFonts w:hint="default" w:ascii="Times New Roman Regular" w:hAnsi="Times New Roman Regular" w:cs="Times New Roman Regular"/>
                <w:lang w:val="en-US" w:eastAsia="zh-CN"/>
              </w:rPr>
              <w:t>Village entrance, squares, temples, old trees, wells,bridges, public activity spaces and service nodes</w:t>
            </w:r>
          </w:p>
        </w:tc>
        <w:tc>
          <w:tcPr>
            <w:tcW w:w="1477" w:type="dxa"/>
            <w:vAlign w:val="center"/>
          </w:tcPr>
          <w:p w14:paraId="661AE1B8">
            <w:pPr>
              <w:spacing w:line="240" w:lineRule="auto"/>
              <w:rPr>
                <w:rFonts w:hint="default" w:ascii="Times New Roman Regular" w:hAnsi="Times New Roman Regular" w:cs="Times New Roman Regular"/>
                <w:vertAlign w:val="baseline"/>
              </w:rPr>
            </w:pPr>
            <w:r>
              <w:rPr>
                <w:rFonts w:hint="default" w:ascii="Times New Roman Regular" w:hAnsi="Times New Roman Regular" w:cs="Times New Roman Regular"/>
                <w:lang w:val="en-US" w:eastAsia="zh-CN"/>
              </w:rPr>
              <w:t>Public node</w:t>
            </w:r>
          </w:p>
        </w:tc>
        <w:tc>
          <w:tcPr>
            <w:tcW w:w="5616" w:type="dxa"/>
            <w:vAlign w:val="center"/>
          </w:tcPr>
          <w:p w14:paraId="72EA0F5C">
            <w:pPr>
              <w:spacing w:line="240" w:lineRule="auto"/>
              <w:rPr>
                <w:rFonts w:hint="default" w:ascii="Times New Roman Regular" w:hAnsi="Times New Roman Regular" w:cs="Times New Roman Regular"/>
                <w:vertAlign w:val="baseline"/>
              </w:rPr>
            </w:pPr>
            <w:r>
              <w:rPr>
                <w:rFonts w:hint="default" w:ascii="Times New Roman Regular" w:hAnsi="Times New Roman Regular" w:cs="Times New Roman Regular"/>
                <w:lang w:val="en-US" w:eastAsia="zh-CN"/>
              </w:rPr>
              <w:t>Translates public-life and collective-memory spaces into rules for node renewal, public-service insertion, multifunctional use,cultural-memory retention, and coordination between old and new nodes.</w:t>
            </w:r>
          </w:p>
        </w:tc>
      </w:tr>
      <w:tr w14:paraId="0FEF4FE7">
        <w:tc>
          <w:tcPr>
            <w:tcW w:w="750" w:type="dxa"/>
            <w:vAlign w:val="center"/>
          </w:tcPr>
          <w:p w14:paraId="4D1489F0">
            <w:pPr>
              <w:spacing w:line="240" w:lineRule="auto"/>
              <w:rPr>
                <w:rFonts w:hint="default" w:ascii="Times New Roman Regular" w:hAnsi="Times New Roman Regular" w:cs="Times New Roman Regular"/>
                <w:vertAlign w:val="baseline"/>
              </w:rPr>
            </w:pPr>
            <w:r>
              <w:rPr>
                <w:rFonts w:hint="default" w:ascii="Times New Roman Regular" w:hAnsi="Times New Roman Regular" w:cs="Times New Roman Regular"/>
                <w:lang w:val="en-US" w:eastAsia="zh-CN"/>
              </w:rPr>
              <w:t>G4</w:t>
            </w:r>
          </w:p>
        </w:tc>
        <w:tc>
          <w:tcPr>
            <w:tcW w:w="1464" w:type="dxa"/>
            <w:vAlign w:val="center"/>
          </w:tcPr>
          <w:p w14:paraId="227EBAF4">
            <w:pPr>
              <w:spacing w:line="240" w:lineRule="auto"/>
              <w:rPr>
                <w:rFonts w:hint="default" w:ascii="Times New Roman Regular" w:hAnsi="Times New Roman Regular" w:cs="Times New Roman Regular"/>
                <w:vertAlign w:val="baseline"/>
              </w:rPr>
            </w:pPr>
            <w:r>
              <w:rPr>
                <w:rFonts w:hint="default" w:ascii="Times New Roman Regular" w:hAnsi="Times New Roman Regular" w:cs="Times New Roman Regular"/>
                <w:lang w:val="en-US" w:eastAsia="zh-CN"/>
              </w:rPr>
              <w:t>Courtyard-space gene</w:t>
            </w:r>
          </w:p>
        </w:tc>
        <w:tc>
          <w:tcPr>
            <w:tcW w:w="1746" w:type="dxa"/>
            <w:vAlign w:val="center"/>
          </w:tcPr>
          <w:p w14:paraId="242023B8">
            <w:pPr>
              <w:spacing w:line="240" w:lineRule="auto"/>
              <w:rPr>
                <w:rFonts w:hint="default" w:ascii="Times New Roman Regular" w:hAnsi="Times New Roman Regular" w:cs="Times New Roman Regular"/>
                <w:vertAlign w:val="baseline"/>
              </w:rPr>
            </w:pPr>
            <w:r>
              <w:rPr>
                <w:rFonts w:hint="default" w:ascii="Times New Roman Regular" w:hAnsi="Times New Roman Regular" w:cs="Times New Roman Regular"/>
                <w:lang w:val="en-US" w:eastAsia="zh-CN"/>
              </w:rPr>
              <w:t>9. Building façade; 10. Architectural decoration; 11. Courtyard form; 12. Courtyard function</w:t>
            </w:r>
          </w:p>
        </w:tc>
        <w:tc>
          <w:tcPr>
            <w:tcW w:w="930" w:type="dxa"/>
            <w:vAlign w:val="center"/>
          </w:tcPr>
          <w:p w14:paraId="332652AE">
            <w:pPr>
              <w:spacing w:line="240" w:lineRule="auto"/>
              <w:rPr>
                <w:rFonts w:hint="default" w:ascii="Times New Roman Regular" w:hAnsi="Times New Roman Regular" w:cs="Times New Roman Regular"/>
                <w:vertAlign w:val="baseline"/>
              </w:rPr>
            </w:pPr>
            <w:r>
              <w:rPr>
                <w:rFonts w:hint="default" w:ascii="Times New Roman Regular" w:hAnsi="Times New Roman Regular" w:cs="Times New Roman Regular"/>
                <w:lang w:val="en-US" w:eastAsia="zh-CN"/>
              </w:rPr>
              <w:t>Micro scale</w:t>
            </w:r>
          </w:p>
        </w:tc>
        <w:tc>
          <w:tcPr>
            <w:tcW w:w="2191" w:type="dxa"/>
            <w:vAlign w:val="center"/>
          </w:tcPr>
          <w:p w14:paraId="06B4C76F">
            <w:pPr>
              <w:spacing w:line="240" w:lineRule="auto"/>
              <w:rPr>
                <w:rFonts w:hint="default" w:ascii="Times New Roman Regular" w:hAnsi="Times New Roman Regular" w:cs="Times New Roman Regular"/>
                <w:vertAlign w:val="baseline"/>
              </w:rPr>
            </w:pPr>
            <w:r>
              <w:rPr>
                <w:rFonts w:hint="default" w:ascii="Times New Roman Regular" w:hAnsi="Times New Roman Regular" w:cs="Times New Roman Regular"/>
                <w:lang w:val="en-US" w:eastAsia="zh-CN"/>
              </w:rPr>
              <w:t>Courtyard layout, building orientation, courtyard depth, enclosure structure, house–yard relationship, residential and production spaces</w:t>
            </w:r>
          </w:p>
        </w:tc>
        <w:tc>
          <w:tcPr>
            <w:tcW w:w="1477" w:type="dxa"/>
            <w:vAlign w:val="center"/>
          </w:tcPr>
          <w:p w14:paraId="7859EDD7">
            <w:pPr>
              <w:spacing w:line="240" w:lineRule="auto"/>
              <w:rPr>
                <w:rFonts w:hint="default" w:ascii="Times New Roman Regular" w:hAnsi="Times New Roman Regular" w:cs="Times New Roman Regular"/>
                <w:vertAlign w:val="baseline"/>
              </w:rPr>
            </w:pPr>
            <w:r>
              <w:rPr>
                <w:rFonts w:hint="default" w:ascii="Times New Roman Regular" w:hAnsi="Times New Roman Regular" w:cs="Times New Roman Regular"/>
                <w:lang w:val="en-US" w:eastAsia="zh-CN"/>
              </w:rPr>
              <w:t>Architectural unit</w:t>
            </w:r>
          </w:p>
        </w:tc>
        <w:tc>
          <w:tcPr>
            <w:tcW w:w="5616" w:type="dxa"/>
            <w:vAlign w:val="center"/>
          </w:tcPr>
          <w:p w14:paraId="6CC96F1E">
            <w:pPr>
              <w:spacing w:line="240" w:lineRule="auto"/>
              <w:rPr>
                <w:rFonts w:hint="default" w:ascii="Times New Roman Regular" w:hAnsi="Times New Roman Regular" w:cs="Times New Roman Regular"/>
                <w:vertAlign w:val="baseline"/>
              </w:rPr>
            </w:pPr>
            <w:r>
              <w:rPr>
                <w:rFonts w:hint="default" w:ascii="Times New Roman Regular" w:hAnsi="Times New Roman Regular" w:cs="Times New Roman Regular"/>
                <w:lang w:val="en-US" w:eastAsia="zh-CN"/>
              </w:rPr>
              <w:t>Translates courtyard organisation into rules for rural housing renovation,courtyard-scale control,dwelling adaptation,guesthouse conversion,courtyard reuse,and street-interface maintenance.</w:t>
            </w:r>
          </w:p>
        </w:tc>
      </w:tr>
      <w:tr w14:paraId="6498A086">
        <w:tc>
          <w:tcPr>
            <w:tcW w:w="750" w:type="dxa"/>
            <w:vAlign w:val="center"/>
          </w:tcPr>
          <w:p w14:paraId="7CBD560E">
            <w:pPr>
              <w:spacing w:line="240" w:lineRule="auto"/>
              <w:rPr>
                <w:rFonts w:hint="default" w:ascii="Times New Roman Regular" w:hAnsi="Times New Roman Regular" w:cs="Times New Roman Regular"/>
                <w:vertAlign w:val="baseline"/>
              </w:rPr>
            </w:pPr>
            <w:r>
              <w:rPr>
                <w:rFonts w:hint="default" w:ascii="Times New Roman Regular" w:hAnsi="Times New Roman Regular" w:cs="Times New Roman Regular"/>
                <w:lang w:val="en-US" w:eastAsia="zh-CN"/>
              </w:rPr>
              <w:t>G5</w:t>
            </w:r>
          </w:p>
        </w:tc>
        <w:tc>
          <w:tcPr>
            <w:tcW w:w="1464" w:type="dxa"/>
            <w:vAlign w:val="center"/>
          </w:tcPr>
          <w:p w14:paraId="3A8937AE">
            <w:pPr>
              <w:spacing w:line="240" w:lineRule="auto"/>
              <w:rPr>
                <w:rFonts w:hint="default" w:ascii="Times New Roman Regular" w:hAnsi="Times New Roman Regular" w:cs="Times New Roman Regular"/>
                <w:vertAlign w:val="baseline"/>
              </w:rPr>
            </w:pPr>
            <w:r>
              <w:rPr>
                <w:rFonts w:hint="default" w:ascii="Times New Roman Regular" w:hAnsi="Times New Roman Regular" w:cs="Times New Roman Regular"/>
                <w:lang w:val="en-US" w:eastAsia="zh-CN"/>
              </w:rPr>
              <w:t>Construction-material gene</w:t>
            </w:r>
          </w:p>
        </w:tc>
        <w:tc>
          <w:tcPr>
            <w:tcW w:w="1746" w:type="dxa"/>
            <w:vAlign w:val="center"/>
          </w:tcPr>
          <w:p w14:paraId="7058ACB0">
            <w:pPr>
              <w:spacing w:line="240" w:lineRule="auto"/>
              <w:rPr>
                <w:rFonts w:hint="default" w:ascii="Times New Roman Regular" w:hAnsi="Times New Roman Regular" w:cs="Times New Roman Regular"/>
                <w:vertAlign w:val="baseline"/>
              </w:rPr>
            </w:pPr>
            <w:r>
              <w:rPr>
                <w:rFonts w:hint="default" w:ascii="Times New Roman Regular" w:hAnsi="Times New Roman Regular" w:cs="Times New Roman Regular"/>
                <w:lang w:val="en-US" w:eastAsia="zh-CN"/>
              </w:rPr>
              <w:t>13. Building materials; 14. Building structure</w:t>
            </w:r>
          </w:p>
        </w:tc>
        <w:tc>
          <w:tcPr>
            <w:tcW w:w="930" w:type="dxa"/>
            <w:vAlign w:val="center"/>
          </w:tcPr>
          <w:p w14:paraId="61E93C56">
            <w:pPr>
              <w:spacing w:line="240" w:lineRule="auto"/>
              <w:rPr>
                <w:rFonts w:hint="default" w:ascii="Times New Roman Regular" w:hAnsi="Times New Roman Regular" w:cs="Times New Roman Regular"/>
                <w:vertAlign w:val="baseline"/>
              </w:rPr>
            </w:pPr>
            <w:r>
              <w:rPr>
                <w:rFonts w:hint="default" w:ascii="Times New Roman Regular" w:hAnsi="Times New Roman Regular" w:cs="Times New Roman Regular"/>
                <w:lang w:val="en-US" w:eastAsia="zh-CN"/>
              </w:rPr>
              <w:t>Micro scale</w:t>
            </w:r>
          </w:p>
        </w:tc>
        <w:tc>
          <w:tcPr>
            <w:tcW w:w="2191" w:type="dxa"/>
            <w:vAlign w:val="center"/>
          </w:tcPr>
          <w:p w14:paraId="164183F9">
            <w:pPr>
              <w:spacing w:line="240" w:lineRule="auto"/>
              <w:rPr>
                <w:rFonts w:hint="default" w:ascii="Times New Roman Regular" w:hAnsi="Times New Roman Regular" w:cs="Times New Roman Regular"/>
                <w:vertAlign w:val="baseline"/>
              </w:rPr>
            </w:pPr>
            <w:r>
              <w:rPr>
                <w:rFonts w:hint="default" w:ascii="Times New Roman Regular" w:hAnsi="Times New Roman Regular" w:cs="Times New Roman Regular"/>
                <w:lang w:val="en-US" w:eastAsia="zh-CN"/>
              </w:rPr>
              <w:t>Wall materials, roof tiles,timber frames, brick masonry, stone, rammed earth,doors and windows,colour and texture</w:t>
            </w:r>
          </w:p>
        </w:tc>
        <w:tc>
          <w:tcPr>
            <w:tcW w:w="1477" w:type="dxa"/>
            <w:vAlign w:val="center"/>
          </w:tcPr>
          <w:p w14:paraId="0B45E114">
            <w:pPr>
              <w:spacing w:line="240" w:lineRule="auto"/>
              <w:rPr>
                <w:rFonts w:hint="default" w:ascii="Times New Roman Regular" w:hAnsi="Times New Roman Regular" w:cs="Times New Roman Regular"/>
                <w:vertAlign w:val="baseline"/>
              </w:rPr>
            </w:pPr>
            <w:r>
              <w:rPr>
                <w:rFonts w:hint="default" w:ascii="Times New Roman Regular" w:hAnsi="Times New Roman Regular" w:cs="Times New Roman Regular"/>
                <w:lang w:val="en-US" w:eastAsia="zh-CN"/>
              </w:rPr>
              <w:t>Material interface</w:t>
            </w:r>
          </w:p>
        </w:tc>
        <w:tc>
          <w:tcPr>
            <w:tcW w:w="5616" w:type="dxa"/>
            <w:vAlign w:val="center"/>
          </w:tcPr>
          <w:p w14:paraId="791C334C">
            <w:pPr>
              <w:spacing w:line="240" w:lineRule="auto"/>
              <w:rPr>
                <w:rFonts w:hint="default" w:ascii="Times New Roman Regular" w:hAnsi="Times New Roman Regular" w:cs="Times New Roman Regular"/>
                <w:vertAlign w:val="baseline"/>
              </w:rPr>
            </w:pPr>
            <w:r>
              <w:rPr>
                <w:rFonts w:hint="default" w:ascii="Times New Roman Regular" w:hAnsi="Times New Roman Regular" w:cs="Times New Roman Regular"/>
                <w:lang w:val="en-US" w:eastAsia="zh-CN"/>
              </w:rPr>
              <w:t>Translates local construction features into rules for material selection, façade coordination, structural repair, colour–texture control, and continuation of local construction practices.</w:t>
            </w:r>
          </w:p>
        </w:tc>
      </w:tr>
    </w:tbl>
    <w:p w14:paraId="2AF2E9F2">
      <w:pPr>
        <w:pStyle w:val="2"/>
        <w:keepNext w:val="0"/>
        <w:keepLines w:val="0"/>
        <w:widowControl/>
        <w:suppressLineNumbers w:val="0"/>
        <w:jc w:val="both"/>
        <w:rPr>
          <w:rFonts w:hint="default" w:ascii="Times New Roman" w:hAnsi="Times New Roman" w:cs="Times New Roman"/>
        </w:rPr>
      </w:pPr>
      <w:r>
        <w:rPr>
          <w:rFonts w:hint="default" w:ascii="Times New Roman" w:hAnsi="Times New Roman" w:cs="Times New Roman"/>
          <w:lang w:val="en-US" w:eastAsia="zh-CN"/>
        </w:rPr>
        <w:t>*</w:t>
      </w:r>
      <w:r>
        <w:rPr>
          <w:rFonts w:hint="default" w:ascii="Times New Roman" w:hAnsi="Times New Roman" w:cs="Times New Roman"/>
        </w:rPr>
        <w:t>The fourteen feature factors were derived from previous space-gene identification research and were not re-extracted in the present study. In this article, they were used as the baseline coding units for translating five categories of space genes into governance attributes. This correspondence table explains how each space-gene category was transformed into a governance object for subsequent value–risk diagnosis and rule translation.</w:t>
      </w:r>
    </w:p>
    <w:p w14:paraId="3F138807">
      <w:pPr>
        <w:jc w:val="center"/>
      </w:pPr>
    </w:p>
    <w:p w14:paraId="1B9C740A">
      <w:pPr>
        <w:jc w:val="center"/>
      </w:pPr>
    </w:p>
    <w:p w14:paraId="51637CA7"/>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Regular">
    <w:panose1 w:val="02000503000000020004"/>
    <w:charset w:val="00"/>
    <w:family w:val="auto"/>
    <w:pitch w:val="default"/>
    <w:sig w:usb0="E50002FF" w:usb1="500079DB" w:usb2="00000010" w:usb3="00000000" w:csb0="00000000" w:csb1="00000000"/>
  </w:font>
  <w:font w:name="Times New Roman Regular">
    <w:panose1 w:val="02020503050405090304"/>
    <w:charset w:val="00"/>
    <w:family w:val="auto"/>
    <w:pitch w:val="default"/>
    <w:sig w:usb0="E0000AFF" w:usb1="00007843" w:usb2="00000001" w:usb3="00000000" w:csb0="400001BF" w:csb1="DFF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AFA5D2"/>
    <w:multiLevelType w:val="singleLevel"/>
    <w:tmpl w:val="FFAFA5D2"/>
    <w:lvl w:ilvl="0" w:tentative="0">
      <w:start w:val="3"/>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DFF5AAB"/>
    <w:rsid w:val="1E970A92"/>
    <w:rsid w:val="2EFC75F9"/>
    <w:rsid w:val="2FE61FC2"/>
    <w:rsid w:val="76F74D23"/>
    <w:rsid w:val="EDFF5AAB"/>
    <w:rsid w:val="EFFDD3CE"/>
    <w:rsid w:val="F6BFA5A5"/>
    <w:rsid w:val="F6D31474"/>
    <w:rsid w:val="FDDFFA1A"/>
    <w:rsid w:val="FFBA7EC0"/>
    <w:rsid w:val="FFFF56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table" w:styleId="4">
    <w:name w:val="Table Grid"/>
    <w:basedOn w:val="3"/>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28</TotalTime>
  <ScaleCrop>false</ScaleCrop>
  <LinksUpToDate>false</LinksUpToDate>
  <CharactersWithSpaces>0</CharactersWithSpaces>
  <Application>WPS Office_12.1.26055.26055_F1E327BC-269C-435d-A152-05C5408002CA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2026-09-01T19:47:00Z</dcterms:created>
  <dc:creator>刘畅</dc:creator>
  <cp:lastModifiedBy>刘畅</cp:lastModifiedBy>
  <dcterms:modified xsi:type="dcterms:W3CDTF">2026-09-04T12:11:27Z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2052-12.1.26055.26055</vt:lpwstr>
  </property>
  <property fmtid="{D5CDD505-2E9C-101B-9397-08002B2CF9AE}" pid="3" name="ICV">
    <vt:lpwstr>5C12CFDA15BB111AD84A966ABE89E2A0_41</vt:lpwstr>
  </property>
</Properties>
</file>