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DE3D4">
      <w:pPr>
        <w:pStyle w:val="3"/>
        <w:keepNext w:val="0"/>
        <w:keepLines w:val="0"/>
        <w:widowControl/>
        <w:suppressLineNumbers w:val="0"/>
      </w:pPr>
      <w:r>
        <w:t>Supplementary Methods S3. Coding procedure, dual review and disagreement resolution</w:t>
      </w:r>
    </w:p>
    <w:p w14:paraId="7A67DBB4">
      <w:pPr>
        <w:pStyle w:val="2"/>
        <w:widowControl/>
        <w:spacing w:before="0" w:after="40" w:line="240" w:lineRule="auto"/>
        <w:jc w:val="left"/>
      </w:pPr>
      <w:r>
        <w:t>S3.1 Coding procedure</w:t>
      </w:r>
    </w:p>
    <w:p w14:paraId="6E8DA43C">
      <w:pPr>
        <w:bidi w:val="0"/>
        <w:ind w:firstLine="420" w:firstLineChars="200"/>
      </w:pPr>
      <w:r>
        <w:t>The coding procedure was designed to translate previously identified space genes into governance-oriented analytical units. First, the five categories of space genes were treated as baseline coding units. These categories included the spatial-pattern gene, street-and-lane morphology gene, public-node gene, courtyard-space gene and construction-material gene.</w:t>
      </w:r>
    </w:p>
    <w:p w14:paraId="0D59B2C3">
      <w:pPr>
        <w:bidi w:val="0"/>
        <w:ind w:firstLine="420" w:firstLineChars="200"/>
      </w:pPr>
      <w:r>
        <w:t>Second, each space gene was linked to its spatial carriers. For example, the spatial-pattern gene was linked to mountains, forests, water systems, farmland and settlement boundaries; the street-and-lane morphology gene was linked to main streets, branch lanes, lane width and street interfaces; and the construction-material gene was linked to walls, roofs, timber frames, brick masonry, colour and texture.</w:t>
      </w:r>
    </w:p>
    <w:p w14:paraId="5D1A6491">
      <w:pPr>
        <w:bidi w:val="0"/>
        <w:ind w:firstLine="420" w:firstLineChars="200"/>
      </w:pPr>
      <w:r>
        <w:t>Third, each space gene was recoded into a governance attribute. The spatial-pattern gene was recoded as control boundary; the street-and-lane morphology gene as organisational skeleton; the public-node gene as public node; the courtyard-space gene as architectural unit; and the construction-material gene as material interface.</w:t>
      </w:r>
    </w:p>
    <w:p w14:paraId="63CC09E3">
      <w:pPr>
        <w:bidi w:val="0"/>
        <w:ind w:firstLine="420" w:firstLineChars="200"/>
      </w:pPr>
      <w:r>
        <w:t>Fourth, each governance attribute was assessed through the four diagnostic variables of stability, identifiability, relationality and disturbance. Stability, identifiability and relationality were used to calculate the value score, while disturbance was used as the risk score.</w:t>
      </w:r>
    </w:p>
    <w:p w14:paraId="0405B5A1">
      <w:pPr>
        <w:pStyle w:val="2"/>
        <w:widowControl/>
        <w:spacing w:before="0" w:after="40" w:line="240" w:lineRule="auto"/>
        <w:jc w:val="left"/>
      </w:pPr>
      <w:r>
        <w:t>S3.2 Dual review procedure</w:t>
      </w:r>
    </w:p>
    <w:p w14:paraId="0FE8947B">
      <w:pPr>
        <w:bidi w:val="0"/>
        <w:ind w:firstLine="420" w:firstLineChars="200"/>
      </w:pPr>
      <w:r>
        <w:t>To reduce subjective bias, two researchers with backgrounds in urban–rural planning and rural spatial studies independently reviewed the evidence and scored the five categories of space genes. The evidence included spatial maps, UAV images, field photographs, interview records, planning documents and project-related materials.</w:t>
      </w:r>
    </w:p>
    <w:p w14:paraId="69604DDA">
      <w:pPr>
        <w:bidi w:val="0"/>
        <w:ind w:firstLine="420" w:firstLineChars="200"/>
      </w:pPr>
      <w:r>
        <w:t>Each researcher independently assigned scores from 1 to 5 for stability, identifiability, relationality and disturbance according to the predefined scoring criteria. After the independent scoring process, the two sets of scores were compared.</w:t>
      </w:r>
    </w:p>
    <w:p w14:paraId="403D2CDD">
      <w:pPr>
        <w:pStyle w:val="2"/>
        <w:widowControl/>
        <w:spacing w:before="0" w:after="40" w:line="240" w:lineRule="auto"/>
        <w:jc w:val="left"/>
      </w:pPr>
      <w:r>
        <w:t>S3.3 Disagreement resolution</w:t>
      </w:r>
    </w:p>
    <w:p w14:paraId="7C857E25">
      <w:pPr>
        <w:bidi w:val="0"/>
        <w:ind w:firstLine="420" w:firstLineChars="200"/>
      </w:pPr>
      <w:r>
        <w:t>Where the score difference between the two researchers was no greater than one point, the final score was determined through evidence rechecking and consensus discussion. Where the score difference exceeded one point, the corresponding spatial maps, UAV images, photographs, interview notes and planning documents were re-examined. The final score was determined only after both researchers reached agreement.</w:t>
      </w:r>
    </w:p>
    <w:p w14:paraId="358CF834">
      <w:pPr>
        <w:bidi w:val="0"/>
        <w:ind w:firstLine="420" w:firstLineChars="200"/>
      </w:pPr>
      <w:r>
        <w:t>This procedure was used to improve the transparency and traceability of the diagnosis. Because the scoring was intended for evidence-based diagnostic classification rather than statistical inference, no inter-rater reliability coefficient was calculated.</w:t>
      </w:r>
    </w:p>
    <w:p w14:paraId="4EAC1DF2">
      <w:pPr>
        <w:pStyle w:val="2"/>
        <w:widowControl/>
        <w:spacing w:before="0" w:after="40" w:line="240" w:lineRule="auto"/>
        <w:jc w:val="left"/>
      </w:pPr>
      <w:r>
        <w:t>S3.4 Calculation and classification</w:t>
      </w:r>
    </w:p>
    <w:p w14:paraId="6FC59B41">
      <w:pPr>
        <w:bidi w:val="0"/>
        <w:ind w:firstLine="420" w:firstLineChars="200"/>
        <w:rPr>
          <w:lang w:val="en-US" w:eastAsia="zh-CN"/>
        </w:rPr>
      </w:pPr>
      <w:r>
        <w:rPr>
          <w:lang w:val="en-US" w:eastAsia="zh-CN"/>
        </w:rPr>
        <w:t>The overall value score was calculated using the arithmetic mean of stability, identifiability and relationality:</w:t>
      </w:r>
    </w:p>
    <w:p w14:paraId="2F659AA4">
      <w:pPr>
        <w:bidi w:val="0"/>
        <w:jc w:val="center"/>
        <w:rPr>
          <w:lang w:val="en-US" w:eastAsia="zh-CN"/>
        </w:rPr>
      </w:pPr>
      <w:r>
        <w:rPr>
          <w:lang w:val="en-US" w:eastAsia="zh-CN"/>
        </w:rPr>
        <w:t>V= (S+I+A) / 3</w:t>
      </w:r>
    </w:p>
    <w:p w14:paraId="57B2BB05">
      <w:pPr>
        <w:bidi w:val="0"/>
        <w:ind w:firstLine="420" w:firstLineChars="200"/>
        <w:rPr>
          <w:lang w:val="en-US" w:eastAsia="zh-CN"/>
        </w:rPr>
      </w:pPr>
      <w:r>
        <w:rPr>
          <w:lang w:val="en-US" w:eastAsia="zh-CN"/>
        </w:rPr>
        <w:t>where V represents the overall value score, S represents stability, I represents identifiability and A represents relationality.</w:t>
      </w:r>
    </w:p>
    <w:p w14:paraId="39BF4368">
      <w:pPr>
        <w:bidi w:val="0"/>
        <w:ind w:firstLine="420" w:firstLineChars="200"/>
        <w:rPr>
          <w:lang w:val="en-US" w:eastAsia="zh-CN"/>
        </w:rPr>
      </w:pPr>
      <w:r>
        <w:rPr>
          <w:lang w:val="en-US" w:eastAsia="zh-CN"/>
        </w:rPr>
        <w:t>The risk score was represented directly by the disturbance score:</w:t>
      </w:r>
    </w:p>
    <w:p w14:paraId="57D60C6D">
      <w:pPr>
        <w:bidi w:val="0"/>
        <w:jc w:val="center"/>
        <w:rPr>
          <w:lang w:val="en-US" w:eastAsia="zh-CN"/>
        </w:rPr>
      </w:pPr>
      <w:r>
        <w:rPr>
          <w:lang w:val="en-US" w:eastAsia="zh-CN"/>
        </w:rPr>
        <w:t>R=D</w:t>
      </w:r>
    </w:p>
    <w:p w14:paraId="5CFC24C7">
      <w:pPr>
        <w:bidi w:val="0"/>
        <w:ind w:firstLine="420" w:firstLineChars="200"/>
        <w:rPr>
          <w:lang w:val="en-US" w:eastAsia="zh-CN"/>
        </w:rPr>
      </w:pPr>
      <w:bookmarkStart w:id="0" w:name="_GoBack"/>
      <w:bookmarkEnd w:id="0"/>
      <w:r>
        <w:rPr>
          <w:lang w:val="en-US" w:eastAsia="zh-CN"/>
        </w:rPr>
        <w:t>where R represents the risk score and D represents disturbance.</w:t>
      </w:r>
    </w:p>
    <w:p w14:paraId="50E06615">
      <w:pPr>
        <w:bidi w:val="0"/>
        <w:ind w:firstLine="420" w:firstLineChars="200"/>
      </w:pPr>
      <w:r>
        <w:t>The combination of V and R was used to classify each space gene into one of four governance states: continuation, repair, adaptation or replacement. These governance states then provided the basis for adaptive rule translation and tool embedding.</w:t>
      </w:r>
    </w:p>
    <w:p w14:paraId="6FA0323E">
      <w:pPr>
        <w:pStyle w:val="2"/>
        <w:widowControl/>
        <w:spacing w:before="0" w:after="40" w:line="240" w:lineRule="auto"/>
        <w:jc w:val="left"/>
        <w:rPr/>
      </w:pPr>
      <w:r>
        <w:t>S3.5 Governance-state classification logic</w:t>
      </w:r>
    </w:p>
    <w:p w14:paraId="5339C9E5">
      <w:pPr>
        <w:bidi w:val="0"/>
        <w:ind w:firstLine="420" w:firstLineChars="200"/>
        <w:rPr/>
      </w:pPr>
      <w:r>
        <w:t>Governance states were determined by jointly interpreting the value score and the risk score in the value–risk matrix. Continuation was assigned to space genes with high value and low or moderate disturbance, indicating that their spatial structure should be maintained as a governance baseline. Repair was assigned to space genes with high value and high disturbance, indicating that their core spatial relationships remain important but have been damaged or fragmented by renewal activities. Adaptation was assigned to space genes that retained recognisable value but required functional adjustment under ongoing rural renewal, such as housing renovation, guesthouse conversion or public-service insertion. Replacement was retained as a possible governance state for space genes with low value, weak identifiability and severely damaged spatial relationships; however, no space gene in Shichuangou Village was classified as fully replacement-oriented.</w:t>
      </w:r>
    </w:p>
    <w:p w14:paraId="6CC29A76">
      <w:pPr>
        <w:bidi w:val="0"/>
        <w:ind w:firstLine="420" w:firstLineChars="200"/>
        <w:rPr/>
      </w:pPr>
      <w:r>
        <w:t>This classification was not used as a statistical clustering result. Rather, it was an evidence-based diagnostic classification derived from the combination of the value score, risk score, field evidence and consensus review.</w:t>
      </w:r>
    </w:p>
    <w:p w14:paraId="6469D52D">
      <w:pPr>
        <w:pStyle w:val="5"/>
        <w:keepNext w:val="0"/>
        <w:keepLines w:val="0"/>
        <w:widowControl/>
        <w:suppressLineNumbers w:val="0"/>
      </w:pPr>
    </w:p>
    <w:p w14:paraId="51637CA7"/>
    <w:p w14:paraId="57413A06"/>
    <w:p w14:paraId="7CC3A775"/>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Calibri Light">
    <w:altName w:val="Helvetica Neue"/>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D9FFF"/>
    <w:rsid w:val="3AFD9FFF"/>
    <w:rsid w:val="7FEBBEF6"/>
    <w:rsid w:val="7FEF0FAD"/>
    <w:rsid w:val="7FFFE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9</TotalTime>
  <ScaleCrop>false</ScaleCrop>
  <LinksUpToDate>false</LinksUpToDate>
  <CharactersWithSpaces>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2026-09-03T05:41:00Z</dcterms:created>
  <dc:creator>刘畅</dc:creator>
  <cp:lastModifiedBy>刘畅</cp:lastModifiedBy>
  <dcterms:modified xsi:type="dcterms:W3CDTF">2026-09-04T12:09:17Z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D90449A170D017C6FFB6976A2C52A181_41</vt:lpwstr>
  </property>
</Properties>
</file>