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4749C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 w:val="0"/>
          <w:sz w:val="36"/>
          <w:szCs w:val="36"/>
        </w:rPr>
      </w:pPr>
      <w:r>
        <w:rPr>
          <w:rStyle w:val="6"/>
          <w:rFonts w:hint="default" w:ascii="Times New Roman" w:hAnsi="Times New Roman" w:eastAsia="宋体" w:cs="Times New Roman"/>
          <w:b w:val="0"/>
          <w:sz w:val="36"/>
          <w:szCs w:val="36"/>
        </w:rPr>
        <w:t>Supplementary Table S6. Value–risk matrix data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3"/>
        <w:gridCol w:w="2000"/>
        <w:gridCol w:w="1338"/>
        <w:gridCol w:w="1477"/>
        <w:gridCol w:w="1771"/>
        <w:gridCol w:w="1580"/>
        <w:gridCol w:w="3615"/>
      </w:tblGrid>
      <w:tr w14:paraId="1A3A22EC">
        <w:tc>
          <w:tcPr>
            <w:tcW w:w="2393" w:type="dxa"/>
            <w:shd w:val="clear" w:color="auto" w:fill="DBE3F4" w:themeFill="accent1" w:themeFillTint="32"/>
            <w:vAlign w:val="center"/>
          </w:tcPr>
          <w:p w14:paraId="374F1B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Space gene category</w:t>
            </w:r>
          </w:p>
        </w:tc>
        <w:tc>
          <w:tcPr>
            <w:tcW w:w="2000" w:type="dxa"/>
            <w:shd w:val="clear" w:color="auto" w:fill="DBE3F4" w:themeFill="accent1" w:themeFillTint="32"/>
            <w:vAlign w:val="center"/>
          </w:tcPr>
          <w:p w14:paraId="04941F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attribute</w:t>
            </w:r>
          </w:p>
        </w:tc>
        <w:tc>
          <w:tcPr>
            <w:tcW w:w="1338" w:type="dxa"/>
            <w:shd w:val="clear" w:color="auto" w:fill="DBE3F4" w:themeFill="accent1" w:themeFillTint="32"/>
            <w:vAlign w:val="center"/>
          </w:tcPr>
          <w:p w14:paraId="51349F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Value score V</w:t>
            </w:r>
          </w:p>
        </w:tc>
        <w:tc>
          <w:tcPr>
            <w:tcW w:w="1477" w:type="dxa"/>
            <w:shd w:val="clear" w:color="auto" w:fill="DBE3F4" w:themeFill="accent1" w:themeFillTint="32"/>
            <w:vAlign w:val="center"/>
          </w:tcPr>
          <w:p w14:paraId="7436D3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Risk score R</w:t>
            </w:r>
          </w:p>
        </w:tc>
        <w:tc>
          <w:tcPr>
            <w:tcW w:w="1771" w:type="dxa"/>
            <w:shd w:val="clear" w:color="auto" w:fill="DBE3F4" w:themeFill="accent1" w:themeFillTint="32"/>
            <w:vAlign w:val="center"/>
          </w:tcPr>
          <w:p w14:paraId="028F84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Matrix position</w:t>
            </w:r>
          </w:p>
        </w:tc>
        <w:tc>
          <w:tcPr>
            <w:tcW w:w="1580" w:type="dxa"/>
            <w:shd w:val="clear" w:color="auto" w:fill="DBE3F4" w:themeFill="accent1" w:themeFillTint="32"/>
            <w:vAlign w:val="center"/>
          </w:tcPr>
          <w:p w14:paraId="3A62DD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Governance state</w:t>
            </w:r>
          </w:p>
        </w:tc>
        <w:tc>
          <w:tcPr>
            <w:tcW w:w="3615" w:type="dxa"/>
            <w:shd w:val="clear" w:color="auto" w:fill="DBE3F4" w:themeFill="accent1" w:themeFillTint="32"/>
            <w:vAlign w:val="center"/>
          </w:tcPr>
          <w:p w14:paraId="63F47D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Interpretation</w:t>
            </w:r>
          </w:p>
        </w:tc>
      </w:tr>
      <w:tr w14:paraId="4872104C">
        <w:tc>
          <w:tcPr>
            <w:tcW w:w="2393" w:type="dxa"/>
            <w:vAlign w:val="center"/>
          </w:tcPr>
          <w:p w14:paraId="454F8F7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Mountain/forest–village–farmland–water spatial-pattern gene</w:t>
            </w:r>
          </w:p>
        </w:tc>
        <w:tc>
          <w:tcPr>
            <w:tcW w:w="2000" w:type="dxa"/>
            <w:vAlign w:val="center"/>
          </w:tcPr>
          <w:p w14:paraId="4128978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Control boundary</w:t>
            </w:r>
          </w:p>
        </w:tc>
        <w:tc>
          <w:tcPr>
            <w:tcW w:w="1338" w:type="dxa"/>
            <w:vAlign w:val="center"/>
          </w:tcPr>
          <w:p w14:paraId="09229B33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5.00</w:t>
            </w:r>
          </w:p>
        </w:tc>
        <w:tc>
          <w:tcPr>
            <w:tcW w:w="1477" w:type="dxa"/>
            <w:vAlign w:val="center"/>
          </w:tcPr>
          <w:p w14:paraId="23671350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71" w:type="dxa"/>
            <w:vAlign w:val="center"/>
          </w:tcPr>
          <w:p w14:paraId="467CB23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High value–moderate risk</w:t>
            </w:r>
          </w:p>
        </w:tc>
        <w:tc>
          <w:tcPr>
            <w:tcW w:w="1580" w:type="dxa"/>
            <w:vAlign w:val="center"/>
          </w:tcPr>
          <w:p w14:paraId="67BD930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Continuation</w:t>
            </w:r>
          </w:p>
        </w:tc>
        <w:tc>
          <w:tcPr>
            <w:tcW w:w="3615" w:type="dxa"/>
            <w:vAlign w:val="center"/>
          </w:tcPr>
          <w:p w14:paraId="2C823AB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Maintains the overall spatial order of Shichuangou Village and should be used as a baseline for boundary control and spatial-pattern continuity.</w:t>
            </w:r>
          </w:p>
        </w:tc>
      </w:tr>
      <w:tr w14:paraId="2D7FA476">
        <w:tc>
          <w:tcPr>
            <w:tcW w:w="2393" w:type="dxa"/>
            <w:vAlign w:val="center"/>
          </w:tcPr>
          <w:p w14:paraId="61FFC50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Fishbone-shaped street-and-lane morphology gene</w:t>
            </w:r>
          </w:p>
        </w:tc>
        <w:tc>
          <w:tcPr>
            <w:tcW w:w="2000" w:type="dxa"/>
            <w:vAlign w:val="center"/>
          </w:tcPr>
          <w:p w14:paraId="4C46490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Organisational skeleton</w:t>
            </w:r>
          </w:p>
        </w:tc>
        <w:tc>
          <w:tcPr>
            <w:tcW w:w="1338" w:type="dxa"/>
            <w:vAlign w:val="center"/>
          </w:tcPr>
          <w:p w14:paraId="4EEC5790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4.67</w:t>
            </w:r>
          </w:p>
        </w:tc>
        <w:tc>
          <w:tcPr>
            <w:tcW w:w="1477" w:type="dxa"/>
            <w:vAlign w:val="center"/>
          </w:tcPr>
          <w:p w14:paraId="07DB90B8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71" w:type="dxa"/>
            <w:vAlign w:val="center"/>
          </w:tcPr>
          <w:p w14:paraId="2E5212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High valu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e–high risk</w:t>
            </w:r>
          </w:p>
        </w:tc>
        <w:tc>
          <w:tcPr>
            <w:tcW w:w="1580" w:type="dxa"/>
            <w:vAlign w:val="center"/>
          </w:tcPr>
          <w:p w14:paraId="72B437E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Repair</w:t>
            </w:r>
          </w:p>
        </w:tc>
        <w:tc>
          <w:tcPr>
            <w:tcW w:w="3615" w:type="dxa"/>
            <w:vAlign w:val="center"/>
          </w:tcPr>
          <w:p w14:paraId="3EA77F5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Highly valuable but strongly disturbed by road upgrading, parking reorganisation and visitor circulation; requires repair of street-lane fabric.</w:t>
            </w:r>
          </w:p>
        </w:tc>
      </w:tr>
      <w:tr w14:paraId="499ABCE7">
        <w:tc>
          <w:tcPr>
            <w:tcW w:w="2393" w:type="dxa"/>
            <w:vAlign w:val="center"/>
          </w:tcPr>
          <w:p w14:paraId="225BA8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Multi-core centripetal spatial-node gene</w:t>
            </w:r>
          </w:p>
        </w:tc>
        <w:tc>
          <w:tcPr>
            <w:tcW w:w="2000" w:type="dxa"/>
            <w:vAlign w:val="center"/>
          </w:tcPr>
          <w:p w14:paraId="218E724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Public node</w:t>
            </w:r>
          </w:p>
        </w:tc>
        <w:tc>
          <w:tcPr>
            <w:tcW w:w="1338" w:type="dxa"/>
            <w:vAlign w:val="center"/>
          </w:tcPr>
          <w:p w14:paraId="5D293448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4.67</w:t>
            </w:r>
          </w:p>
        </w:tc>
        <w:tc>
          <w:tcPr>
            <w:tcW w:w="1477" w:type="dxa"/>
            <w:vAlign w:val="center"/>
          </w:tcPr>
          <w:p w14:paraId="208D697A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71" w:type="dxa"/>
            <w:vAlign w:val="center"/>
          </w:tcPr>
          <w:p w14:paraId="6CAE1B6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High value–moderate risk</w:t>
            </w:r>
          </w:p>
        </w:tc>
        <w:tc>
          <w:tcPr>
            <w:tcW w:w="1580" w:type="dxa"/>
            <w:vAlign w:val="center"/>
          </w:tcPr>
          <w:p w14:paraId="2B519F3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Adaptation</w:t>
            </w:r>
          </w:p>
        </w:tc>
        <w:tc>
          <w:tcPr>
            <w:tcW w:w="3615" w:type="dxa"/>
            <w:vAlign w:val="center"/>
          </w:tcPr>
          <w:p w14:paraId="30AE62C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Maintains public life and collective memory; suitable for functional integration while retaining public character.</w:t>
            </w:r>
          </w:p>
        </w:tc>
      </w:tr>
      <w:tr w14:paraId="44EA9EBB">
        <w:tc>
          <w:tcPr>
            <w:tcW w:w="2393" w:type="dxa"/>
            <w:vAlign w:val="center"/>
          </w:tcPr>
          <w:p w14:paraId="3658794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White-walls-and-grey-tiles courtyard gene</w:t>
            </w:r>
          </w:p>
        </w:tc>
        <w:tc>
          <w:tcPr>
            <w:tcW w:w="2000" w:type="dxa"/>
            <w:vAlign w:val="center"/>
          </w:tcPr>
          <w:p w14:paraId="7C3C488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Architectural unit</w:t>
            </w:r>
          </w:p>
        </w:tc>
        <w:tc>
          <w:tcPr>
            <w:tcW w:w="1338" w:type="dxa"/>
            <w:vAlign w:val="center"/>
          </w:tcPr>
          <w:p w14:paraId="6AE1549D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3.33</w:t>
            </w:r>
          </w:p>
        </w:tc>
        <w:tc>
          <w:tcPr>
            <w:tcW w:w="1477" w:type="dxa"/>
            <w:vAlign w:val="center"/>
          </w:tcPr>
          <w:p w14:paraId="3F436BD7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71" w:type="dxa"/>
            <w:vAlign w:val="center"/>
          </w:tcPr>
          <w:p w14:paraId="1D69587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Moderate value–high risk</w:t>
            </w:r>
          </w:p>
        </w:tc>
        <w:tc>
          <w:tcPr>
            <w:tcW w:w="1580" w:type="dxa"/>
            <w:vAlign w:val="center"/>
          </w:tcPr>
          <w:p w14:paraId="65C96DD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b w:val="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Adaptation</w:t>
            </w:r>
          </w:p>
        </w:tc>
        <w:tc>
          <w:tcPr>
            <w:tcW w:w="3615" w:type="dxa"/>
            <w:vAlign w:val="center"/>
          </w:tcPr>
          <w:p w14:paraId="6CD1F8A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Affected by housing renovation and guesthouse conversion; requires courtyard-scale control and functional adaptation.</w:t>
            </w:r>
          </w:p>
        </w:tc>
      </w:tr>
      <w:tr w14:paraId="05F98006">
        <w:tc>
          <w:tcPr>
            <w:tcW w:w="2393" w:type="dxa"/>
            <w:vAlign w:val="center"/>
          </w:tcPr>
          <w:p w14:paraId="1301D8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Post-and-lintel/interlocking timber-frame material gene</w:t>
            </w:r>
          </w:p>
        </w:tc>
        <w:tc>
          <w:tcPr>
            <w:tcW w:w="2000" w:type="dxa"/>
            <w:vAlign w:val="center"/>
          </w:tcPr>
          <w:p w14:paraId="56762BC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Material interface</w:t>
            </w:r>
          </w:p>
        </w:tc>
        <w:tc>
          <w:tcPr>
            <w:tcW w:w="1338" w:type="dxa"/>
            <w:vAlign w:val="center"/>
          </w:tcPr>
          <w:p w14:paraId="7674A416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3.33</w:t>
            </w:r>
          </w:p>
        </w:tc>
        <w:tc>
          <w:tcPr>
            <w:tcW w:w="1477" w:type="dxa"/>
            <w:vAlign w:val="center"/>
          </w:tcPr>
          <w:p w14:paraId="02BC5457">
            <w:pPr>
              <w:keepNext w:val="0"/>
              <w:keepLines w:val="0"/>
              <w:widowControl/>
              <w:suppressLineNumbers w:val="0"/>
              <w:spacing w:line="240" w:lineRule="auto"/>
              <w:jc w:val="righ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71" w:type="dxa"/>
            <w:vAlign w:val="center"/>
          </w:tcPr>
          <w:p w14:paraId="765E68E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Moderate value–high risk</w:t>
            </w:r>
          </w:p>
        </w:tc>
        <w:tc>
          <w:tcPr>
            <w:tcW w:w="1580" w:type="dxa"/>
            <w:vAlign w:val="center"/>
          </w:tcPr>
          <w:p w14:paraId="2DBF9C5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Repair/adaptation</w:t>
            </w:r>
          </w:p>
        </w:tc>
        <w:tc>
          <w:tcPr>
            <w:tcW w:w="3615" w:type="dxa"/>
            <w:vAlign w:val="center"/>
          </w:tcPr>
          <w:p w14:paraId="25C5905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kern w:val="0"/>
                <w:sz w:val="24"/>
                <w:szCs w:val="24"/>
                <w:lang w:val="en-US" w:eastAsia="zh-CN" w:bidi="ar"/>
              </w:rPr>
              <w:t>Affected by modern material replacement and façade treatment; requires material-interface coordination and selective repair.</w:t>
            </w:r>
          </w:p>
        </w:tc>
      </w:tr>
    </w:tbl>
    <w:p w14:paraId="51637CA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F5AAB"/>
    <w:rsid w:val="1E970A92"/>
    <w:rsid w:val="1F7F6591"/>
    <w:rsid w:val="2EFC75F9"/>
    <w:rsid w:val="2FE61FC2"/>
    <w:rsid w:val="3FF713CA"/>
    <w:rsid w:val="76F74D23"/>
    <w:rsid w:val="7BFDC5A2"/>
    <w:rsid w:val="DFDBD1F3"/>
    <w:rsid w:val="E7C18C38"/>
    <w:rsid w:val="EDFF5AAB"/>
    <w:rsid w:val="EFFDD3CE"/>
    <w:rsid w:val="F6BFA5A5"/>
    <w:rsid w:val="F6D31474"/>
    <w:rsid w:val="FB4BB322"/>
    <w:rsid w:val="FBC614B2"/>
    <w:rsid w:val="FFBA7EC0"/>
    <w:rsid w:val="FF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2026-09-02T19:47:00Z</dcterms:created>
  <dc:creator>刘畅</dc:creator>
  <cp:lastModifiedBy>刘畅</cp:lastModifiedBy>
  <dcterms:modified xsi:type="dcterms:W3CDTF">2026-09-04T12:13:18Z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5C12CFDA15BB111AD84A966ABE89E2A0_41</vt:lpwstr>
  </property>
</Properties>
</file>