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6E488">
      <w:pPr>
        <w:spacing w:line="36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>Supplementary Table S7. Field template for the dynamic project database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2994"/>
        <w:gridCol w:w="2327"/>
        <w:gridCol w:w="2429"/>
        <w:gridCol w:w="2429"/>
        <w:gridCol w:w="2432"/>
      </w:tblGrid>
      <w:tr w14:paraId="64B5F983">
        <w:trPr>
          <w:tblHeader/>
          <w:jc w:val="center"/>
        </w:trPr>
        <w:tc>
          <w:tcPr>
            <w:tcW w:w="1552" w:type="dxa"/>
            <w:shd w:val="clear" w:color="auto" w:fill="DBE3F4" w:themeFill="accent1" w:themeFillTint="32"/>
            <w:vAlign w:val="center"/>
          </w:tcPr>
          <w:p w14:paraId="3F7DAC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Field</w:t>
            </w:r>
          </w:p>
        </w:tc>
        <w:tc>
          <w:tcPr>
            <w:tcW w:w="2994" w:type="dxa"/>
            <w:shd w:val="clear" w:color="auto" w:fill="DBE3F4" w:themeFill="accent1" w:themeFillTint="32"/>
            <w:vAlign w:val="center"/>
          </w:tcPr>
          <w:p w14:paraId="55B20D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Description</w:t>
            </w:r>
          </w:p>
        </w:tc>
        <w:tc>
          <w:tcPr>
            <w:tcW w:w="2327" w:type="dxa"/>
            <w:shd w:val="clear" w:color="auto" w:fill="DBE3F4" w:themeFill="accent1" w:themeFillTint="32"/>
            <w:vAlign w:val="center"/>
          </w:tcPr>
          <w:p w14:paraId="4249F8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Data type / format</w:t>
            </w:r>
          </w:p>
        </w:tc>
        <w:tc>
          <w:tcPr>
            <w:tcW w:w="2429" w:type="dxa"/>
            <w:shd w:val="clear" w:color="auto" w:fill="DBE3F4" w:themeFill="accent1" w:themeFillTint="32"/>
            <w:vAlign w:val="center"/>
          </w:tcPr>
          <w:p w14:paraId="0989BA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Example entry</w:t>
            </w:r>
          </w:p>
        </w:tc>
        <w:tc>
          <w:tcPr>
            <w:tcW w:w="2429" w:type="dxa"/>
            <w:shd w:val="clear" w:color="auto" w:fill="DBE3F4" w:themeFill="accent1" w:themeFillTint="32"/>
            <w:vAlign w:val="center"/>
          </w:tcPr>
          <w:p w14:paraId="45582C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Data source</w:t>
            </w:r>
          </w:p>
        </w:tc>
        <w:tc>
          <w:tcPr>
            <w:tcW w:w="2432" w:type="dxa"/>
            <w:shd w:val="clear" w:color="auto" w:fill="DBE3F4" w:themeFill="accent1" w:themeFillTint="32"/>
            <w:vAlign w:val="center"/>
          </w:tcPr>
          <w:p w14:paraId="496F50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Use in analysis</w:t>
            </w:r>
          </w:p>
        </w:tc>
      </w:tr>
      <w:tr w14:paraId="4ADA02A8">
        <w:trPr>
          <w:jc w:val="center"/>
        </w:trPr>
        <w:tc>
          <w:tcPr>
            <w:tcW w:w="1552" w:type="dxa"/>
            <w:vAlign w:val="center"/>
          </w:tcPr>
          <w:p w14:paraId="1C0140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Project ID</w:t>
            </w:r>
          </w:p>
        </w:tc>
        <w:tc>
          <w:tcPr>
            <w:tcW w:w="2994" w:type="dxa"/>
            <w:vAlign w:val="center"/>
          </w:tcPr>
          <w:p w14:paraId="68D1CC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Unique identification code for each renewal or construction project</w:t>
            </w:r>
          </w:p>
        </w:tc>
        <w:tc>
          <w:tcPr>
            <w:tcW w:w="2327" w:type="dxa"/>
            <w:vAlign w:val="center"/>
          </w:tcPr>
          <w:p w14:paraId="65B2F6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Text</w:t>
            </w:r>
          </w:p>
        </w:tc>
        <w:tc>
          <w:tcPr>
            <w:tcW w:w="2429" w:type="dxa"/>
            <w:vAlign w:val="center"/>
          </w:tcPr>
          <w:p w14:paraId="2B4BD5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P-01</w:t>
            </w:r>
          </w:p>
        </w:tc>
        <w:tc>
          <w:tcPr>
            <w:tcW w:w="2429" w:type="dxa"/>
            <w:vAlign w:val="center"/>
          </w:tcPr>
          <w:p w14:paraId="6EB714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Project records; field survey</w:t>
            </w:r>
          </w:p>
        </w:tc>
        <w:tc>
          <w:tcPr>
            <w:tcW w:w="2432" w:type="dxa"/>
            <w:vAlign w:val="center"/>
          </w:tcPr>
          <w:p w14:paraId="3B62FB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Enables project tracking and comparison</w:t>
            </w:r>
          </w:p>
        </w:tc>
      </w:tr>
      <w:tr w14:paraId="5D00D8B5">
        <w:trPr>
          <w:jc w:val="center"/>
        </w:trPr>
        <w:tc>
          <w:tcPr>
            <w:tcW w:w="1552" w:type="dxa"/>
            <w:vAlign w:val="center"/>
          </w:tcPr>
          <w:p w14:paraId="656FA3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Project type</w:t>
            </w:r>
          </w:p>
        </w:tc>
        <w:tc>
          <w:tcPr>
            <w:tcW w:w="2994" w:type="dxa"/>
            <w:vAlign w:val="center"/>
          </w:tcPr>
          <w:p w14:paraId="1B381F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Type of renewal activity</w:t>
            </w:r>
          </w:p>
        </w:tc>
        <w:tc>
          <w:tcPr>
            <w:tcW w:w="2327" w:type="dxa"/>
            <w:vAlign w:val="center"/>
          </w:tcPr>
          <w:p w14:paraId="614C94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Categorical</w:t>
            </w:r>
          </w:p>
        </w:tc>
        <w:tc>
          <w:tcPr>
            <w:tcW w:w="2429" w:type="dxa"/>
            <w:vAlign w:val="center"/>
          </w:tcPr>
          <w:p w14:paraId="08DC15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Road upgrading; rural housing renovation; guesthouse conversion; public-space renewal; tourism facility insertion; parking reorganisation; material replacement</w:t>
            </w:r>
          </w:p>
        </w:tc>
        <w:tc>
          <w:tcPr>
            <w:tcW w:w="2429" w:type="dxa"/>
            <w:vAlign w:val="center"/>
          </w:tcPr>
          <w:p w14:paraId="09F561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Field records; planning documents; interviews</w:t>
            </w:r>
          </w:p>
        </w:tc>
        <w:tc>
          <w:tcPr>
            <w:tcW w:w="2432" w:type="dxa"/>
            <w:vAlign w:val="center"/>
          </w:tcPr>
          <w:p w14:paraId="07D0D1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Identifies the kind of intervention affecting space genes</w:t>
            </w:r>
          </w:p>
        </w:tc>
      </w:tr>
      <w:tr w14:paraId="5CF9B475">
        <w:trPr>
          <w:jc w:val="center"/>
        </w:trPr>
        <w:tc>
          <w:tcPr>
            <w:tcW w:w="1552" w:type="dxa"/>
            <w:vAlign w:val="center"/>
          </w:tcPr>
          <w:p w14:paraId="76F1B9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Project location</w:t>
            </w:r>
          </w:p>
        </w:tc>
        <w:tc>
          <w:tcPr>
            <w:tcW w:w="2994" w:type="dxa"/>
            <w:vAlign w:val="center"/>
          </w:tcPr>
          <w:p w14:paraId="12CDE2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Location of the project within the village</w:t>
            </w:r>
          </w:p>
        </w:tc>
        <w:tc>
          <w:tcPr>
            <w:tcW w:w="2327" w:type="dxa"/>
            <w:vAlign w:val="center"/>
          </w:tcPr>
          <w:p w14:paraId="3BBB5C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Text / GIS point or polygon</w:t>
            </w:r>
          </w:p>
        </w:tc>
        <w:tc>
          <w:tcPr>
            <w:tcW w:w="2429" w:type="dxa"/>
            <w:vAlign w:val="center"/>
          </w:tcPr>
          <w:p w14:paraId="54418F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Near village entrance; along main street; courtyard cluster; river-valley corridor</w:t>
            </w:r>
          </w:p>
        </w:tc>
        <w:tc>
          <w:tcPr>
            <w:tcW w:w="2429" w:type="dxa"/>
            <w:vAlign w:val="center"/>
          </w:tcPr>
          <w:p w14:paraId="3598F6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Field mapping; GIS data; UAV images</w:t>
            </w:r>
          </w:p>
        </w:tc>
        <w:tc>
          <w:tcPr>
            <w:tcW w:w="2432" w:type="dxa"/>
            <w:vAlign w:val="center"/>
          </w:tcPr>
          <w:p w14:paraId="661AE1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Links the project to spatial units and governance zones</w:t>
            </w:r>
          </w:p>
        </w:tc>
      </w:tr>
      <w:tr w14:paraId="0FEF4FE7">
        <w:trPr>
          <w:jc w:val="center"/>
        </w:trPr>
        <w:tc>
          <w:tcPr>
            <w:tcW w:w="1552" w:type="dxa"/>
            <w:vAlign w:val="center"/>
          </w:tcPr>
          <w:p w14:paraId="4D1489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Governance zone</w:t>
            </w:r>
          </w:p>
        </w:tc>
        <w:tc>
          <w:tcPr>
            <w:tcW w:w="2994" w:type="dxa"/>
            <w:vAlign w:val="center"/>
          </w:tcPr>
          <w:p w14:paraId="227EBA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Zoning category in which the project is located</w:t>
            </w:r>
          </w:p>
        </w:tc>
        <w:tc>
          <w:tcPr>
            <w:tcW w:w="2327" w:type="dxa"/>
            <w:vAlign w:val="center"/>
          </w:tcPr>
          <w:p w14:paraId="242023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Categorical</w:t>
            </w:r>
          </w:p>
        </w:tc>
        <w:tc>
          <w:tcPr>
            <w:tcW w:w="2429" w:type="dxa"/>
            <w:vAlign w:val="center"/>
          </w:tcPr>
          <w:p w14:paraId="332652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Core conservation zone; priority restoration zone; moderate renewal zone; flexible development zone</w:t>
            </w:r>
          </w:p>
        </w:tc>
        <w:tc>
          <w:tcPr>
            <w:tcW w:w="2429" w:type="dxa"/>
            <w:vAlign w:val="center"/>
          </w:tcPr>
          <w:p w14:paraId="06B4C7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Governance zoning map</w:t>
            </w:r>
          </w:p>
        </w:tc>
        <w:tc>
          <w:tcPr>
            <w:tcW w:w="2432" w:type="dxa"/>
            <w:vAlign w:val="center"/>
          </w:tcPr>
          <w:p w14:paraId="7859ED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Determines spatial sensitivity and review requirements</w:t>
            </w:r>
          </w:p>
        </w:tc>
      </w:tr>
      <w:tr w14:paraId="06A8E529">
        <w:trPr>
          <w:jc w:val="center"/>
        </w:trPr>
        <w:tc>
          <w:tcPr>
            <w:tcW w:w="1552" w:type="dxa"/>
            <w:vAlign w:val="center"/>
          </w:tcPr>
          <w:p w14:paraId="0E08BC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Affected space gene</w:t>
            </w:r>
          </w:p>
        </w:tc>
        <w:tc>
          <w:tcPr>
            <w:tcW w:w="2994" w:type="dxa"/>
            <w:vAlign w:val="center"/>
          </w:tcPr>
          <w:p w14:paraId="068FBB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Space gene category affected by the project</w:t>
            </w:r>
          </w:p>
        </w:tc>
        <w:tc>
          <w:tcPr>
            <w:tcW w:w="2327" w:type="dxa"/>
            <w:vAlign w:val="center"/>
          </w:tcPr>
          <w:p w14:paraId="257A26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Categorical</w:t>
            </w:r>
          </w:p>
        </w:tc>
        <w:tc>
          <w:tcPr>
            <w:tcW w:w="2429" w:type="dxa"/>
            <w:vAlign w:val="center"/>
          </w:tcPr>
          <w:p w14:paraId="040824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Spatial-pattern gene; street-and-lane morphology gene; public-node gene; courtyard gene; construction-material gene</w:t>
            </w:r>
          </w:p>
        </w:tc>
        <w:tc>
          <w:tcPr>
            <w:tcW w:w="2429" w:type="dxa"/>
            <w:vAlign w:val="center"/>
          </w:tcPr>
          <w:p w14:paraId="7405B7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Space gene coding table; field verification</w:t>
            </w:r>
          </w:p>
        </w:tc>
        <w:tc>
          <w:tcPr>
            <w:tcW w:w="2432" w:type="dxa"/>
            <w:vAlign w:val="center"/>
          </w:tcPr>
          <w:p w14:paraId="5D3887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Identifies the spatial knowledge object affected by renewal</w:t>
            </w:r>
          </w:p>
        </w:tc>
      </w:tr>
      <w:tr w14:paraId="6C47325F">
        <w:trPr>
          <w:jc w:val="center"/>
        </w:trPr>
        <w:tc>
          <w:tcPr>
            <w:tcW w:w="1552" w:type="dxa"/>
            <w:vAlign w:val="center"/>
          </w:tcPr>
          <w:p w14:paraId="6F2C3A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Governance attribute</w:t>
            </w:r>
          </w:p>
        </w:tc>
        <w:tc>
          <w:tcPr>
            <w:tcW w:w="2994" w:type="dxa"/>
            <w:vAlign w:val="center"/>
          </w:tcPr>
          <w:p w14:paraId="1124E4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Governance object corresponding to the affected space gene</w:t>
            </w:r>
          </w:p>
        </w:tc>
        <w:tc>
          <w:tcPr>
            <w:tcW w:w="2327" w:type="dxa"/>
            <w:vAlign w:val="center"/>
          </w:tcPr>
          <w:p w14:paraId="41A266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Categorical</w:t>
            </w:r>
          </w:p>
        </w:tc>
        <w:tc>
          <w:tcPr>
            <w:tcW w:w="2429" w:type="dxa"/>
            <w:vAlign w:val="center"/>
          </w:tcPr>
          <w:p w14:paraId="42E489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Control boundary; organisational skeleton; public node; architectural unit; material interface</w:t>
            </w:r>
          </w:p>
        </w:tc>
        <w:tc>
          <w:tcPr>
            <w:tcW w:w="2429" w:type="dxa"/>
            <w:vAlign w:val="center"/>
          </w:tcPr>
          <w:p w14:paraId="788FF4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Governance-attribute coding table</w:t>
            </w:r>
          </w:p>
        </w:tc>
        <w:tc>
          <w:tcPr>
            <w:tcW w:w="2432" w:type="dxa"/>
            <w:vAlign w:val="center"/>
          </w:tcPr>
          <w:p w14:paraId="6D0253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Connects space genes with governance action</w:t>
            </w:r>
          </w:p>
        </w:tc>
      </w:tr>
      <w:tr w14:paraId="1EA9951F">
        <w:trPr>
          <w:jc w:val="center"/>
        </w:trPr>
        <w:tc>
          <w:tcPr>
            <w:tcW w:w="1552" w:type="dxa"/>
            <w:vAlign w:val="center"/>
          </w:tcPr>
          <w:p w14:paraId="28F9BB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Disturbance type</w:t>
            </w:r>
          </w:p>
        </w:tc>
        <w:tc>
          <w:tcPr>
            <w:tcW w:w="2994" w:type="dxa"/>
            <w:vAlign w:val="center"/>
          </w:tcPr>
          <w:p w14:paraId="49CE58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Specific form of disturbance caused by the project</w:t>
            </w:r>
          </w:p>
        </w:tc>
        <w:tc>
          <w:tcPr>
            <w:tcW w:w="2327" w:type="dxa"/>
            <w:vAlign w:val="center"/>
          </w:tcPr>
          <w:p w14:paraId="1B2040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Text / categorical</w:t>
            </w:r>
          </w:p>
        </w:tc>
        <w:tc>
          <w:tcPr>
            <w:tcW w:w="2429" w:type="dxa"/>
            <w:vAlign w:val="center"/>
          </w:tcPr>
          <w:p w14:paraId="187770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Road widening; façade replacement; courtyard hardening; commercial insertion; node occupation</w:t>
            </w:r>
          </w:p>
        </w:tc>
        <w:tc>
          <w:tcPr>
            <w:tcW w:w="2429" w:type="dxa"/>
            <w:vAlign w:val="center"/>
          </w:tcPr>
          <w:p w14:paraId="575EA9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Field photographs; interviews; project documents</w:t>
            </w:r>
          </w:p>
        </w:tc>
        <w:tc>
          <w:tcPr>
            <w:tcW w:w="2432" w:type="dxa"/>
            <w:vAlign w:val="center"/>
          </w:tcPr>
          <w:p w14:paraId="289DE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Supports disturbance scoring and risk diagnosis</w:t>
            </w:r>
          </w:p>
        </w:tc>
      </w:tr>
      <w:tr w14:paraId="41087A54">
        <w:trPr>
          <w:jc w:val="center"/>
        </w:trPr>
        <w:tc>
          <w:tcPr>
            <w:tcW w:w="1552" w:type="dxa"/>
            <w:vAlign w:val="center"/>
          </w:tcPr>
          <w:p w14:paraId="76FF8C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Disturbance intensity</w:t>
            </w:r>
          </w:p>
        </w:tc>
        <w:tc>
          <w:tcPr>
            <w:tcW w:w="2994" w:type="dxa"/>
            <w:vAlign w:val="center"/>
          </w:tcPr>
          <w:p w14:paraId="6A550D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Degree of impact on the affected space gene</w:t>
            </w:r>
          </w:p>
        </w:tc>
        <w:tc>
          <w:tcPr>
            <w:tcW w:w="2327" w:type="dxa"/>
            <w:vAlign w:val="center"/>
          </w:tcPr>
          <w:p w14:paraId="2E1EB1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1–5 score</w:t>
            </w:r>
          </w:p>
        </w:tc>
        <w:tc>
          <w:tcPr>
            <w:tcW w:w="2429" w:type="dxa"/>
            <w:vAlign w:val="center"/>
          </w:tcPr>
          <w:p w14:paraId="3C1F32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429" w:type="dxa"/>
            <w:vAlign w:val="center"/>
          </w:tcPr>
          <w:p w14:paraId="22017B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Scoring criteria; field verification</w:t>
            </w:r>
          </w:p>
        </w:tc>
        <w:tc>
          <w:tcPr>
            <w:tcW w:w="2432" w:type="dxa"/>
            <w:vAlign w:val="center"/>
          </w:tcPr>
          <w:p w14:paraId="27871A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Used to assess governance risk</w:t>
            </w:r>
          </w:p>
        </w:tc>
      </w:tr>
      <w:tr w14:paraId="34CD5811">
        <w:trPr>
          <w:jc w:val="center"/>
        </w:trPr>
        <w:tc>
          <w:tcPr>
            <w:tcW w:w="1552" w:type="dxa"/>
            <w:vAlign w:val="center"/>
          </w:tcPr>
          <w:p w14:paraId="3EA0BF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Value–risk state</w:t>
            </w:r>
          </w:p>
        </w:tc>
        <w:tc>
          <w:tcPr>
            <w:tcW w:w="2994" w:type="dxa"/>
            <w:vAlign w:val="center"/>
          </w:tcPr>
          <w:p w14:paraId="4274D0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Governance state identified through value–risk diagnosis</w:t>
            </w:r>
          </w:p>
        </w:tc>
        <w:tc>
          <w:tcPr>
            <w:tcW w:w="2327" w:type="dxa"/>
            <w:vAlign w:val="center"/>
          </w:tcPr>
          <w:p w14:paraId="5D48CF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Categorical</w:t>
            </w:r>
          </w:p>
        </w:tc>
        <w:tc>
          <w:tcPr>
            <w:tcW w:w="2429" w:type="dxa"/>
            <w:vAlign w:val="center"/>
          </w:tcPr>
          <w:p w14:paraId="4851FE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Continuation; repair; adaptation; replacement</w:t>
            </w:r>
          </w:p>
        </w:tc>
        <w:tc>
          <w:tcPr>
            <w:tcW w:w="2429" w:type="dxa"/>
            <w:vAlign w:val="center"/>
          </w:tcPr>
          <w:p w14:paraId="702174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Value–risk matrix</w:t>
            </w:r>
          </w:p>
        </w:tc>
        <w:tc>
          <w:tcPr>
            <w:tcW w:w="2432" w:type="dxa"/>
            <w:vAlign w:val="center"/>
          </w:tcPr>
          <w:p w14:paraId="6B2712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Determines rule orientation</w:t>
            </w:r>
          </w:p>
        </w:tc>
      </w:tr>
      <w:tr w14:paraId="28D01AAC">
        <w:trPr>
          <w:jc w:val="center"/>
        </w:trPr>
        <w:tc>
          <w:tcPr>
            <w:tcW w:w="1552" w:type="dxa"/>
            <w:vAlign w:val="center"/>
          </w:tcPr>
          <w:p w14:paraId="490A9A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Applicable rule</w:t>
            </w:r>
          </w:p>
        </w:tc>
        <w:tc>
          <w:tcPr>
            <w:tcW w:w="2994" w:type="dxa"/>
            <w:vAlign w:val="center"/>
          </w:tcPr>
          <w:p w14:paraId="0562D4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Adaptive renewal rule called by the project</w:t>
            </w:r>
          </w:p>
        </w:tc>
        <w:tc>
          <w:tcPr>
            <w:tcW w:w="2327" w:type="dxa"/>
            <w:vAlign w:val="center"/>
          </w:tcPr>
          <w:p w14:paraId="4FDAF7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Text</w:t>
            </w:r>
          </w:p>
        </w:tc>
        <w:tc>
          <w:tcPr>
            <w:tcW w:w="2429" w:type="dxa"/>
            <w:vAlign w:val="center"/>
          </w:tcPr>
          <w:p w14:paraId="152EF5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Street-lane fabric repair; boundary control; courtyard adaptation; material-interface coordination</w:t>
            </w:r>
          </w:p>
        </w:tc>
        <w:tc>
          <w:tcPr>
            <w:tcW w:w="2429" w:type="dxa"/>
            <w:vAlign w:val="center"/>
          </w:tcPr>
          <w:p w14:paraId="1C3E2D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Adaptive rule set</w:t>
            </w:r>
          </w:p>
        </w:tc>
        <w:tc>
          <w:tcPr>
            <w:tcW w:w="2432" w:type="dxa"/>
            <w:vAlign w:val="center"/>
          </w:tcPr>
          <w:p w14:paraId="597D81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Links project review with rule translation</w:t>
            </w:r>
          </w:p>
        </w:tc>
      </w:tr>
      <w:tr w14:paraId="4D7059B9">
        <w:trPr>
          <w:jc w:val="center"/>
        </w:trPr>
        <w:tc>
          <w:tcPr>
            <w:tcW w:w="1552" w:type="dxa"/>
            <w:vAlign w:val="center"/>
          </w:tcPr>
          <w:p w14:paraId="393E52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Review requirement</w:t>
            </w:r>
          </w:p>
        </w:tc>
        <w:tc>
          <w:tcPr>
            <w:tcW w:w="2994" w:type="dxa"/>
            <w:vAlign w:val="center"/>
          </w:tcPr>
          <w:p w14:paraId="0438D1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Governance requirement for project approval or adjustment</w:t>
            </w:r>
          </w:p>
        </w:tc>
        <w:tc>
          <w:tcPr>
            <w:tcW w:w="2327" w:type="dxa"/>
            <w:vAlign w:val="center"/>
          </w:tcPr>
          <w:p w14:paraId="629751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Categorical</w:t>
            </w:r>
          </w:p>
        </w:tc>
        <w:tc>
          <w:tcPr>
            <w:tcW w:w="2429" w:type="dxa"/>
            <w:vAlign w:val="center"/>
          </w:tcPr>
          <w:p w14:paraId="55DF2A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Prohibited; restricted; conditionally allowed; guided; monitored</w:t>
            </w:r>
          </w:p>
        </w:tc>
        <w:tc>
          <w:tcPr>
            <w:tcW w:w="2429" w:type="dxa"/>
            <w:vAlign w:val="center"/>
          </w:tcPr>
          <w:p w14:paraId="2A35E4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Checklist; planning review</w:t>
            </w:r>
          </w:p>
        </w:tc>
        <w:tc>
          <w:tcPr>
            <w:tcW w:w="2432" w:type="dxa"/>
            <w:vAlign w:val="center"/>
          </w:tcPr>
          <w:p w14:paraId="21B3DA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Supports project evaluation</w:t>
            </w:r>
          </w:p>
        </w:tc>
      </w:tr>
      <w:tr w14:paraId="70F8B319">
        <w:trPr>
          <w:jc w:val="center"/>
        </w:trPr>
        <w:tc>
          <w:tcPr>
            <w:tcW w:w="1552" w:type="dxa"/>
            <w:vAlign w:val="center"/>
          </w:tcPr>
          <w:p w14:paraId="1D3EEA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Review outcome</w:t>
            </w:r>
          </w:p>
        </w:tc>
        <w:tc>
          <w:tcPr>
            <w:tcW w:w="2994" w:type="dxa"/>
            <w:vAlign w:val="center"/>
          </w:tcPr>
          <w:p w14:paraId="73972B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Decision after governance review</w:t>
            </w:r>
          </w:p>
        </w:tc>
        <w:tc>
          <w:tcPr>
            <w:tcW w:w="2327" w:type="dxa"/>
            <w:vAlign w:val="center"/>
          </w:tcPr>
          <w:p w14:paraId="248A76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Categorical</w:t>
            </w:r>
          </w:p>
        </w:tc>
        <w:tc>
          <w:tcPr>
            <w:tcW w:w="2429" w:type="dxa"/>
            <w:vAlign w:val="center"/>
          </w:tcPr>
          <w:p w14:paraId="53A216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Approved; approved after revision; suspended; not recommended</w:t>
            </w:r>
          </w:p>
        </w:tc>
        <w:tc>
          <w:tcPr>
            <w:tcW w:w="2429" w:type="dxa"/>
            <w:vAlign w:val="center"/>
          </w:tcPr>
          <w:p w14:paraId="616F84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Review record</w:t>
            </w:r>
          </w:p>
        </w:tc>
        <w:tc>
          <w:tcPr>
            <w:tcW w:w="2432" w:type="dxa"/>
            <w:vAlign w:val="center"/>
          </w:tcPr>
          <w:p w14:paraId="23B2AF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Records governance decision</w:t>
            </w:r>
          </w:p>
        </w:tc>
      </w:tr>
      <w:tr w14:paraId="58BE10EA">
        <w:trPr>
          <w:jc w:val="center"/>
        </w:trPr>
        <w:tc>
          <w:tcPr>
            <w:tcW w:w="1552" w:type="dxa"/>
            <w:vAlign w:val="center"/>
          </w:tcPr>
          <w:p w14:paraId="128CB3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Follow-up action</w:t>
            </w:r>
          </w:p>
        </w:tc>
        <w:tc>
          <w:tcPr>
            <w:tcW w:w="2994" w:type="dxa"/>
            <w:vAlign w:val="center"/>
          </w:tcPr>
          <w:p w14:paraId="108F0C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Subsequent adjustment, monitoring or feedback measure</w:t>
            </w:r>
          </w:p>
        </w:tc>
        <w:tc>
          <w:tcPr>
            <w:tcW w:w="2327" w:type="dxa"/>
            <w:vAlign w:val="center"/>
          </w:tcPr>
          <w:p w14:paraId="4BCA2D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Text</w:t>
            </w:r>
          </w:p>
        </w:tc>
        <w:tc>
          <w:tcPr>
            <w:tcW w:w="2429" w:type="dxa"/>
            <w:vAlign w:val="center"/>
          </w:tcPr>
          <w:p w14:paraId="1E6B7E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Recheck material interface after construction; monitor traffic disturbance</w:t>
            </w:r>
          </w:p>
        </w:tc>
        <w:tc>
          <w:tcPr>
            <w:tcW w:w="2429" w:type="dxa"/>
            <w:vAlign w:val="center"/>
          </w:tcPr>
          <w:p w14:paraId="037415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Field revisit; project feedback</w:t>
            </w:r>
          </w:p>
        </w:tc>
        <w:tc>
          <w:tcPr>
            <w:tcW w:w="2432" w:type="dxa"/>
            <w:vAlign w:val="center"/>
          </w:tcPr>
          <w:p w14:paraId="4D90D3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Supports dynamic feedback</w:t>
            </w:r>
          </w:p>
        </w:tc>
      </w:tr>
      <w:tr w14:paraId="0A505565">
        <w:trPr>
          <w:jc w:val="center"/>
        </w:trPr>
        <w:tc>
          <w:tcPr>
            <w:tcW w:w="1552" w:type="dxa"/>
            <w:vAlign w:val="center"/>
          </w:tcPr>
          <w:p w14:paraId="24E316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Evidence record</w:t>
            </w:r>
          </w:p>
        </w:tc>
        <w:tc>
          <w:tcPr>
            <w:tcW w:w="2994" w:type="dxa"/>
            <w:vAlign w:val="center"/>
          </w:tcPr>
          <w:p w14:paraId="660CB0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Materials used to support judgement</w:t>
            </w:r>
          </w:p>
        </w:tc>
        <w:tc>
          <w:tcPr>
            <w:tcW w:w="2327" w:type="dxa"/>
            <w:vAlign w:val="center"/>
          </w:tcPr>
          <w:p w14:paraId="79E88E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Text</w:t>
            </w:r>
          </w:p>
        </w:tc>
        <w:tc>
          <w:tcPr>
            <w:tcW w:w="2429" w:type="dxa"/>
            <w:vAlign w:val="center"/>
          </w:tcPr>
          <w:p w14:paraId="1A3BDE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Photo ID, interview code, UAV image, planning document</w:t>
            </w:r>
          </w:p>
        </w:tc>
        <w:tc>
          <w:tcPr>
            <w:tcW w:w="2429" w:type="dxa"/>
            <w:vAlign w:val="center"/>
          </w:tcPr>
          <w:p w14:paraId="3AA2A8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Fieldwork archive</w:t>
            </w:r>
          </w:p>
        </w:tc>
        <w:tc>
          <w:tcPr>
            <w:tcW w:w="2432" w:type="dxa"/>
            <w:vAlign w:val="center"/>
          </w:tcPr>
          <w:p w14:paraId="1805FB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>Improves traceability</w:t>
            </w:r>
          </w:p>
        </w:tc>
      </w:tr>
    </w:tbl>
    <w:p w14:paraId="2A335ABC">
      <w:pPr>
        <w:pStyle w:val="4"/>
        <w:keepNext w:val="0"/>
        <w:keepLines w:val="0"/>
        <w:widowControl/>
        <w:suppressLineNumbers w:val="0"/>
      </w:pPr>
      <w:r>
        <w:rPr>
          <w:rStyle w:val="8"/>
        </w:rPr>
        <w:t>Note:</w:t>
      </w:r>
      <w:r>
        <w:t xml:space="preserve"> The dynamic project database was designed as a monitoring and feedback tool. It records the relationship among renewal projects, affected space genes, disturbance types, governance states, applicable rules and review outcomes. It is not only a project archive, but also a mechanism for identifying cumulative disturbance and revising governance rules..</w:t>
      </w:r>
    </w:p>
    <w:p w14:paraId="7ABA6767">
      <w:pPr>
        <w:keepNext w:val="0"/>
        <w:keepLines w:val="0"/>
        <w:widowControl/>
        <w:suppressLineNumbers w:val="0"/>
      </w:pPr>
    </w:p>
    <w:p w14:paraId="0126703B">
      <w:pPr>
        <w:keepNext w:val="0"/>
        <w:keepLines w:val="0"/>
        <w:widowControl/>
        <w:suppressLineNumbers w:val="0"/>
      </w:pPr>
    </w:p>
    <w:p w14:paraId="760ED980">
      <w:pPr>
        <w:keepNext w:val="0"/>
        <w:keepLines w:val="0"/>
        <w:widowControl/>
        <w:suppressLineNumbers w:val="0"/>
      </w:pPr>
    </w:p>
    <w:p w14:paraId="1EBE982C">
      <w:pPr>
        <w:pStyle w:val="2"/>
        <w:keepNext w:val="0"/>
        <w:keepLines w:val="0"/>
        <w:widowControl/>
        <w:suppressLineNumbers w:val="0"/>
      </w:pPr>
    </w:p>
    <w:p w14:paraId="51637CA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5AAB"/>
    <w:rsid w:val="1E970A92"/>
    <w:rsid w:val="1F7F6591"/>
    <w:rsid w:val="2EFC75F9"/>
    <w:rsid w:val="2FE61FC2"/>
    <w:rsid w:val="347B82E7"/>
    <w:rsid w:val="3FF713CA"/>
    <w:rsid w:val="5DEF2FF8"/>
    <w:rsid w:val="6FF8F4F9"/>
    <w:rsid w:val="76F74D23"/>
    <w:rsid w:val="7BFDC5A2"/>
    <w:rsid w:val="7E0F5E65"/>
    <w:rsid w:val="7FDE4A43"/>
    <w:rsid w:val="B6E4546C"/>
    <w:rsid w:val="DFDBD1F3"/>
    <w:rsid w:val="EDFF5AAB"/>
    <w:rsid w:val="EE7F1024"/>
    <w:rsid w:val="EFFDD3CE"/>
    <w:rsid w:val="F6BFA5A5"/>
    <w:rsid w:val="F6D31474"/>
    <w:rsid w:val="F97509ED"/>
    <w:rsid w:val="FB4BB322"/>
    <w:rsid w:val="FFBA7EC0"/>
    <w:rsid w:val="FF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2026-09-03T03:47:00Z</dcterms:created>
  <dc:creator>刘畅</dc:creator>
  <cp:lastModifiedBy>刘畅</cp:lastModifiedBy>
  <dcterms:modified xsi:type="dcterms:W3CDTF">2026-09-04T12:13:38Z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5C12CFDA15BB111AD84A966ABE89E2A0_41</vt:lpwstr>
  </property>
</Properties>
</file>