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98D13">
      <w:pPr>
        <w:pStyle w:val="3"/>
        <w:keepNext w:val="0"/>
        <w:keepLines w:val="0"/>
        <w:widowControl/>
        <w:suppressLineNumbers w:val="0"/>
      </w:pPr>
      <w:r>
        <w:t>Supplementary Methods S1. Fieldwork procedure, participant types, UAV images and photographic materials</w:t>
      </w:r>
    </w:p>
    <w:p w14:paraId="666D8B9E">
      <w:pPr>
        <w:bidi w:val="0"/>
        <w:rPr>
          <w:rFonts w:ascii="Times New Roman" w:hAnsi="Times New Roman" w:eastAsia="Times New Roman" w:cstheme="majorBidi"/>
          <w:b/>
          <w:bCs/>
          <w:color w:val="2E54A1" w:themeColor="accent1" w:themeShade="BF"/>
          <w:kern w:val="0"/>
          <w:sz w:val="28"/>
          <w:szCs w:val="28"/>
          <w:lang w:val="en-US" w:eastAsia="en-US" w:bidi="ar-SA"/>
        </w:rPr>
      </w:pPr>
      <w:r>
        <w:rPr>
          <w:rFonts w:ascii="Times New Roman" w:hAnsi="Times New Roman" w:eastAsia="Times New Roman" w:cstheme="majorBidi"/>
          <w:b/>
          <w:bCs/>
          <w:color w:val="2E54A1" w:themeColor="accent1" w:themeShade="BF"/>
          <w:kern w:val="0"/>
          <w:sz w:val="28"/>
          <w:szCs w:val="28"/>
          <w:lang w:val="en-US" w:eastAsia="en-US" w:bidi="ar-SA"/>
        </w:rPr>
        <w:t>S1.1 Fieldwork procedure</w:t>
      </w:r>
    </w:p>
    <w:p w14:paraId="724A0E24">
      <w:pPr>
        <w:bidi w:val="0"/>
        <w:ind w:firstLine="420" w:firstLineChars="200"/>
      </w:pPr>
      <w:r>
        <w:t xml:space="preserve">The fieldwork followed a staged procedure combining regional investigation and case-village verification. </w:t>
      </w:r>
    </w:p>
    <w:p w14:paraId="2601EACA">
      <w:pPr>
        <w:bidi w:val="0"/>
        <w:ind w:firstLine="420" w:firstLineChars="200"/>
      </w:pPr>
      <w:r>
        <w:t>First, the research team conducted regional field surveys in the Guanzhong region from 2024 to 2026. More than 100 rural settlements were investigated, and 44 representative villages were selected as the empirical basis for previous space-</w:t>
      </w:r>
      <w:r>
        <w:rPr>
          <w:rFonts w:hint="eastAsia"/>
          <w:lang w:eastAsia="zh-CN"/>
        </w:rPr>
        <w:t>gene</w:t>
      </w:r>
      <w:r>
        <w:t xml:space="preserve"> identification. The selection considered settlement type, geographic setting, regional representativeness and renewal pressure.</w:t>
      </w:r>
    </w:p>
    <w:p w14:paraId="6F5DCF89">
      <w:pPr>
        <w:bidi w:val="0"/>
        <w:ind w:firstLine="420" w:firstLineChars="200"/>
      </w:pPr>
      <w:r>
        <w:t>Second, Shichuangou Village in Lantian County, Shaanxi Province, was selected as the scenario-based validation case. The village was chosen because it retains a recognisable mountain–valley–farmland settlement structure and simultaneously faces renewal pressures related to road upgrading, public-space improvement, rural housing renovation, tourism facility insertion and industrial development.</w:t>
      </w:r>
    </w:p>
    <w:p w14:paraId="29ACD55A">
      <w:pPr>
        <w:bidi w:val="0"/>
        <w:ind w:firstLine="420" w:firstLineChars="200"/>
      </w:pPr>
      <w:r>
        <w:t xml:space="preserve">Third, the case investigation combined field observation, spatial mapping, interviews, photographic recording, UAV imagery, planning documents and project-related materials. These materials were used to verify local spatial meanings, identify renewal pressures and support the value–risk diagnosis of the five categories of space </w:t>
      </w:r>
      <w:r>
        <w:rPr>
          <w:rFonts w:hint="eastAsia"/>
          <w:lang w:eastAsia="zh-CN"/>
        </w:rPr>
        <w:t>gene</w:t>
      </w:r>
      <w:r>
        <w:t>.</w:t>
      </w:r>
    </w:p>
    <w:p w14:paraId="6D0DEE5E">
      <w:pPr>
        <w:bidi w:val="0"/>
        <w:ind w:firstLine="420" w:firstLineChars="200"/>
      </w:pPr>
      <w:r>
        <w:rPr>
          <w:rFonts w:hint="eastAsia"/>
        </w:rPr>
        <w:t>For Shichuangou Village, the case-validation materials included 75 interviews with adult participants, field observation records, UAV images, field photographs, village planning documents and project-related materials. These materials were used to cross-check the spatial carriers of space genes, identify renewal pressures, and support the scoring of stability, identifiability, relationality and disturbance. Interview materials were anonymised before analysis, and photographs containing identifiable persons or private residential spaces were not used in publicly shared materials.</w:t>
      </w:r>
    </w:p>
    <w:p w14:paraId="7B1BF253">
      <w:pPr>
        <w:bidi w:val="0"/>
        <w:rPr>
          <w:rFonts w:ascii="Times New Roman" w:hAnsi="Times New Roman" w:eastAsia="Times New Roman" w:cstheme="majorBidi"/>
          <w:b/>
          <w:bCs/>
          <w:color w:val="2E54A1" w:themeColor="accent1" w:themeShade="BF"/>
          <w:kern w:val="0"/>
          <w:sz w:val="28"/>
          <w:szCs w:val="28"/>
          <w:lang w:val="en-US" w:eastAsia="en-US" w:bidi="ar-SA"/>
        </w:rPr>
      </w:pPr>
      <w:r>
        <w:rPr>
          <w:rFonts w:ascii="Times New Roman" w:hAnsi="Times New Roman" w:eastAsia="Times New Roman" w:cstheme="majorBidi"/>
          <w:b/>
          <w:bCs/>
          <w:color w:val="2E54A1" w:themeColor="accent1" w:themeShade="BF"/>
          <w:kern w:val="0"/>
          <w:sz w:val="28"/>
          <w:szCs w:val="28"/>
          <w:lang w:val="en-US" w:eastAsia="en-US" w:bidi="ar-SA"/>
        </w:rPr>
        <w:t>S1.2 Participant types</w:t>
      </w:r>
    </w:p>
    <w:p w14:paraId="60FE6B81">
      <w:pPr>
        <w:bidi w:val="0"/>
        <w:ind w:firstLine="420" w:firstLineChars="200"/>
      </w:pPr>
      <w:r>
        <w:t>The interview participants included adult villagers, craftspeople, planners, local managers, local government staff, researchers and visitors. All participants were aged 18 years or above. Participants were asked about local spatial characteristics, everyday use of lanes, courtyards and public nodes, perceived changes in village space, renewal pressures and opinions on rural spatial character.</w:t>
      </w:r>
    </w:p>
    <w:p w14:paraId="46E32F97">
      <w:pPr>
        <w:bidi w:val="0"/>
        <w:ind w:firstLine="420" w:firstLineChars="200"/>
      </w:pPr>
      <w:r>
        <w:t>The interview records were not used to identify individuals. Instead, they were used to support the interpretation of identifiability, relationality and disturbance in the value–risk diagnosis. Personal names, contact details, exact household addresses and other identifiable information were removed from the research records used for analysis.</w:t>
      </w:r>
    </w:p>
    <w:p w14:paraId="0BEF8BF8">
      <w:pPr>
        <w:bidi w:val="0"/>
        <w:rPr>
          <w:rFonts w:ascii="Times New Roman" w:hAnsi="Times New Roman" w:eastAsia="Times New Roman" w:cstheme="majorBidi"/>
          <w:b/>
          <w:bCs/>
          <w:color w:val="2E54A1" w:themeColor="accent1" w:themeShade="BF"/>
          <w:kern w:val="0"/>
          <w:sz w:val="28"/>
          <w:szCs w:val="28"/>
          <w:lang w:val="en-US" w:eastAsia="en-US" w:bidi="ar-SA"/>
        </w:rPr>
      </w:pPr>
      <w:r>
        <w:rPr>
          <w:rFonts w:ascii="Times New Roman" w:hAnsi="Times New Roman" w:eastAsia="Times New Roman" w:cstheme="majorBidi"/>
          <w:b/>
          <w:bCs/>
          <w:color w:val="2E54A1" w:themeColor="accent1" w:themeShade="BF"/>
          <w:kern w:val="0"/>
          <w:sz w:val="28"/>
          <w:szCs w:val="28"/>
          <w:lang w:val="en-US" w:eastAsia="en-US" w:bidi="ar-SA"/>
        </w:rPr>
        <w:t>S1.3 UAV and photographic materials</w:t>
      </w:r>
    </w:p>
    <w:p w14:paraId="5E0DFA44">
      <w:pPr>
        <w:bidi w:val="0"/>
        <w:ind w:firstLine="420" w:firstLineChars="200"/>
      </w:pPr>
      <w:r>
        <w:t>UAV images and field photographs were used to support spatial interpretation and evidence triangulation. UAV images helped identify settlement boundaries, river-valley relations, street-and-lane structures, public-node distribution and the relationship between built-up areas and surrounding farmland, forests and water systems. Field photographs were used to document street interfaces, courtyard forms, material interfaces, public nodes, renewal interventions and visible disturbances.</w:t>
      </w:r>
    </w:p>
    <w:p w14:paraId="6F1EBA7C">
      <w:pPr>
        <w:bidi w:val="0"/>
        <w:ind w:firstLine="420" w:firstLineChars="200"/>
      </w:pPr>
      <w:r>
        <w:t>Photographs containing identifiable persons or private residential spaces were not publicly shared. When such photographs were used for internal verification, they were processed through anonymisation or de-identification. Only non-identifiable images and derived analytical diagrams were used in the manuscript or supplementary materials.</w:t>
      </w:r>
    </w:p>
    <w:p w14:paraId="5F9D71F1">
      <w:pPr>
        <w:bidi w:val="0"/>
        <w:rPr>
          <w:rFonts w:ascii="Times New Roman" w:hAnsi="Times New Roman" w:eastAsia="Times New Roman" w:cstheme="majorBidi"/>
          <w:b/>
          <w:bCs/>
          <w:color w:val="2E54A1" w:themeColor="accent1" w:themeShade="BF"/>
          <w:kern w:val="0"/>
          <w:sz w:val="28"/>
          <w:szCs w:val="28"/>
          <w:lang w:val="en-US" w:eastAsia="en-US" w:bidi="ar-SA"/>
        </w:rPr>
      </w:pPr>
      <w:r>
        <w:rPr>
          <w:rFonts w:ascii="Times New Roman" w:hAnsi="Times New Roman" w:eastAsia="Times New Roman" w:cstheme="majorBidi"/>
          <w:b/>
          <w:bCs/>
          <w:color w:val="2E54A1" w:themeColor="accent1" w:themeShade="BF"/>
          <w:kern w:val="0"/>
          <w:sz w:val="28"/>
          <w:szCs w:val="28"/>
          <w:lang w:val="en-US" w:eastAsia="en-US" w:bidi="ar-SA"/>
        </w:rPr>
        <w:t>S1.4 Use of materials in analysis</w:t>
      </w:r>
    </w:p>
    <w:p w14:paraId="2D604019">
      <w:pPr>
        <w:bidi w:val="0"/>
        <w:ind w:firstLine="420" w:firstLineChars="200"/>
      </w:pPr>
      <w:r>
        <w:t xml:space="preserve">The fieldwork materials were used in four analytical steps: identifying and verifying the spatial carriers of space </w:t>
      </w:r>
      <w:r>
        <w:rPr>
          <w:rFonts w:hint="eastAsia"/>
          <w:lang w:eastAsia="zh-CN"/>
        </w:rPr>
        <w:t>gene</w:t>
      </w:r>
      <w:r>
        <w:t>s; supporting governance-attribute coding; providing evidence for stability, identifiability, relationality and disturbance scoring; and validating whether adaptive renewal rules could be applied to specific governance scenarios. Multiple sources were cross-checked to reduce reliance on single observations or subjective judgement.</w:t>
      </w:r>
      <w:bookmarkStart w:id="0" w:name="_GoBack"/>
      <w:bookmarkEnd w:id="0"/>
    </w:p>
    <w:p w14:paraId="57413A06">
      <w:pPr>
        <w:keepNext w:val="0"/>
        <w:keepLines w:val="0"/>
        <w:widowControl/>
        <w:suppressLineNumbers w:val="0"/>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Calibri Light">
    <w:altName w:val="Helvetica Neue"/>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77393"/>
    <w:rsid w:val="7FEFC4FE"/>
    <w:rsid w:val="EDF77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2026-09-02T21:40:00Z</dcterms:created>
  <dc:creator>刘畅</dc:creator>
  <cp:lastModifiedBy>刘畅</cp:lastModifiedBy>
  <dcterms:modified xsi:type="dcterms:W3CDTF">2026-09-04T12:10:06Z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7E24E03B04DB975DE9B6976AE406FB82_41</vt:lpwstr>
  </property>
</Properties>
</file>