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6CD49">
      <w:pPr>
        <w:pStyle w:val="2"/>
        <w:keepNext w:val="0"/>
        <w:keepLines w:val="0"/>
        <w:widowControl/>
        <w:suppressLineNumbers w:val="0"/>
        <w:jc w:val="center"/>
        <w:rPr>
          <w:sz w:val="36"/>
          <w:szCs w:val="36"/>
        </w:rPr>
      </w:pPr>
      <w:r>
        <w:rPr>
          <w:sz w:val="36"/>
          <w:szCs w:val="36"/>
        </w:rPr>
        <w:t>Supplementary Table S1. Data inventory and data sources</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293"/>
        <w:gridCol w:w="1615"/>
        <w:gridCol w:w="1277"/>
        <w:gridCol w:w="1915"/>
        <w:gridCol w:w="1493"/>
        <w:gridCol w:w="1637"/>
        <w:gridCol w:w="2779"/>
        <w:gridCol w:w="1441"/>
      </w:tblGrid>
      <w:tr w14:paraId="5DF7E624">
        <w:tc>
          <w:tcPr>
            <w:tcW w:w="724" w:type="dxa"/>
            <w:shd w:val="clear" w:color="auto" w:fill="DBE3F4" w:themeFill="accent1" w:themeFillTint="32"/>
            <w:vAlign w:val="center"/>
          </w:tcPr>
          <w:p w14:paraId="285DF91C">
            <w:pPr>
              <w:keepNext w:val="0"/>
              <w:keepLines w:val="0"/>
              <w:widowControl/>
              <w:suppressLineNumbers w:val="0"/>
              <w:spacing w:line="240" w:lineRule="auto"/>
              <w:jc w:val="center"/>
              <w:rPr>
                <w:vertAlign w:val="baseline"/>
              </w:rPr>
            </w:pPr>
            <w:r>
              <w:rPr>
                <w:rFonts w:hint="default" w:ascii="Times New Roman Regular" w:hAnsi="Times New Roman Regular" w:eastAsia="宋体" w:cs="Times New Roman Regular"/>
                <w:b/>
                <w:bCs/>
                <w:color w:val="000000"/>
                <w:kern w:val="0"/>
                <w:sz w:val="21"/>
                <w:szCs w:val="21"/>
                <w:lang w:val="en-US" w:eastAsia="zh-CN" w:bidi="ar"/>
              </w:rPr>
              <w:t>Data ID</w:t>
            </w:r>
          </w:p>
        </w:tc>
        <w:tc>
          <w:tcPr>
            <w:tcW w:w="1293" w:type="dxa"/>
            <w:shd w:val="clear" w:color="auto" w:fill="DBE3F4" w:themeFill="accent1" w:themeFillTint="32"/>
            <w:vAlign w:val="center"/>
          </w:tcPr>
          <w:p w14:paraId="4327790C">
            <w:pPr>
              <w:keepNext w:val="0"/>
              <w:keepLines w:val="0"/>
              <w:widowControl/>
              <w:suppressLineNumbers w:val="0"/>
              <w:spacing w:line="240" w:lineRule="auto"/>
              <w:jc w:val="center"/>
              <w:rPr>
                <w:vertAlign w:val="baseline"/>
              </w:rPr>
            </w:pPr>
            <w:r>
              <w:rPr>
                <w:rFonts w:hint="default" w:ascii="Times New Roman Regular" w:hAnsi="Times New Roman Regular" w:eastAsia="宋体" w:cs="Times New Roman Regular"/>
                <w:b/>
                <w:bCs/>
                <w:color w:val="000000"/>
                <w:kern w:val="0"/>
                <w:sz w:val="21"/>
                <w:szCs w:val="21"/>
                <w:lang w:val="en-US" w:eastAsia="zh-CN" w:bidi="ar"/>
              </w:rPr>
              <w:t>Data category</w:t>
            </w:r>
          </w:p>
        </w:tc>
        <w:tc>
          <w:tcPr>
            <w:tcW w:w="1615" w:type="dxa"/>
            <w:shd w:val="clear" w:color="auto" w:fill="DBE3F4" w:themeFill="accent1" w:themeFillTint="32"/>
            <w:vAlign w:val="center"/>
          </w:tcPr>
          <w:p w14:paraId="64A85EC3">
            <w:pPr>
              <w:keepNext w:val="0"/>
              <w:keepLines w:val="0"/>
              <w:widowControl/>
              <w:suppressLineNumbers w:val="0"/>
              <w:spacing w:line="240" w:lineRule="auto"/>
              <w:jc w:val="center"/>
              <w:rPr>
                <w:vertAlign w:val="baseline"/>
              </w:rPr>
            </w:pPr>
            <w:r>
              <w:rPr>
                <w:rFonts w:hint="default" w:ascii="Times New Roman Regular" w:hAnsi="Times New Roman Regular" w:eastAsia="宋体" w:cs="Times New Roman Regular"/>
                <w:b/>
                <w:bCs/>
                <w:color w:val="000000"/>
                <w:kern w:val="0"/>
                <w:sz w:val="21"/>
                <w:szCs w:val="21"/>
                <w:lang w:val="en-US" w:eastAsia="zh-CN" w:bidi="ar"/>
              </w:rPr>
              <w:t>Data source</w:t>
            </w:r>
          </w:p>
        </w:tc>
        <w:tc>
          <w:tcPr>
            <w:tcW w:w="1277" w:type="dxa"/>
            <w:shd w:val="clear" w:color="auto" w:fill="DBE3F4" w:themeFill="accent1" w:themeFillTint="32"/>
            <w:vAlign w:val="center"/>
          </w:tcPr>
          <w:p w14:paraId="0A528614">
            <w:pPr>
              <w:keepNext w:val="0"/>
              <w:keepLines w:val="0"/>
              <w:widowControl/>
              <w:suppressLineNumbers w:val="0"/>
              <w:spacing w:line="240" w:lineRule="auto"/>
              <w:jc w:val="center"/>
              <w:rPr>
                <w:vertAlign w:val="baseline"/>
              </w:rPr>
            </w:pPr>
            <w:r>
              <w:rPr>
                <w:rFonts w:hint="default" w:ascii="Times New Roman Regular" w:hAnsi="Times New Roman Regular" w:eastAsia="宋体" w:cs="Times New Roman Regular"/>
                <w:b/>
                <w:bCs/>
                <w:color w:val="000000"/>
                <w:kern w:val="0"/>
                <w:sz w:val="21"/>
                <w:szCs w:val="21"/>
                <w:lang w:val="en-US" w:eastAsia="zh-CN" w:bidi="ar"/>
              </w:rPr>
              <w:t>Spatial / empirical coverage</w:t>
            </w:r>
          </w:p>
        </w:tc>
        <w:tc>
          <w:tcPr>
            <w:tcW w:w="1915" w:type="dxa"/>
            <w:shd w:val="clear" w:color="auto" w:fill="DBE3F4" w:themeFill="accent1" w:themeFillTint="32"/>
            <w:vAlign w:val="center"/>
          </w:tcPr>
          <w:p w14:paraId="7EB063EA">
            <w:pPr>
              <w:keepNext w:val="0"/>
              <w:keepLines w:val="0"/>
              <w:widowControl/>
              <w:suppressLineNumbers w:val="0"/>
              <w:spacing w:line="240" w:lineRule="auto"/>
              <w:jc w:val="center"/>
              <w:rPr>
                <w:vertAlign w:val="baseline"/>
              </w:rPr>
            </w:pPr>
            <w:r>
              <w:rPr>
                <w:rFonts w:hint="default" w:ascii="Times New Roman Regular" w:hAnsi="Times New Roman Regular" w:eastAsia="宋体" w:cs="Times New Roman Regular"/>
                <w:b/>
                <w:bCs/>
                <w:color w:val="000000"/>
                <w:kern w:val="0"/>
                <w:sz w:val="21"/>
                <w:szCs w:val="21"/>
                <w:lang w:val="en-US" w:eastAsia="zh-CN" w:bidi="ar"/>
              </w:rPr>
              <w:t>Time period</w:t>
            </w:r>
          </w:p>
        </w:tc>
        <w:tc>
          <w:tcPr>
            <w:tcW w:w="1493" w:type="dxa"/>
            <w:shd w:val="clear" w:color="auto" w:fill="DBE3F4" w:themeFill="accent1" w:themeFillTint="32"/>
            <w:vAlign w:val="center"/>
          </w:tcPr>
          <w:p w14:paraId="385845D1">
            <w:pPr>
              <w:keepNext w:val="0"/>
              <w:keepLines w:val="0"/>
              <w:widowControl/>
              <w:suppressLineNumbers w:val="0"/>
              <w:spacing w:line="240" w:lineRule="auto"/>
              <w:jc w:val="center"/>
              <w:rPr>
                <w:vertAlign w:val="baseline"/>
              </w:rPr>
            </w:pPr>
            <w:r>
              <w:rPr>
                <w:rFonts w:hint="default" w:ascii="Times New Roman Regular" w:hAnsi="Times New Roman Regular" w:eastAsia="宋体" w:cs="Times New Roman Regular"/>
                <w:b/>
                <w:bCs/>
                <w:color w:val="000000"/>
                <w:kern w:val="0"/>
                <w:sz w:val="21"/>
                <w:szCs w:val="21"/>
                <w:lang w:val="en-US" w:eastAsia="zh-CN" w:bidi="ar"/>
              </w:rPr>
              <w:t>Original data format</w:t>
            </w:r>
          </w:p>
        </w:tc>
        <w:tc>
          <w:tcPr>
            <w:tcW w:w="1637" w:type="dxa"/>
            <w:shd w:val="clear" w:color="auto" w:fill="DBE3F4" w:themeFill="accent1" w:themeFillTint="32"/>
            <w:vAlign w:val="center"/>
          </w:tcPr>
          <w:p w14:paraId="5964390E">
            <w:pPr>
              <w:keepNext w:val="0"/>
              <w:keepLines w:val="0"/>
              <w:widowControl/>
              <w:suppressLineNumbers w:val="0"/>
              <w:spacing w:line="240" w:lineRule="auto"/>
              <w:jc w:val="center"/>
              <w:rPr>
                <w:vertAlign w:val="baseline"/>
              </w:rPr>
            </w:pPr>
            <w:r>
              <w:rPr>
                <w:rFonts w:hint="default" w:ascii="Times New Roman Regular" w:hAnsi="Times New Roman Regular" w:eastAsia="宋体" w:cs="Times New Roman Regular"/>
                <w:b/>
                <w:bCs/>
                <w:color w:val="000000"/>
                <w:kern w:val="0"/>
                <w:sz w:val="21"/>
                <w:szCs w:val="21"/>
                <w:lang w:val="en-US" w:eastAsia="zh-CN" w:bidi="ar"/>
              </w:rPr>
              <w:t>Processed / derived data</w:t>
            </w:r>
          </w:p>
        </w:tc>
        <w:tc>
          <w:tcPr>
            <w:tcW w:w="2779" w:type="dxa"/>
            <w:shd w:val="clear" w:color="auto" w:fill="DBE3F4" w:themeFill="accent1" w:themeFillTint="32"/>
            <w:vAlign w:val="center"/>
          </w:tcPr>
          <w:p w14:paraId="37534F68">
            <w:pPr>
              <w:keepNext w:val="0"/>
              <w:keepLines w:val="0"/>
              <w:widowControl/>
              <w:suppressLineNumbers w:val="0"/>
              <w:spacing w:line="240" w:lineRule="auto"/>
              <w:jc w:val="center"/>
              <w:rPr>
                <w:vertAlign w:val="baseline"/>
              </w:rPr>
            </w:pPr>
            <w:r>
              <w:rPr>
                <w:rFonts w:hint="default" w:ascii="Times New Roman Regular" w:hAnsi="Times New Roman Regular" w:eastAsia="宋体" w:cs="Times New Roman Regular"/>
                <w:b/>
                <w:bCs/>
                <w:color w:val="000000"/>
                <w:kern w:val="0"/>
                <w:sz w:val="21"/>
                <w:szCs w:val="21"/>
                <w:lang w:val="en-US" w:eastAsia="zh-CN" w:bidi="ar"/>
              </w:rPr>
              <w:t>Use in this study</w:t>
            </w:r>
          </w:p>
        </w:tc>
        <w:tc>
          <w:tcPr>
            <w:tcW w:w="1441" w:type="dxa"/>
            <w:shd w:val="clear" w:color="auto" w:fill="DBE3F4" w:themeFill="accent1" w:themeFillTint="32"/>
            <w:vAlign w:val="center"/>
          </w:tcPr>
          <w:p w14:paraId="25F2AEEC">
            <w:pPr>
              <w:keepNext w:val="0"/>
              <w:keepLines w:val="0"/>
              <w:widowControl/>
              <w:suppressLineNumbers w:val="0"/>
              <w:spacing w:line="240" w:lineRule="auto"/>
              <w:jc w:val="center"/>
              <w:rPr>
                <w:vertAlign w:val="baseline"/>
              </w:rPr>
            </w:pPr>
            <w:r>
              <w:rPr>
                <w:rFonts w:hint="default" w:ascii="Times New Roman Regular" w:hAnsi="Times New Roman Regular" w:eastAsia="宋体" w:cs="Times New Roman Regular"/>
                <w:b/>
                <w:bCs/>
                <w:color w:val="000000"/>
                <w:kern w:val="0"/>
                <w:sz w:val="21"/>
                <w:szCs w:val="21"/>
                <w:lang w:val="en-US" w:eastAsia="zh-CN" w:bidi="ar"/>
              </w:rPr>
              <w:t>Availability status</w:t>
            </w:r>
          </w:p>
        </w:tc>
      </w:tr>
      <w:tr w14:paraId="0DDA0AB1">
        <w:tc>
          <w:tcPr>
            <w:tcW w:w="724" w:type="dxa"/>
            <w:vAlign w:val="center"/>
          </w:tcPr>
          <w:p w14:paraId="07C0BBAD">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D1</w:t>
            </w:r>
          </w:p>
        </w:tc>
        <w:tc>
          <w:tcPr>
            <w:tcW w:w="1293" w:type="dxa"/>
            <w:vAlign w:val="center"/>
          </w:tcPr>
          <w:p w14:paraId="627EC635">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Regional space-gene identification results</w:t>
            </w:r>
          </w:p>
        </w:tc>
        <w:tc>
          <w:tcPr>
            <w:tcW w:w="1615" w:type="dxa"/>
            <w:vAlign w:val="center"/>
          </w:tcPr>
          <w:p w14:paraId="1B378E62">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Previous doctoral research and published article on rural space-gene extraction in the Guanzhong region</w:t>
            </w:r>
          </w:p>
        </w:tc>
        <w:tc>
          <w:tcPr>
            <w:tcW w:w="1277" w:type="dxa"/>
            <w:vAlign w:val="center"/>
          </w:tcPr>
          <w:p w14:paraId="33F86CF0">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More than 100 surveyed rural settlements; 44 representative villages selected for previous space-gene identification</w:t>
            </w:r>
          </w:p>
        </w:tc>
        <w:tc>
          <w:tcPr>
            <w:tcW w:w="1915" w:type="dxa"/>
            <w:vAlign w:val="center"/>
          </w:tcPr>
          <w:p w14:paraId="321D1314">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Previous research stage; related fieldwork and data collection conducted before the present governance-translation study</w:t>
            </w:r>
          </w:p>
        </w:tc>
        <w:tc>
          <w:tcPr>
            <w:tcW w:w="1493" w:type="dxa"/>
            <w:vAlign w:val="center"/>
          </w:tcPr>
          <w:p w14:paraId="06590432">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Field notes, spatial maps, photographs, interview records, questionnaire materials, settlement diagrams and analytical tables</w:t>
            </w:r>
          </w:p>
        </w:tc>
        <w:tc>
          <w:tcPr>
            <w:tcW w:w="1637" w:type="dxa"/>
            <w:vAlign w:val="center"/>
          </w:tcPr>
          <w:p w14:paraId="428F0331">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Five categories of rural space genes and related feature factors</w:t>
            </w:r>
          </w:p>
        </w:tc>
        <w:tc>
          <w:tcPr>
            <w:tcW w:w="2779" w:type="dxa"/>
            <w:vAlign w:val="center"/>
          </w:tcPr>
          <w:p w14:paraId="64910D8B">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Used as the baseline secondary analytical input for governance translation. The present article does not re-extract space genes but translates previously identified space genes into governance attributes and rules.</w:t>
            </w:r>
          </w:p>
        </w:tc>
        <w:tc>
          <w:tcPr>
            <w:tcW w:w="1441" w:type="dxa"/>
            <w:vAlign w:val="center"/>
          </w:tcPr>
          <w:p w14:paraId="75CE06AD">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Published article available through DOI; unpublished doctoral dissertation provided as confidential supporting material for editorial and peer-review assessment only</w:t>
            </w:r>
          </w:p>
        </w:tc>
      </w:tr>
      <w:tr w14:paraId="0FAA5BA0">
        <w:tc>
          <w:tcPr>
            <w:tcW w:w="724" w:type="dxa"/>
            <w:vAlign w:val="center"/>
          </w:tcPr>
          <w:p w14:paraId="303B7021">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D2</w:t>
            </w:r>
          </w:p>
        </w:tc>
        <w:tc>
          <w:tcPr>
            <w:tcW w:w="1293" w:type="dxa"/>
            <w:vAlign w:val="center"/>
          </w:tcPr>
          <w:p w14:paraId="25DBBA5C">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Field survey records for Shichuangou Village</w:t>
            </w:r>
          </w:p>
        </w:tc>
        <w:tc>
          <w:tcPr>
            <w:tcW w:w="1615" w:type="dxa"/>
            <w:vAlign w:val="center"/>
          </w:tcPr>
          <w:p w14:paraId="025B02C2">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On-site field investigation conducted by the research team</w:t>
            </w:r>
          </w:p>
        </w:tc>
        <w:tc>
          <w:tcPr>
            <w:tcW w:w="1277" w:type="dxa"/>
            <w:vAlign w:val="center"/>
          </w:tcPr>
          <w:p w14:paraId="393187B9">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Shichuangou Village, Lantian County, Shaanxi Province</w:t>
            </w:r>
          </w:p>
        </w:tc>
        <w:tc>
          <w:tcPr>
            <w:tcW w:w="1915" w:type="dxa"/>
            <w:vAlign w:val="center"/>
          </w:tcPr>
          <w:p w14:paraId="1FE2C478">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2024–2026</w:t>
            </w:r>
          </w:p>
        </w:tc>
        <w:tc>
          <w:tcPr>
            <w:tcW w:w="1493" w:type="dxa"/>
            <w:vAlign w:val="center"/>
          </w:tcPr>
          <w:p w14:paraId="6EB6EE6D">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Field notes, observation records, sketch maps and site survey records</w:t>
            </w:r>
          </w:p>
        </w:tc>
        <w:tc>
          <w:tcPr>
            <w:tcW w:w="1637" w:type="dxa"/>
            <w:vAlign w:val="center"/>
          </w:tcPr>
          <w:p w14:paraId="44149466">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Description of renewal pressures, spatial carriers of space genes and scenario-validation evidence</w:t>
            </w:r>
          </w:p>
        </w:tc>
        <w:tc>
          <w:tcPr>
            <w:tcW w:w="2779" w:type="dxa"/>
            <w:vAlign w:val="center"/>
          </w:tcPr>
          <w:p w14:paraId="3FC4F81A">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Used to identify current renewal pressures, verify spatial meanings and support governance-attribute coding and scenario validation</w:t>
            </w:r>
          </w:p>
        </w:tc>
        <w:tc>
          <w:tcPr>
            <w:tcW w:w="1441" w:type="dxa"/>
            <w:vAlign w:val="center"/>
          </w:tcPr>
          <w:p w14:paraId="742431ED">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 xml:space="preserve">Redacted and summarised fieldwork records </w:t>
            </w:r>
            <w:r>
              <w:rPr>
                <w:rFonts w:hint="eastAsia" w:ascii="Times New Roman Regular" w:hAnsi="Times New Roman Regular" w:cs="Times New Roman Regular"/>
                <w:color w:val="000000"/>
                <w:kern w:val="0"/>
                <w:sz w:val="21"/>
                <w:szCs w:val="21"/>
                <w:lang w:val="en-US" w:eastAsia="zh-CN" w:bidi="ar"/>
              </w:rPr>
              <w:t xml:space="preserve">are summarised </w:t>
            </w:r>
            <w:r>
              <w:rPr>
                <w:rFonts w:hint="default" w:ascii="Times New Roman Regular" w:hAnsi="Times New Roman Regular" w:eastAsia="宋体" w:cs="Times New Roman Regular"/>
                <w:color w:val="000000"/>
                <w:kern w:val="0"/>
                <w:sz w:val="21"/>
                <w:szCs w:val="21"/>
                <w:lang w:val="en-US" w:eastAsia="zh-CN" w:bidi="ar"/>
              </w:rPr>
              <w:t xml:space="preserve"> in the Supplementary Information; identifiable or locally sensitive details are restricted</w:t>
            </w:r>
          </w:p>
        </w:tc>
      </w:tr>
      <w:tr w14:paraId="2E09CB67">
        <w:tc>
          <w:tcPr>
            <w:tcW w:w="724" w:type="dxa"/>
            <w:vAlign w:val="center"/>
          </w:tcPr>
          <w:p w14:paraId="7348E405">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D3</w:t>
            </w:r>
          </w:p>
        </w:tc>
        <w:tc>
          <w:tcPr>
            <w:tcW w:w="1293" w:type="dxa"/>
            <w:vAlign w:val="center"/>
          </w:tcPr>
          <w:p w14:paraId="53039BC9">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Interview materials</w:t>
            </w:r>
          </w:p>
        </w:tc>
        <w:tc>
          <w:tcPr>
            <w:tcW w:w="1615" w:type="dxa"/>
            <w:vAlign w:val="center"/>
          </w:tcPr>
          <w:p w14:paraId="31CC0E15">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Interviews with villagers, craftspeople, planners and local managers</w:t>
            </w:r>
          </w:p>
        </w:tc>
        <w:tc>
          <w:tcPr>
            <w:tcW w:w="1277" w:type="dxa"/>
            <w:vAlign w:val="center"/>
          </w:tcPr>
          <w:p w14:paraId="720E62B2">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Shichuangou Village; 75 interviews</w:t>
            </w:r>
          </w:p>
        </w:tc>
        <w:tc>
          <w:tcPr>
            <w:tcW w:w="1915" w:type="dxa"/>
            <w:vAlign w:val="center"/>
          </w:tcPr>
          <w:p w14:paraId="77420AD2">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2024–2026</w:t>
            </w:r>
          </w:p>
        </w:tc>
        <w:tc>
          <w:tcPr>
            <w:tcW w:w="1493" w:type="dxa"/>
            <w:vAlign w:val="center"/>
          </w:tcPr>
          <w:p w14:paraId="236A98C7">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Interview notes, interview summaries and, where available, audio-based records</w:t>
            </w:r>
          </w:p>
        </w:tc>
        <w:tc>
          <w:tcPr>
            <w:tcW w:w="1637" w:type="dxa"/>
            <w:vAlign w:val="center"/>
          </w:tcPr>
          <w:p w14:paraId="71332A60">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Anonymised interview codes, thematic summaries and evidence notes</w:t>
            </w:r>
          </w:p>
        </w:tc>
        <w:tc>
          <w:tcPr>
            <w:tcW w:w="2779" w:type="dxa"/>
            <w:vAlign w:val="center"/>
          </w:tcPr>
          <w:p w14:paraId="1C21490C">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Used to verify local spatial meanings, perceived renewal pressures, everyday use of public nodes, lanes, courtyards and material interfaces, and to support the interpretation of identifiability, relationality and disturbance</w:t>
            </w:r>
          </w:p>
        </w:tc>
        <w:tc>
          <w:tcPr>
            <w:tcW w:w="1441" w:type="dxa"/>
            <w:vAlign w:val="center"/>
          </w:tcPr>
          <w:p w14:paraId="4F42A369">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 xml:space="preserve">Anonymised coding summaries </w:t>
            </w:r>
            <w:r>
              <w:rPr>
                <w:rFonts w:hint="eastAsia" w:ascii="Times New Roman Regular" w:hAnsi="Times New Roman Regular" w:cs="Times New Roman Regular"/>
                <w:color w:val="000000"/>
                <w:kern w:val="0"/>
                <w:sz w:val="21"/>
                <w:szCs w:val="21"/>
                <w:lang w:val="en-US" w:eastAsia="zh-CN" w:bidi="ar"/>
              </w:rPr>
              <w:t>are summarised in the Supplementary Information</w:t>
            </w:r>
            <w:r>
              <w:rPr>
                <w:rFonts w:hint="default" w:ascii="Times New Roman Regular" w:hAnsi="Times New Roman Regular" w:eastAsia="宋体" w:cs="Times New Roman Regular"/>
                <w:color w:val="000000"/>
                <w:kern w:val="0"/>
                <w:sz w:val="21"/>
                <w:szCs w:val="21"/>
                <w:lang w:val="en-US" w:eastAsia="zh-CN" w:bidi="ar"/>
              </w:rPr>
              <w:t>; original recordings and full transcripts are restricted because they may contain identifiable personal information</w:t>
            </w:r>
          </w:p>
        </w:tc>
      </w:tr>
      <w:tr w14:paraId="1530F3E3">
        <w:tc>
          <w:tcPr>
            <w:tcW w:w="724" w:type="dxa"/>
            <w:vAlign w:val="center"/>
          </w:tcPr>
          <w:p w14:paraId="1AD94F27">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D4</w:t>
            </w:r>
          </w:p>
        </w:tc>
        <w:tc>
          <w:tcPr>
            <w:tcW w:w="1293" w:type="dxa"/>
            <w:vAlign w:val="center"/>
          </w:tcPr>
          <w:p w14:paraId="0C512C45">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Questionnaire and interview instruments</w:t>
            </w:r>
          </w:p>
        </w:tc>
        <w:tc>
          <w:tcPr>
            <w:tcW w:w="1615" w:type="dxa"/>
            <w:vAlign w:val="center"/>
          </w:tcPr>
          <w:p w14:paraId="2F40409A">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Research team survey instruments developed for rural-characteristic and space-gene identification research</w:t>
            </w:r>
          </w:p>
        </w:tc>
        <w:tc>
          <w:tcPr>
            <w:tcW w:w="1277" w:type="dxa"/>
            <w:vAlign w:val="center"/>
          </w:tcPr>
          <w:p w14:paraId="62E3602A">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Guanzhong rural settlements and case-village validation</w:t>
            </w:r>
          </w:p>
        </w:tc>
        <w:tc>
          <w:tcPr>
            <w:tcW w:w="1915" w:type="dxa"/>
            <w:vAlign w:val="center"/>
          </w:tcPr>
          <w:p w14:paraId="4F05A1F8">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Previous and present research stages</w:t>
            </w:r>
          </w:p>
        </w:tc>
        <w:tc>
          <w:tcPr>
            <w:tcW w:w="1493" w:type="dxa"/>
            <w:vAlign w:val="center"/>
          </w:tcPr>
          <w:p w14:paraId="192B5630">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Open-ended interview guide and formal questionnaire</w:t>
            </w:r>
          </w:p>
        </w:tc>
        <w:tc>
          <w:tcPr>
            <w:tcW w:w="1637" w:type="dxa"/>
            <w:vAlign w:val="center"/>
          </w:tcPr>
          <w:p w14:paraId="234FE76F">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Survey documentation and item list</w:t>
            </w:r>
          </w:p>
        </w:tc>
        <w:tc>
          <w:tcPr>
            <w:tcW w:w="2779" w:type="dxa"/>
            <w:vAlign w:val="center"/>
          </w:tcPr>
          <w:p w14:paraId="7CF9BA63">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Used to document the research instruments supporting spatial perception, rural-characteristic evaluation and space-gene interpretation</w:t>
            </w:r>
          </w:p>
        </w:tc>
        <w:tc>
          <w:tcPr>
            <w:tcW w:w="1441" w:type="dxa"/>
            <w:vAlign w:val="center"/>
          </w:tcPr>
          <w:p w14:paraId="25C194B2">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Provided as Supplementary Methods S2</w:t>
            </w:r>
          </w:p>
        </w:tc>
      </w:tr>
      <w:tr w14:paraId="72E6B054">
        <w:tc>
          <w:tcPr>
            <w:tcW w:w="724" w:type="dxa"/>
            <w:vAlign w:val="center"/>
          </w:tcPr>
          <w:p w14:paraId="1DBE102F">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D5</w:t>
            </w:r>
          </w:p>
        </w:tc>
        <w:tc>
          <w:tcPr>
            <w:tcW w:w="1293" w:type="dxa"/>
            <w:vAlign w:val="center"/>
          </w:tcPr>
          <w:p w14:paraId="5611739C">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UAV images</w:t>
            </w:r>
          </w:p>
        </w:tc>
        <w:tc>
          <w:tcPr>
            <w:tcW w:w="1615" w:type="dxa"/>
            <w:vAlign w:val="center"/>
          </w:tcPr>
          <w:p w14:paraId="751F847F">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UAV field photography conducted during village investigation</w:t>
            </w:r>
          </w:p>
        </w:tc>
        <w:tc>
          <w:tcPr>
            <w:tcW w:w="1277" w:type="dxa"/>
            <w:vAlign w:val="center"/>
          </w:tcPr>
          <w:p w14:paraId="57622DE2">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Shichuangou Village and selected spatial units</w:t>
            </w:r>
          </w:p>
        </w:tc>
        <w:tc>
          <w:tcPr>
            <w:tcW w:w="1915" w:type="dxa"/>
            <w:vAlign w:val="center"/>
          </w:tcPr>
          <w:p w14:paraId="06D9EF58">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2024–2026</w:t>
            </w:r>
          </w:p>
        </w:tc>
        <w:tc>
          <w:tcPr>
            <w:tcW w:w="1493" w:type="dxa"/>
            <w:vAlign w:val="center"/>
          </w:tcPr>
          <w:p w14:paraId="0958C395">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High-resolution aerial images</w:t>
            </w:r>
          </w:p>
        </w:tc>
        <w:tc>
          <w:tcPr>
            <w:tcW w:w="1637" w:type="dxa"/>
            <w:vAlign w:val="center"/>
          </w:tcPr>
          <w:p w14:paraId="6E4B0DA0">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Settlement boundary interpretation, spatial-pattern diagrams, street-and-lane structure interpretation and derived analytical maps</w:t>
            </w:r>
          </w:p>
        </w:tc>
        <w:tc>
          <w:tcPr>
            <w:tcW w:w="2779" w:type="dxa"/>
            <w:vAlign w:val="center"/>
          </w:tcPr>
          <w:p w14:paraId="7AE82827">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Used to verify mountain–village–farmland–water relations, settlement edges, street-lane structure, public-node distribution and renewal disturbance</w:t>
            </w:r>
          </w:p>
        </w:tc>
        <w:tc>
          <w:tcPr>
            <w:tcW w:w="1441" w:type="dxa"/>
            <w:vAlign w:val="center"/>
          </w:tcPr>
          <w:p w14:paraId="161206AB">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 xml:space="preserve">Derived and non-identifiable spatial outputs </w:t>
            </w:r>
            <w:r>
              <w:rPr>
                <w:rFonts w:hint="eastAsia" w:ascii="Times New Roman Regular" w:hAnsi="Times New Roman Regular" w:cs="Times New Roman Regular"/>
                <w:color w:val="000000"/>
                <w:kern w:val="0"/>
                <w:sz w:val="21"/>
                <w:szCs w:val="21"/>
                <w:lang w:val="en-US" w:eastAsia="zh-CN" w:bidi="ar"/>
              </w:rPr>
              <w:t>are summarised in the Supplementary Information</w:t>
            </w:r>
            <w:r>
              <w:rPr>
                <w:rFonts w:hint="default" w:ascii="Times New Roman Regular" w:hAnsi="Times New Roman Regular" w:eastAsia="宋体" w:cs="Times New Roman Regular"/>
                <w:color w:val="000000"/>
                <w:kern w:val="0"/>
                <w:sz w:val="21"/>
                <w:szCs w:val="21"/>
                <w:lang w:val="en-US" w:eastAsia="zh-CN" w:bidi="ar"/>
              </w:rPr>
              <w:t>; high-resolution UAV images are restricted because they may contain sensitive spatial information or identifiable private spaces</w:t>
            </w:r>
          </w:p>
        </w:tc>
      </w:tr>
      <w:tr w14:paraId="379E1F5D">
        <w:tc>
          <w:tcPr>
            <w:tcW w:w="724" w:type="dxa"/>
            <w:vAlign w:val="center"/>
          </w:tcPr>
          <w:p w14:paraId="57AEDE07">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D6</w:t>
            </w:r>
          </w:p>
        </w:tc>
        <w:tc>
          <w:tcPr>
            <w:tcW w:w="1293" w:type="dxa"/>
            <w:vAlign w:val="center"/>
          </w:tcPr>
          <w:p w14:paraId="660DD9EA">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Field photographs</w:t>
            </w:r>
          </w:p>
        </w:tc>
        <w:tc>
          <w:tcPr>
            <w:tcW w:w="1615" w:type="dxa"/>
            <w:vAlign w:val="center"/>
          </w:tcPr>
          <w:p w14:paraId="01E76952">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Field photography by the research team</w:t>
            </w:r>
          </w:p>
        </w:tc>
        <w:tc>
          <w:tcPr>
            <w:tcW w:w="1277" w:type="dxa"/>
            <w:vAlign w:val="center"/>
          </w:tcPr>
          <w:p w14:paraId="4B473F12">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Streets, lanes, courtyards, public nodes, building interfaces and material details in Shichuangou Village</w:t>
            </w:r>
          </w:p>
        </w:tc>
        <w:tc>
          <w:tcPr>
            <w:tcW w:w="1915" w:type="dxa"/>
            <w:vAlign w:val="center"/>
          </w:tcPr>
          <w:p w14:paraId="14A51B56">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2024–2026</w:t>
            </w:r>
          </w:p>
        </w:tc>
        <w:tc>
          <w:tcPr>
            <w:tcW w:w="1493" w:type="dxa"/>
            <w:vAlign w:val="center"/>
          </w:tcPr>
          <w:p w14:paraId="0F723F6C">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Original photographs</w:t>
            </w:r>
          </w:p>
        </w:tc>
        <w:tc>
          <w:tcPr>
            <w:tcW w:w="1637" w:type="dxa"/>
            <w:vAlign w:val="center"/>
          </w:tcPr>
          <w:p w14:paraId="62E71787">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Classified photographic evidence, anonymised image records and visual verification notes</w:t>
            </w:r>
          </w:p>
        </w:tc>
        <w:tc>
          <w:tcPr>
            <w:tcW w:w="2779" w:type="dxa"/>
            <w:vAlign w:val="center"/>
          </w:tcPr>
          <w:p w14:paraId="01CB5E1F">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Used to verify spatial carriers, street-lane interfaces, courtyard forms, construction materials, public nodes and visible renewal disturbances</w:t>
            </w:r>
          </w:p>
        </w:tc>
        <w:tc>
          <w:tcPr>
            <w:tcW w:w="1441" w:type="dxa"/>
            <w:vAlign w:val="center"/>
          </w:tcPr>
          <w:p w14:paraId="54782E3D">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Non-identifiable and redacted image evidence is provided where appropriate; photographs containing identifiable individuals or private spaces are restricted</w:t>
            </w:r>
          </w:p>
        </w:tc>
      </w:tr>
      <w:tr w14:paraId="1F4754BE">
        <w:tc>
          <w:tcPr>
            <w:tcW w:w="724" w:type="dxa"/>
            <w:vAlign w:val="center"/>
          </w:tcPr>
          <w:p w14:paraId="58420BA1">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D7</w:t>
            </w:r>
          </w:p>
        </w:tc>
        <w:tc>
          <w:tcPr>
            <w:tcW w:w="1293" w:type="dxa"/>
            <w:vAlign w:val="center"/>
          </w:tcPr>
          <w:p w14:paraId="6E62B8E2">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GIS and remote-sensing materials</w:t>
            </w:r>
          </w:p>
        </w:tc>
        <w:tc>
          <w:tcPr>
            <w:tcW w:w="1615" w:type="dxa"/>
            <w:vAlign w:val="center"/>
          </w:tcPr>
          <w:p w14:paraId="1A1641E3">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Publicly available spatial data, GIS base maps and remote-sensing interpretation materials</w:t>
            </w:r>
          </w:p>
        </w:tc>
        <w:tc>
          <w:tcPr>
            <w:tcW w:w="1277" w:type="dxa"/>
            <w:vAlign w:val="center"/>
          </w:tcPr>
          <w:p w14:paraId="2A0B113F">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Guanzhong region and Shichuangou Village</w:t>
            </w:r>
          </w:p>
        </w:tc>
        <w:tc>
          <w:tcPr>
            <w:tcW w:w="1915" w:type="dxa"/>
            <w:vAlign w:val="center"/>
          </w:tcPr>
          <w:p w14:paraId="66D7ABE8">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Data year varies by source and map layer</w:t>
            </w:r>
          </w:p>
        </w:tc>
        <w:tc>
          <w:tcPr>
            <w:tcW w:w="1493" w:type="dxa"/>
            <w:vAlign w:val="center"/>
          </w:tcPr>
          <w:p w14:paraId="4F640D88">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GIS layers, remote-sensing images, topographic and settlement base maps</w:t>
            </w:r>
          </w:p>
        </w:tc>
        <w:tc>
          <w:tcPr>
            <w:tcW w:w="1637" w:type="dxa"/>
            <w:vAlign w:val="center"/>
          </w:tcPr>
          <w:p w14:paraId="2C6DE91E">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Study-area maps, village location maps, spatial relationship diagrams and zoning-support layers</w:t>
            </w:r>
          </w:p>
        </w:tc>
        <w:tc>
          <w:tcPr>
            <w:tcW w:w="2779" w:type="dxa"/>
            <w:vAlign w:val="center"/>
          </w:tcPr>
          <w:p w14:paraId="6741DF1C">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Used to support study-area description, settlement-location interpretation, spatial-pattern analysis and governance zoning</w:t>
            </w:r>
          </w:p>
        </w:tc>
        <w:tc>
          <w:tcPr>
            <w:tcW w:w="1441" w:type="dxa"/>
            <w:vAlign w:val="center"/>
          </w:tcPr>
          <w:p w14:paraId="76E6C65A">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 xml:space="preserve">Derived maps and non-sensitive analytical outputs </w:t>
            </w:r>
            <w:r>
              <w:rPr>
                <w:rFonts w:hint="eastAsia" w:ascii="Times New Roman Regular" w:hAnsi="Times New Roman Regular" w:cs="Times New Roman Regular"/>
                <w:color w:val="000000"/>
                <w:kern w:val="0"/>
                <w:sz w:val="21"/>
                <w:szCs w:val="21"/>
                <w:lang w:val="en-US" w:eastAsia="zh-CN" w:bidi="ar"/>
              </w:rPr>
              <w:t>are summarised in the Supplementary Information</w:t>
            </w:r>
            <w:r>
              <w:rPr>
                <w:rFonts w:hint="default" w:ascii="Times New Roman Regular" w:hAnsi="Times New Roman Regular" w:eastAsia="宋体" w:cs="Times New Roman Regular"/>
                <w:color w:val="000000"/>
                <w:kern w:val="0"/>
                <w:sz w:val="21"/>
                <w:szCs w:val="21"/>
                <w:lang w:val="en-US" w:eastAsia="zh-CN" w:bidi="ar"/>
              </w:rPr>
              <w:t>; source layers are cited or described according to access conditions</w:t>
            </w:r>
          </w:p>
        </w:tc>
      </w:tr>
      <w:tr w14:paraId="17455FAE">
        <w:tc>
          <w:tcPr>
            <w:tcW w:w="724" w:type="dxa"/>
            <w:vAlign w:val="center"/>
          </w:tcPr>
          <w:p w14:paraId="700D700E">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D8</w:t>
            </w:r>
          </w:p>
        </w:tc>
        <w:tc>
          <w:tcPr>
            <w:tcW w:w="1293" w:type="dxa"/>
            <w:vAlign w:val="center"/>
          </w:tcPr>
          <w:p w14:paraId="455348EB">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Village planning documents</w:t>
            </w:r>
          </w:p>
        </w:tc>
        <w:tc>
          <w:tcPr>
            <w:tcW w:w="1615" w:type="dxa"/>
            <w:vAlign w:val="center"/>
          </w:tcPr>
          <w:p w14:paraId="5601E657">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Village-level planning documents and related administrative materials</w:t>
            </w:r>
          </w:p>
        </w:tc>
        <w:tc>
          <w:tcPr>
            <w:tcW w:w="1277" w:type="dxa"/>
            <w:vAlign w:val="center"/>
          </w:tcPr>
          <w:p w14:paraId="7B4AB0F0">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Shichuangou Village and relevant local administrative units</w:t>
            </w:r>
          </w:p>
        </w:tc>
        <w:tc>
          <w:tcPr>
            <w:tcW w:w="1915" w:type="dxa"/>
            <w:vAlign w:val="center"/>
          </w:tcPr>
          <w:p w14:paraId="44BCB4A2">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Document year varies</w:t>
            </w:r>
          </w:p>
        </w:tc>
        <w:tc>
          <w:tcPr>
            <w:tcW w:w="1493" w:type="dxa"/>
            <w:vAlign w:val="center"/>
          </w:tcPr>
          <w:p w14:paraId="7EC40862">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Planning texts, maps and project-related descriptions</w:t>
            </w:r>
          </w:p>
        </w:tc>
        <w:tc>
          <w:tcPr>
            <w:tcW w:w="1637" w:type="dxa"/>
            <w:vAlign w:val="center"/>
          </w:tcPr>
          <w:p w14:paraId="3BACF219">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Extracted planning issues, renewal pressures and project-context summaries</w:t>
            </w:r>
          </w:p>
        </w:tc>
        <w:tc>
          <w:tcPr>
            <w:tcW w:w="2779" w:type="dxa"/>
            <w:vAlign w:val="center"/>
          </w:tcPr>
          <w:p w14:paraId="7C5C86C4">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Used to identify ongoing or proposed renewal activities, including road upgrading, housing renovation, tourism facility insertion, public-space improvement and industrial development</w:t>
            </w:r>
          </w:p>
        </w:tc>
        <w:tc>
          <w:tcPr>
            <w:tcW w:w="1441" w:type="dxa"/>
            <w:vAlign w:val="center"/>
          </w:tcPr>
          <w:p w14:paraId="070A8ED7">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 xml:space="preserve">Redacted summaries </w:t>
            </w:r>
            <w:r>
              <w:rPr>
                <w:rFonts w:hint="eastAsia" w:ascii="Times New Roman Regular" w:hAnsi="Times New Roman Regular" w:cs="Times New Roman Regular"/>
                <w:color w:val="000000"/>
                <w:kern w:val="0"/>
                <w:sz w:val="21"/>
                <w:szCs w:val="21"/>
                <w:lang w:val="en-US" w:eastAsia="zh-CN" w:bidi="ar"/>
              </w:rPr>
              <w:t>are summarised in the Supplementary Information</w:t>
            </w:r>
            <w:r>
              <w:rPr>
                <w:rFonts w:hint="default" w:ascii="Times New Roman Regular" w:hAnsi="Times New Roman Regular" w:eastAsia="宋体" w:cs="Times New Roman Regular"/>
                <w:color w:val="000000"/>
                <w:kern w:val="0"/>
                <w:sz w:val="21"/>
                <w:szCs w:val="21"/>
                <w:lang w:val="en-US" w:eastAsia="zh-CN" w:bidi="ar"/>
              </w:rPr>
              <w:t>; full documents are restricted where they are not publicly released or were obtained under administrative permission</w:t>
            </w:r>
          </w:p>
        </w:tc>
      </w:tr>
      <w:tr w14:paraId="325A6060">
        <w:tc>
          <w:tcPr>
            <w:tcW w:w="724" w:type="dxa"/>
            <w:vAlign w:val="center"/>
          </w:tcPr>
          <w:p w14:paraId="38BBE9E9">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D9</w:t>
            </w:r>
          </w:p>
        </w:tc>
        <w:tc>
          <w:tcPr>
            <w:tcW w:w="1293" w:type="dxa"/>
            <w:vAlign w:val="center"/>
          </w:tcPr>
          <w:p w14:paraId="10CD02C2">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Project-related documents</w:t>
            </w:r>
          </w:p>
        </w:tc>
        <w:tc>
          <w:tcPr>
            <w:tcW w:w="1615" w:type="dxa"/>
            <w:vAlign w:val="center"/>
          </w:tcPr>
          <w:p w14:paraId="35361F7E">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Local project records, renewal project descriptions and field-verified project information</w:t>
            </w:r>
          </w:p>
        </w:tc>
        <w:tc>
          <w:tcPr>
            <w:tcW w:w="1277" w:type="dxa"/>
            <w:vAlign w:val="center"/>
          </w:tcPr>
          <w:p w14:paraId="3E41EEA8">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Shichuangou Village</w:t>
            </w:r>
          </w:p>
        </w:tc>
        <w:tc>
          <w:tcPr>
            <w:tcW w:w="1915" w:type="dxa"/>
            <w:vAlign w:val="center"/>
          </w:tcPr>
          <w:p w14:paraId="54F4DC8D">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Document year varies</w:t>
            </w:r>
          </w:p>
        </w:tc>
        <w:tc>
          <w:tcPr>
            <w:tcW w:w="1493" w:type="dxa"/>
            <w:vAlign w:val="center"/>
          </w:tcPr>
          <w:p w14:paraId="5FD5D1E0">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Project descriptions, site information and field verification records</w:t>
            </w:r>
          </w:p>
        </w:tc>
        <w:tc>
          <w:tcPr>
            <w:tcW w:w="1637" w:type="dxa"/>
            <w:vAlign w:val="center"/>
          </w:tcPr>
          <w:p w14:paraId="71974346">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Dynamic project database fields, disturbance-type records and scenario-validation inputs</w:t>
            </w:r>
          </w:p>
        </w:tc>
        <w:tc>
          <w:tcPr>
            <w:tcW w:w="2779" w:type="dxa"/>
            <w:vAlign w:val="center"/>
          </w:tcPr>
          <w:p w14:paraId="41290D26">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Used to construct the dynamic project database template and validate how proposed interventions can be reviewed through the governance toolbox</w:t>
            </w:r>
          </w:p>
        </w:tc>
        <w:tc>
          <w:tcPr>
            <w:tcW w:w="1441" w:type="dxa"/>
            <w:vAlign w:val="center"/>
          </w:tcPr>
          <w:p w14:paraId="2C3C1709">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Redacted and aggregated project information is provided; non-public project files are restricted</w:t>
            </w:r>
          </w:p>
        </w:tc>
      </w:tr>
      <w:tr w14:paraId="3964F57D">
        <w:tc>
          <w:tcPr>
            <w:tcW w:w="724" w:type="dxa"/>
            <w:vAlign w:val="center"/>
          </w:tcPr>
          <w:p w14:paraId="610EE02E">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D10</w:t>
            </w:r>
          </w:p>
        </w:tc>
        <w:tc>
          <w:tcPr>
            <w:tcW w:w="1293" w:type="dxa"/>
            <w:vAlign w:val="center"/>
          </w:tcPr>
          <w:p w14:paraId="46A3549B">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Value–risk diagnostic data</w:t>
            </w:r>
          </w:p>
        </w:tc>
        <w:tc>
          <w:tcPr>
            <w:tcW w:w="1615" w:type="dxa"/>
            <w:vAlign w:val="center"/>
          </w:tcPr>
          <w:p w14:paraId="6B478A89">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Researcher coding based on field materials, interviews, spatial evidence and document review</w:t>
            </w:r>
          </w:p>
        </w:tc>
        <w:tc>
          <w:tcPr>
            <w:tcW w:w="1277" w:type="dxa"/>
            <w:vAlign w:val="center"/>
          </w:tcPr>
          <w:p w14:paraId="1A2EB3EE">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Five categories of space genes in Shichuangou Village</w:t>
            </w:r>
          </w:p>
        </w:tc>
        <w:tc>
          <w:tcPr>
            <w:tcW w:w="1915" w:type="dxa"/>
            <w:vAlign w:val="center"/>
          </w:tcPr>
          <w:p w14:paraId="7131F997">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Analytical stage of the present study</w:t>
            </w:r>
          </w:p>
        </w:tc>
        <w:tc>
          <w:tcPr>
            <w:tcW w:w="1493" w:type="dxa"/>
            <w:vAlign w:val="center"/>
          </w:tcPr>
          <w:p w14:paraId="14765A5F">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Independent scoring sheets from two researchers</w:t>
            </w:r>
          </w:p>
        </w:tc>
        <w:tc>
          <w:tcPr>
            <w:tcW w:w="1637" w:type="dxa"/>
            <w:vAlign w:val="center"/>
          </w:tcPr>
          <w:p w14:paraId="6655D58C">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Final consensus scores, value score V, risk score R and value–risk matrix</w:t>
            </w:r>
          </w:p>
        </w:tc>
        <w:tc>
          <w:tcPr>
            <w:tcW w:w="2779" w:type="dxa"/>
            <w:vAlign w:val="center"/>
          </w:tcPr>
          <w:p w14:paraId="791F8214">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Used to classify the five space-gene categories into continuation-, repair-, adaptation- and replacement-oriented governance states</w:t>
            </w:r>
          </w:p>
        </w:tc>
        <w:tc>
          <w:tcPr>
            <w:tcW w:w="1441" w:type="dxa"/>
            <w:vAlign w:val="center"/>
          </w:tcPr>
          <w:p w14:paraId="72ABBC2F">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 xml:space="preserve">Anonymised independent scores, consensus scores and calculation table </w:t>
            </w:r>
            <w:r>
              <w:rPr>
                <w:rFonts w:hint="eastAsia" w:ascii="Times New Roman Regular" w:hAnsi="Times New Roman Regular" w:cs="Times New Roman Regular"/>
                <w:color w:val="000000"/>
                <w:kern w:val="0"/>
                <w:sz w:val="21"/>
                <w:szCs w:val="21"/>
                <w:lang w:val="en-US" w:eastAsia="zh-CN" w:bidi="ar"/>
              </w:rPr>
              <w:t xml:space="preserve">are summarised </w:t>
            </w:r>
            <w:r>
              <w:rPr>
                <w:rFonts w:hint="default" w:ascii="Times New Roman Regular" w:hAnsi="Times New Roman Regular" w:eastAsia="宋体" w:cs="Times New Roman Regular"/>
                <w:color w:val="000000"/>
                <w:kern w:val="0"/>
                <w:sz w:val="21"/>
                <w:szCs w:val="21"/>
                <w:lang w:val="en-US" w:eastAsia="zh-CN" w:bidi="ar"/>
              </w:rPr>
              <w:t xml:space="preserve"> as Supplementary Tables S5–S6</w:t>
            </w:r>
          </w:p>
        </w:tc>
      </w:tr>
      <w:tr w14:paraId="0BCCA2A0">
        <w:tc>
          <w:tcPr>
            <w:tcW w:w="724" w:type="dxa"/>
            <w:vAlign w:val="center"/>
          </w:tcPr>
          <w:p w14:paraId="52E7E86C">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D11</w:t>
            </w:r>
          </w:p>
        </w:tc>
        <w:tc>
          <w:tcPr>
            <w:tcW w:w="1293" w:type="dxa"/>
            <w:vAlign w:val="center"/>
          </w:tcPr>
          <w:p w14:paraId="3AC2A477">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Rule-translation and governance-tool data</w:t>
            </w:r>
          </w:p>
        </w:tc>
        <w:tc>
          <w:tcPr>
            <w:tcW w:w="1615" w:type="dxa"/>
            <w:vAlign w:val="center"/>
          </w:tcPr>
          <w:p w14:paraId="2EBEF29B">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Analytical synthesis by the research team based on space-gene categories, governance attributes and value–risk diagnosis</w:t>
            </w:r>
          </w:p>
        </w:tc>
        <w:tc>
          <w:tcPr>
            <w:tcW w:w="1277" w:type="dxa"/>
            <w:vAlign w:val="center"/>
          </w:tcPr>
          <w:p w14:paraId="023FAAF4">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Shichuangou Village</w:t>
            </w:r>
          </w:p>
        </w:tc>
        <w:tc>
          <w:tcPr>
            <w:tcW w:w="1915" w:type="dxa"/>
            <w:vAlign w:val="center"/>
          </w:tcPr>
          <w:p w14:paraId="2F7842C1">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Analytical stage of the present study</w:t>
            </w:r>
          </w:p>
        </w:tc>
        <w:tc>
          <w:tcPr>
            <w:tcW w:w="1493" w:type="dxa"/>
            <w:vAlign w:val="center"/>
          </w:tcPr>
          <w:p w14:paraId="12B46DFA">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Coding notes, rule-matching records and scenario-analysis sheets</w:t>
            </w:r>
          </w:p>
        </w:tc>
        <w:tc>
          <w:tcPr>
            <w:tcW w:w="1637" w:type="dxa"/>
            <w:vAlign w:val="center"/>
          </w:tcPr>
          <w:p w14:paraId="56ED69DE">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Adaptive rule-translation table, governance zoning logic, dynamic project database template and scenario-validation records</w:t>
            </w:r>
          </w:p>
        </w:tc>
        <w:tc>
          <w:tcPr>
            <w:tcW w:w="2779" w:type="dxa"/>
            <w:vAlign w:val="center"/>
          </w:tcPr>
          <w:p w14:paraId="2BE45D9D">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Used to build the governance toolbox and test whether spatial knowledge can be translated into actionable governance instruments</w:t>
            </w:r>
          </w:p>
        </w:tc>
        <w:tc>
          <w:tcPr>
            <w:tcW w:w="1441" w:type="dxa"/>
            <w:vAlign w:val="center"/>
          </w:tcPr>
          <w:p w14:paraId="22246D9F">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Provided as Supplementary Tables S7–S8 and related supplementary methods</w:t>
            </w:r>
          </w:p>
        </w:tc>
      </w:tr>
      <w:tr w14:paraId="05EC603C">
        <w:tc>
          <w:tcPr>
            <w:tcW w:w="724" w:type="dxa"/>
            <w:vAlign w:val="center"/>
          </w:tcPr>
          <w:p w14:paraId="5C0DE39F">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D12</w:t>
            </w:r>
          </w:p>
        </w:tc>
        <w:tc>
          <w:tcPr>
            <w:tcW w:w="1293" w:type="dxa"/>
            <w:vAlign w:val="center"/>
          </w:tcPr>
          <w:p w14:paraId="50516122">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Figure and table source data</w:t>
            </w:r>
          </w:p>
        </w:tc>
        <w:tc>
          <w:tcPr>
            <w:tcW w:w="1615" w:type="dxa"/>
            <w:vAlign w:val="center"/>
          </w:tcPr>
          <w:p w14:paraId="06F4DD03">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Research team’s processed analytical files</w:t>
            </w:r>
          </w:p>
        </w:tc>
        <w:tc>
          <w:tcPr>
            <w:tcW w:w="1277" w:type="dxa"/>
            <w:vAlign w:val="center"/>
          </w:tcPr>
          <w:p w14:paraId="406447F5">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Figures and tables included in the manuscript</w:t>
            </w:r>
          </w:p>
        </w:tc>
        <w:tc>
          <w:tcPr>
            <w:tcW w:w="1915" w:type="dxa"/>
            <w:vAlign w:val="center"/>
          </w:tcPr>
          <w:p w14:paraId="3716CD95">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Analytical stage of the present study</w:t>
            </w:r>
          </w:p>
        </w:tc>
        <w:tc>
          <w:tcPr>
            <w:tcW w:w="1493" w:type="dxa"/>
            <w:vAlign w:val="center"/>
          </w:tcPr>
          <w:p w14:paraId="464A5B3B">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Mapping data, scoring data, diagram data and table data</w:t>
            </w:r>
          </w:p>
        </w:tc>
        <w:tc>
          <w:tcPr>
            <w:tcW w:w="1637" w:type="dxa"/>
            <w:vAlign w:val="center"/>
          </w:tcPr>
          <w:p w14:paraId="6EBB82B5">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Source data for figures, value–risk matrix and governance-tool diagrams</w:t>
            </w:r>
          </w:p>
        </w:tc>
        <w:tc>
          <w:tcPr>
            <w:tcW w:w="2779" w:type="dxa"/>
            <w:vAlign w:val="center"/>
          </w:tcPr>
          <w:p w14:paraId="345511EA">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Used to support transparency and allow reviewers to check the empirical basis of the manuscript’s figures and tables</w:t>
            </w:r>
          </w:p>
        </w:tc>
        <w:tc>
          <w:tcPr>
            <w:tcW w:w="1441" w:type="dxa"/>
            <w:vAlign w:val="center"/>
          </w:tcPr>
          <w:p w14:paraId="519A4E7D">
            <w:pPr>
              <w:keepNext w:val="0"/>
              <w:keepLines w:val="0"/>
              <w:widowControl/>
              <w:suppressLineNumbers w:val="0"/>
              <w:spacing w:line="240" w:lineRule="auto"/>
              <w:jc w:val="left"/>
              <w:rPr>
                <w:vertAlign w:val="baseline"/>
              </w:rPr>
            </w:pPr>
            <w:r>
              <w:rPr>
                <w:rFonts w:hint="default" w:ascii="Times New Roman Regular" w:hAnsi="Times New Roman Regular" w:eastAsia="宋体" w:cs="Times New Roman Regular"/>
                <w:color w:val="000000"/>
                <w:kern w:val="0"/>
                <w:sz w:val="21"/>
                <w:szCs w:val="21"/>
                <w:lang w:val="en-US" w:eastAsia="zh-CN" w:bidi="ar"/>
              </w:rPr>
              <w:t xml:space="preserve">Non-sensitive source data and data-processing notes </w:t>
            </w:r>
            <w:r>
              <w:rPr>
                <w:rFonts w:hint="eastAsia" w:ascii="Times New Roman Regular" w:hAnsi="Times New Roman Regular" w:cs="Times New Roman Regular"/>
                <w:color w:val="000000"/>
                <w:kern w:val="0"/>
                <w:sz w:val="21"/>
                <w:szCs w:val="21"/>
                <w:lang w:val="en-US" w:eastAsia="zh-CN" w:bidi="ar"/>
              </w:rPr>
              <w:t xml:space="preserve">are summarised </w:t>
            </w:r>
            <w:r>
              <w:rPr>
                <w:rFonts w:hint="default" w:ascii="Times New Roman Regular" w:hAnsi="Times New Roman Regular" w:eastAsia="宋体" w:cs="Times New Roman Regular"/>
                <w:color w:val="000000"/>
                <w:kern w:val="0"/>
                <w:sz w:val="21"/>
                <w:szCs w:val="21"/>
                <w:lang w:val="en-US" w:eastAsia="zh-CN" w:bidi="ar"/>
              </w:rPr>
              <w:t xml:space="preserve"> in the Supplementary Information</w:t>
            </w:r>
          </w:p>
        </w:tc>
      </w:tr>
    </w:tbl>
    <w:p w14:paraId="5564F12F">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textAlignment w:val="auto"/>
      </w:pPr>
      <w:r>
        <w:rPr>
          <w:rFonts w:hint="eastAsia"/>
          <w:lang w:val="en-US" w:eastAsia="zh-CN"/>
        </w:rPr>
        <w:t>*</w:t>
      </w:r>
      <w:r>
        <w:t>Notes on data sources and data use</w:t>
      </w:r>
    </w:p>
    <w:p w14:paraId="3D4AF1D4">
      <w:pPr>
        <w:pStyle w:val="5"/>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480" w:firstLineChars="200"/>
        <w:jc w:val="both"/>
        <w:textAlignment w:val="auto"/>
      </w:pPr>
      <w:r>
        <w:t>The empirical basis of this study consists of two levels of data. The first level is the regional baseline dataset derived from previous space-gene identification research in the Guanzhong region. That previous research surveyed more than 100 rural settlements and selected 44 representative villages for space-gene identification. The present manuscript uses the established five categories of rural space genes as secondary analytical input and does not repeat the full extraction procedure.</w:t>
      </w:r>
    </w:p>
    <w:p w14:paraId="4D52D3D3">
      <w:pPr>
        <w:pStyle w:val="5"/>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480" w:firstLineChars="200"/>
        <w:jc w:val="both"/>
        <w:textAlignment w:val="auto"/>
      </w:pPr>
      <w:r>
        <w:t>The second level is the case-validation dataset for Shichuangou Village. These materials include field survey records, interviews, UAV images, field photographs, GIS and remote-sensing materials, village planning documents and project-related records. They were used to verify local spatial meanings, identify renewal pressures, support governance-attribute coding, conduct value–risk diagnosis and test the scenario-based application of the governance toolbox.</w:t>
      </w:r>
    </w:p>
    <w:p w14:paraId="02602F1D">
      <w:pPr>
        <w:pStyle w:val="5"/>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240" w:lineRule="auto"/>
        <w:ind w:firstLine="480" w:firstLineChars="200"/>
        <w:jc w:val="both"/>
        <w:textAlignment w:val="auto"/>
      </w:pPr>
      <w:bookmarkStart w:id="0" w:name="_GoBack"/>
      <w:bookmarkEnd w:id="0"/>
      <w:r>
        <w:t>The restricted materials include original interview recordings, full interview transcripts, photographs containing identifiable individuals, precise household or dwelling coordinates, high-resolution UAV images and some non-public village planning or project documents. These materials are not publicly shared because they may contain identifiable personal information, sensitive village-level spatial information, private residential information, copyright-protected content or documents obtained under local administrative permission. To support peer review while protecting participants and restricted materials, the authors provide anonymised coding sheets, redacted supporting documentation, aggregated analytical outputs, value–risk matrices, scenario-validation records and methodological documentation.</w:t>
      </w:r>
    </w:p>
    <w:p w14:paraId="454F85E6">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textAlignment w:val="auto"/>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Palatino Linotype">
    <w:altName w:val="苹方-简"/>
    <w:panose1 w:val="02040502050505030304"/>
    <w:charset w:val="00"/>
    <w:family w:val="roman"/>
    <w:pitch w:val="default"/>
    <w:sig w:usb0="00000000" w:usb1="00000000" w:usb2="00000000" w:usb3="00000000" w:csb0="0000019F" w:csb1="00000000"/>
  </w:font>
  <w:font w:name="苹方-简">
    <w:panose1 w:val="020B0400000000000000"/>
    <w:charset w:val="86"/>
    <w:family w:val="auto"/>
    <w:pitch w:val="default"/>
    <w:sig w:usb0="A00002FF" w:usb1="7ACFFDFB" w:usb2="00000017" w:usb3="00000000" w:csb0="00040001" w:csb1="00000000"/>
  </w:font>
  <w:font w:name="Times New Roman Regular">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7F4D97"/>
    <w:rsid w:val="377CD895"/>
    <w:rsid w:val="3D7F4D97"/>
    <w:rsid w:val="66F10275"/>
    <w:rsid w:val="F4DD7CF5"/>
    <w:rsid w:val="F7FD9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80" w:lineRule="atLeast"/>
      <w:jc w:val="both"/>
    </w:pPr>
    <w:rPr>
      <w:rFonts w:ascii="Palatino Linotype" w:hAnsi="Palatino Linotype" w:eastAsia="宋体" w:cs="Times New Roman"/>
      <w:color w:val="000000"/>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caption"/>
    <w:basedOn w:val="1"/>
    <w:next w:val="1"/>
    <w:qFormat/>
    <w:uiPriority w:val="99"/>
    <w:pPr>
      <w:widowControl w:val="0"/>
      <w:spacing w:before="100" w:beforeAutospacing="1" w:after="160" w:line="276" w:lineRule="auto"/>
      <w:jc w:val="center"/>
    </w:pPr>
    <w:rPr>
      <w:rFonts w:ascii="Times New Roman" w:hAnsi="Times New Roman"/>
      <w:color w:val="auto"/>
      <w:kern w:val="2"/>
      <w:sz w:val="21"/>
      <w:szCs w:val="21"/>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table" w:styleId="7">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16</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2026-09-02T03:30:00Z</dcterms:created>
  <dc:creator>刘畅</dc:creator>
  <cp:lastModifiedBy>刘畅</cp:lastModifiedBy>
  <dcterms:modified xsi:type="dcterms:W3CDTF">2026-09-04T12:10:55Z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EDCB0E237413A937D146966AD6D447A0_41</vt:lpwstr>
  </property>
</Properties>
</file>