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C1E58" w14:textId="77777777" w:rsidR="00BC0FED" w:rsidRDefault="00000000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bCs/>
          <w:szCs w:val="22"/>
        </w:rPr>
      </w:pPr>
      <w:r>
        <w:rPr>
          <w:rFonts w:ascii="Times New Roman" w:eastAsia="宋体" w:hAnsi="Times New Roman" w:cs="Times New Roman"/>
          <w:b/>
          <w:bCs/>
          <w:szCs w:val="22"/>
        </w:rPr>
        <w:t>Long-</w:t>
      </w:r>
      <w:r>
        <w:rPr>
          <w:rFonts w:ascii="Times New Roman" w:eastAsia="宋体" w:hAnsi="Times New Roman" w:cs="Times New Roman" w:hint="eastAsia"/>
          <w:b/>
          <w:bCs/>
          <w:szCs w:val="22"/>
        </w:rPr>
        <w:t>A</w:t>
      </w:r>
      <w:r>
        <w:rPr>
          <w:rFonts w:ascii="Times New Roman" w:eastAsia="宋体" w:hAnsi="Times New Roman" w:cs="Times New Roman"/>
          <w:b/>
          <w:bCs/>
          <w:szCs w:val="22"/>
        </w:rPr>
        <w:t>cting Albuvirtide Combined with</w:t>
      </w:r>
      <w:r>
        <w:rPr>
          <w:rFonts w:ascii="Times New Roman" w:eastAsia="宋体" w:hAnsi="Times New Roman" w:cs="Times New Roman" w:hint="eastAsia"/>
          <w:b/>
          <w:bCs/>
          <w:szCs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szCs w:val="22"/>
        </w:rPr>
        <w:t xml:space="preserve">Intensive Immunochemotherapy </w:t>
      </w:r>
      <w:r>
        <w:rPr>
          <w:rFonts w:ascii="Times New Roman" w:eastAsia="宋体" w:hAnsi="Times New Roman" w:cs="Times New Roman" w:hint="eastAsia"/>
          <w:b/>
          <w:bCs/>
          <w:szCs w:val="22"/>
        </w:rPr>
        <w:t>for</w:t>
      </w:r>
      <w:r>
        <w:rPr>
          <w:rFonts w:ascii="Times New Roman" w:eastAsia="宋体" w:hAnsi="Times New Roman" w:cs="Times New Roman"/>
          <w:b/>
          <w:bCs/>
          <w:szCs w:val="22"/>
        </w:rPr>
        <w:t xml:space="preserve"> HIV-associated Diffuse Large B-</w:t>
      </w:r>
      <w:r>
        <w:rPr>
          <w:rFonts w:ascii="Times New Roman" w:eastAsia="宋体" w:hAnsi="Times New Roman" w:cs="Times New Roman" w:hint="eastAsia"/>
          <w:b/>
          <w:bCs/>
          <w:szCs w:val="22"/>
        </w:rPr>
        <w:t>C</w:t>
      </w:r>
      <w:r>
        <w:rPr>
          <w:rFonts w:ascii="Times New Roman" w:eastAsia="宋体" w:hAnsi="Times New Roman" w:cs="Times New Roman"/>
          <w:b/>
          <w:bCs/>
          <w:szCs w:val="22"/>
        </w:rPr>
        <w:t xml:space="preserve">ell </w:t>
      </w:r>
      <w:r>
        <w:rPr>
          <w:rFonts w:ascii="Times New Roman" w:eastAsia="宋体" w:hAnsi="Times New Roman" w:cs="Times New Roman" w:hint="eastAsia"/>
          <w:b/>
          <w:bCs/>
          <w:szCs w:val="22"/>
        </w:rPr>
        <w:t>L</w:t>
      </w:r>
      <w:r>
        <w:rPr>
          <w:rFonts w:ascii="Times New Roman" w:eastAsia="宋体" w:hAnsi="Times New Roman" w:cs="Times New Roman"/>
          <w:b/>
          <w:bCs/>
          <w:szCs w:val="22"/>
        </w:rPr>
        <w:t xml:space="preserve">ymphoma: A </w:t>
      </w:r>
      <w:r>
        <w:rPr>
          <w:rFonts w:ascii="Times New Roman" w:eastAsia="宋体" w:hAnsi="Times New Roman" w:cs="Times New Roman" w:hint="eastAsia"/>
          <w:b/>
          <w:bCs/>
          <w:szCs w:val="22"/>
        </w:rPr>
        <w:t xml:space="preserve">Retrospective </w:t>
      </w:r>
      <w:r>
        <w:rPr>
          <w:rFonts w:ascii="Times New Roman" w:eastAsia="宋体" w:hAnsi="Times New Roman" w:cs="Times New Roman"/>
          <w:b/>
          <w:bCs/>
          <w:szCs w:val="22"/>
        </w:rPr>
        <w:t>Study</w:t>
      </w:r>
    </w:p>
    <w:p w14:paraId="7734CDA3" w14:textId="77777777" w:rsidR="00BC0FED" w:rsidRDefault="00BC0FED">
      <w:pPr>
        <w:spacing w:after="0" w:line="360" w:lineRule="auto"/>
        <w:jc w:val="center"/>
        <w:rPr>
          <w:rFonts w:ascii="Times New Roman" w:eastAsia="宋体" w:hAnsi="Times New Roman" w:cs="Times New Roman"/>
          <w:b/>
          <w:bCs/>
          <w:szCs w:val="22"/>
        </w:rPr>
      </w:pPr>
    </w:p>
    <w:p w14:paraId="3FC1E4D8" w14:textId="10BB1F76" w:rsidR="00BC0FED" w:rsidRDefault="00000000">
      <w:pPr>
        <w:spacing w:after="0" w:line="360" w:lineRule="auto"/>
        <w:jc w:val="both"/>
        <w:rPr>
          <w:rFonts w:ascii="Times New Roman" w:hAnsi="Times New Roman" w:cs="Lohit Devanagari"/>
          <w:bCs/>
          <w:szCs w:val="22"/>
          <w:vertAlign w:val="superscript"/>
          <w:lang w:bidi="hi-IN"/>
        </w:rPr>
      </w:pPr>
      <w:bookmarkStart w:id="0" w:name="OLE_LINK3"/>
      <w:r>
        <w:rPr>
          <w:rFonts w:ascii="Times New Roman" w:hAnsi="Times New Roman" w:cs="Lohit Devanagari"/>
          <w:bCs/>
          <w:szCs w:val="22"/>
          <w:lang w:bidi="hi-IN"/>
        </w:rPr>
        <w:t>Han Zhao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1†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AdvOT01861455.I" w:hAnsi="AdvOT01861455.I" w:cs="AdvOT01861455.I"/>
          <w:kern w:val="0"/>
          <w:szCs w:val="22"/>
        </w:rPr>
        <w:t xml:space="preserve"> </w:t>
      </w:r>
      <w:r>
        <w:rPr>
          <w:rFonts w:ascii="Times New Roman" w:hAnsi="Times New Roman" w:cs="Lohit Devanagari"/>
          <w:bCs/>
          <w:szCs w:val="22"/>
          <w:lang w:bidi="hi-IN"/>
        </w:rPr>
        <w:t>Qianyu Wang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1†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Times New Roman" w:hAnsi="Times New Roman" w:cs="Lohit Devanagari"/>
          <w:bCs/>
          <w:szCs w:val="22"/>
          <w:lang w:bidi="hi-IN"/>
        </w:rPr>
        <w:t xml:space="preserve"> Lizhi Feng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1†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AdvOT01861455.I" w:hAnsi="AdvOT01861455.I" w:cs="AdvOT01861455.I"/>
          <w:kern w:val="0"/>
          <w:szCs w:val="22"/>
        </w:rPr>
        <w:t xml:space="preserve"> </w:t>
      </w:r>
      <w:r>
        <w:rPr>
          <w:rFonts w:ascii="Times New Roman" w:hAnsi="Times New Roman" w:cs="Lohit Devanagari"/>
          <w:bCs/>
          <w:szCs w:val="22"/>
          <w:lang w:bidi="hi-IN"/>
        </w:rPr>
        <w:t>Baolin Liao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2†</w:t>
      </w:r>
      <w:r>
        <w:rPr>
          <w:rFonts w:ascii="Times New Roman" w:hAnsi="Times New Roman" w:cs="Lohit Devanagari"/>
          <w:bCs/>
          <w:szCs w:val="22"/>
          <w:lang w:bidi="hi-IN"/>
        </w:rPr>
        <w:t>,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 xml:space="preserve"> </w:t>
      </w:r>
      <w:r>
        <w:rPr>
          <w:rFonts w:ascii="Times New Roman" w:hAnsi="Times New Roman" w:cs="Lohit Devanagari"/>
          <w:bCs/>
          <w:szCs w:val="22"/>
          <w:lang w:bidi="hi-IN"/>
        </w:rPr>
        <w:t>Bo Liu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AdvOT01861455.I" w:hAnsi="AdvOT01861455.I" w:cs="AdvOT01861455.I"/>
          <w:kern w:val="0"/>
          <w:szCs w:val="22"/>
        </w:rPr>
        <w:t xml:space="preserve"> </w:t>
      </w:r>
      <w:r>
        <w:rPr>
          <w:rFonts w:ascii="Times New Roman" w:hAnsi="Times New Roman" w:cs="Lohit Devanagari"/>
          <w:bCs/>
          <w:szCs w:val="22"/>
          <w:lang w:bidi="hi-IN"/>
        </w:rPr>
        <w:t>Zhimin Chen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Times New Roman" w:hAnsi="Times New Roman" w:cs="Lohit Devanagari"/>
          <w:bCs/>
          <w:szCs w:val="22"/>
          <w:lang w:bidi="hi-IN"/>
        </w:rPr>
        <w:t xml:space="preserve"> Shengrui Chen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Times New Roman" w:hAnsi="Times New Roman" w:cs="Lohit Devanagari"/>
          <w:bCs/>
          <w:szCs w:val="22"/>
          <w:lang w:bidi="hi-IN"/>
        </w:rPr>
        <w:t xml:space="preserve"> Linghua Li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</w:t>
      </w:r>
      <w:r>
        <w:rPr>
          <w:rFonts w:ascii="Times New Roman" w:hAnsi="Times New Roman" w:cs="Times New Roman"/>
          <w:kern w:val="0"/>
          <w:szCs w:val="22"/>
        </w:rPr>
        <w:t>,</w:t>
      </w:r>
      <w:r>
        <w:rPr>
          <w:rFonts w:ascii="Times New Roman" w:hAnsi="Times New Roman" w:cs="Lohit Devanagari"/>
          <w:bCs/>
          <w:szCs w:val="22"/>
          <w:lang w:bidi="hi-IN"/>
        </w:rPr>
        <w:t xml:space="preserve"> Yuantao Liu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3</w:t>
      </w:r>
      <w:r>
        <w:rPr>
          <w:rFonts w:ascii="Times New Roman" w:hAnsi="Times New Roman" w:cs="Lohit Devanagari"/>
          <w:bCs/>
          <w:szCs w:val="22"/>
          <w:lang w:bidi="hi-IN"/>
        </w:rPr>
        <w:t>, Yang</w:t>
      </w:r>
      <w:r>
        <w:rPr>
          <w:rFonts w:ascii="Times New Roman" w:hAnsi="Times New Roman" w:cs="Lohit Devanagari" w:hint="eastAsia"/>
          <w:bCs/>
          <w:szCs w:val="22"/>
          <w:lang w:bidi="hi-IN"/>
        </w:rPr>
        <w:t xml:space="preserve"> </w:t>
      </w:r>
      <w:r>
        <w:rPr>
          <w:rFonts w:ascii="Times New Roman" w:hAnsi="Times New Roman" w:cs="Lohit Devanagari"/>
          <w:bCs/>
          <w:szCs w:val="22"/>
          <w:lang w:bidi="hi-IN"/>
        </w:rPr>
        <w:t>Cao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3</w:t>
      </w:r>
      <w:r>
        <w:rPr>
          <w:rFonts w:ascii="Times New Roman" w:hAnsi="Times New Roman" w:cs="Lohit Devanagari"/>
          <w:bCs/>
          <w:szCs w:val="22"/>
          <w:lang w:bidi="hi-IN"/>
        </w:rPr>
        <w:t>, Xiaoping Tang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1*</w:t>
      </w:r>
      <w:r w:rsidR="001F455A">
        <w:rPr>
          <w:rFonts w:ascii="Times New Roman" w:hAnsi="Times New Roman" w:cs="Lohit Devanagari" w:hint="eastAsia"/>
          <w:bCs/>
          <w:szCs w:val="22"/>
          <w:lang w:bidi="hi-IN"/>
        </w:rPr>
        <w:t xml:space="preserve"> </w:t>
      </w:r>
      <w:r>
        <w:rPr>
          <w:rFonts w:ascii="Times New Roman" w:hAnsi="Times New Roman" w:cs="Lohit Devanagari"/>
          <w:bCs/>
          <w:szCs w:val="22"/>
          <w:lang w:bidi="hi-IN"/>
        </w:rPr>
        <w:t>and Haolan He</w:t>
      </w:r>
      <w:r>
        <w:rPr>
          <w:rFonts w:ascii="Times New Roman" w:hAnsi="Times New Roman" w:cs="Lohit Devanagari"/>
          <w:bCs/>
          <w:szCs w:val="22"/>
          <w:vertAlign w:val="superscript"/>
          <w:lang w:bidi="hi-IN"/>
        </w:rPr>
        <w:t>1*</w:t>
      </w:r>
    </w:p>
    <w:bookmarkEnd w:id="0"/>
    <w:p w14:paraId="0C750B69" w14:textId="77777777" w:rsidR="00BC0FED" w:rsidRDefault="00000000">
      <w:pPr>
        <w:spacing w:after="0" w:line="360" w:lineRule="auto"/>
        <w:jc w:val="both"/>
        <w:rPr>
          <w:rFonts w:ascii="Times New Roman" w:hAnsi="Times New Roman" w:cs="Times New Roman"/>
          <w:bCs/>
          <w:szCs w:val="22"/>
          <w:lang w:bidi="hi-IN"/>
        </w:rPr>
      </w:pPr>
      <w:r>
        <w:rPr>
          <w:rFonts w:ascii="Times New Roman" w:hAnsi="Times New Roman" w:cs="Times New Roman"/>
          <w:bCs/>
          <w:szCs w:val="22"/>
          <w:lang w:bidi="hi-IN"/>
        </w:rPr>
        <w:t>1.Infectious Diseases Center, Guangzhou Eighth People’s Hospital, Guangzhou Medical University, Guangzhou, China</w:t>
      </w:r>
    </w:p>
    <w:p w14:paraId="014385ED" w14:textId="77777777" w:rsidR="00BC0FED" w:rsidRDefault="00000000">
      <w:pPr>
        <w:spacing w:after="0" w:line="360" w:lineRule="auto"/>
        <w:jc w:val="both"/>
        <w:rPr>
          <w:rFonts w:ascii="Times New Roman" w:hAnsi="Times New Roman" w:cs="Times New Roman"/>
          <w:bCs/>
          <w:szCs w:val="22"/>
          <w:lang w:bidi="hi-IN"/>
        </w:rPr>
      </w:pPr>
      <w:r>
        <w:rPr>
          <w:rFonts w:ascii="Times New Roman" w:hAnsi="Times New Roman" w:cs="Times New Roman"/>
          <w:bCs/>
          <w:szCs w:val="22"/>
          <w:lang w:bidi="hi-IN"/>
        </w:rPr>
        <w:t>2.Department of Hepatology, Guangzhou Eighth People's Hospital, Guangzhou Medical University, Guangzhou 510440, China</w:t>
      </w:r>
    </w:p>
    <w:p w14:paraId="16759337" w14:textId="77777777" w:rsidR="00BC0FED" w:rsidRDefault="00000000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Cs w:val="22"/>
          <w:lang w:bidi="hi-IN"/>
        </w:rPr>
      </w:pPr>
      <w:r>
        <w:rPr>
          <w:rFonts w:ascii="Times New Roman" w:hAnsi="Times New Roman" w:cs="Times New Roman"/>
          <w:bCs/>
          <w:szCs w:val="22"/>
          <w:lang w:bidi="hi-IN"/>
        </w:rPr>
        <w:t>3.Medical Affairs Department, Frontier Biotechnologies Inc, Nanjing, Jiangsu, China</w:t>
      </w:r>
    </w:p>
    <w:p w14:paraId="2DAD1745" w14:textId="77777777" w:rsidR="00BC0FED" w:rsidRDefault="00000000">
      <w:pPr>
        <w:widowControl/>
        <w:spacing w:after="0" w:line="360" w:lineRule="auto"/>
        <w:jc w:val="both"/>
        <w:rPr>
          <w:rFonts w:ascii="Times New Roman" w:hAnsi="Times New Roman" w:cs="Times New Roman"/>
          <w:bCs/>
          <w:szCs w:val="22"/>
          <w:lang w:bidi="hi-IN"/>
        </w:rPr>
      </w:pPr>
      <w:r>
        <w:rPr>
          <w:rFonts w:ascii="Times New Roman" w:hAnsi="Times New Roman" w:cs="Times New Roman"/>
          <w:bCs/>
          <w:szCs w:val="22"/>
          <w:vertAlign w:val="superscript"/>
          <w:lang w:bidi="hi-IN"/>
        </w:rPr>
        <w:t>†</w:t>
      </w:r>
      <w:r>
        <w:rPr>
          <w:rFonts w:ascii="Times New Roman" w:hAnsi="Times New Roman" w:cs="Times New Roman"/>
          <w:bCs/>
          <w:szCs w:val="22"/>
          <w:lang w:bidi="hi-IN"/>
        </w:rPr>
        <w:t>These authors have contributed equally to this work.</w:t>
      </w:r>
    </w:p>
    <w:p w14:paraId="64627773" w14:textId="77777777" w:rsidR="00BC0FED" w:rsidRDefault="00BC0FED">
      <w:pPr>
        <w:rPr>
          <w:rFonts w:hint="eastAsia"/>
        </w:rPr>
      </w:pPr>
    </w:p>
    <w:p w14:paraId="308D5843" w14:textId="77777777" w:rsidR="00BC0FED" w:rsidRDefault="00BC0FED">
      <w:pPr>
        <w:spacing w:beforeLines="50" w:before="156" w:afterLines="50" w:after="156" w:line="360" w:lineRule="auto"/>
        <w:jc w:val="both"/>
        <w:rPr>
          <w:rFonts w:ascii="Times New Roman" w:eastAsia="宋体" w:hAnsi="Times New Roman" w:cs="Times New Roman"/>
          <w:szCs w:val="22"/>
          <w:shd w:val="clear" w:color="auto" w:fill="FFFFFF"/>
        </w:rPr>
      </w:pPr>
    </w:p>
    <w:p w14:paraId="397FC1E1" w14:textId="77777777" w:rsidR="00BC0FED" w:rsidRDefault="00000000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szCs w:val="22"/>
        </w:rPr>
      </w:pPr>
      <w:bookmarkStart w:id="1" w:name="OLE_LINK6"/>
      <w:r>
        <w:rPr>
          <w:rFonts w:ascii="Times New Roman" w:eastAsia="宋体" w:hAnsi="Times New Roman" w:cs="Times New Roman" w:hint="eastAsia"/>
          <w:b/>
          <w:bCs/>
          <w:szCs w:val="22"/>
        </w:rPr>
        <w:t xml:space="preserve">Supplementary </w:t>
      </w:r>
      <w:r>
        <w:rPr>
          <w:rFonts w:ascii="Times New Roman" w:eastAsia="宋体" w:hAnsi="Times New Roman" w:cs="Times New Roman"/>
          <w:b/>
          <w:bCs/>
          <w:szCs w:val="22"/>
        </w:rPr>
        <w:t>Table</w:t>
      </w:r>
      <w:bookmarkEnd w:id="1"/>
      <w:r>
        <w:rPr>
          <w:rFonts w:ascii="Times New Roman" w:eastAsia="宋体" w:hAnsi="Times New Roman" w:cs="Times New Roman"/>
          <w:b/>
          <w:bCs/>
          <w:szCs w:val="22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Cs w:val="22"/>
        </w:rPr>
        <w:t>S1</w:t>
      </w:r>
      <w:r>
        <w:rPr>
          <w:rFonts w:ascii="Times New Roman" w:eastAsia="宋体" w:hAnsi="Times New Roman" w:cs="Times New Roman"/>
          <w:b/>
          <w:bCs/>
          <w:szCs w:val="22"/>
        </w:rPr>
        <w:t>. Statistical analysis of changes in CD4+ T-cell counts</w:t>
      </w:r>
    </w:p>
    <w:tbl>
      <w:tblPr>
        <w:tblStyle w:val="a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96"/>
        <w:gridCol w:w="1214"/>
        <w:gridCol w:w="1402"/>
        <w:gridCol w:w="1135"/>
        <w:gridCol w:w="1080"/>
        <w:gridCol w:w="1145"/>
      </w:tblGrid>
      <w:tr w:rsidR="00BC0FED" w14:paraId="598C077A" w14:textId="77777777">
        <w:trPr>
          <w:trHeight w:val="604"/>
          <w:jc w:val="center"/>
        </w:trPr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53DAFC6" w14:textId="77777777" w:rsidR="00BC0FED" w:rsidRDefault="00BC0FED">
            <w:pPr>
              <w:spacing w:after="0" w:line="240" w:lineRule="auto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12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A8D335E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 xml:space="preserve">HIV Viral Load &gt; 50 copies/mL </w:t>
            </w:r>
          </w:p>
        </w:tc>
        <w:tc>
          <w:tcPr>
            <w:tcW w:w="3360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5F88179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 xml:space="preserve">HIV Viral Load 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≤</w:t>
            </w:r>
            <w:r>
              <w:rPr>
                <w:kern w:val="0"/>
                <w:sz w:val="18"/>
                <w:szCs w:val="18"/>
                <w14:ligatures w14:val="none"/>
              </w:rPr>
              <w:t xml:space="preserve"> 50 copies/mL</w:t>
            </w:r>
          </w:p>
        </w:tc>
      </w:tr>
      <w:tr w:rsidR="00BC0FED" w14:paraId="4BC28000" w14:textId="77777777">
        <w:trPr>
          <w:trHeight w:val="1416"/>
          <w:jc w:val="center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07AB5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119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45D2A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CD4+ count (cells/μL), median (Q1, Q3)</w:t>
            </w:r>
          </w:p>
        </w:tc>
        <w:tc>
          <w:tcPr>
            <w:tcW w:w="12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AFD9D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Median increase from baseline (cells/μL)</w:t>
            </w:r>
          </w:p>
        </w:tc>
        <w:tc>
          <w:tcPr>
            <w:tcW w:w="14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44E05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The number and proportion of patients with CD4+ increase &gt; 50 cells/μL, n (%)</w:t>
            </w:r>
          </w:p>
        </w:tc>
        <w:tc>
          <w:tcPr>
            <w:tcW w:w="11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5FAF0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CD4+ count (cells/μL), mean ± SD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CB046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Mean increase from baseline (cells/μL)</w:t>
            </w:r>
          </w:p>
        </w:tc>
        <w:tc>
          <w:tcPr>
            <w:tcW w:w="11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73A66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The number and proportion of patients with CD4+ increase &gt; 50 cells/μL, n (%)</w:t>
            </w:r>
          </w:p>
        </w:tc>
      </w:tr>
      <w:tr w:rsidR="00BC0FED" w14:paraId="0FF5923E" w14:textId="77777777">
        <w:trPr>
          <w:trHeight w:val="692"/>
          <w:jc w:val="center"/>
        </w:trPr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FB552A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0 (Baseline)</w:t>
            </w:r>
          </w:p>
        </w:tc>
        <w:tc>
          <w:tcPr>
            <w:tcW w:w="1196" w:type="dxa"/>
            <w:tcBorders>
              <w:top w:val="single" w:sz="8" w:space="0" w:color="auto"/>
            </w:tcBorders>
            <w:vAlign w:val="center"/>
          </w:tcPr>
          <w:p w14:paraId="6A306B3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123 (79, 186)</w:t>
            </w:r>
          </w:p>
        </w:tc>
        <w:tc>
          <w:tcPr>
            <w:tcW w:w="1214" w:type="dxa"/>
            <w:tcBorders>
              <w:top w:val="single" w:sz="8" w:space="0" w:color="auto"/>
            </w:tcBorders>
            <w:vAlign w:val="center"/>
          </w:tcPr>
          <w:p w14:paraId="5E8D1C5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--</w:t>
            </w:r>
          </w:p>
        </w:tc>
        <w:tc>
          <w:tcPr>
            <w:tcW w:w="1402" w:type="dxa"/>
            <w:tcBorders>
              <w:top w:val="single" w:sz="8" w:space="0" w:color="auto"/>
            </w:tcBorders>
            <w:vAlign w:val="center"/>
          </w:tcPr>
          <w:p w14:paraId="6684A113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--</w:t>
            </w:r>
          </w:p>
        </w:tc>
        <w:tc>
          <w:tcPr>
            <w:tcW w:w="1135" w:type="dxa"/>
            <w:tcBorders>
              <w:top w:val="single" w:sz="8" w:space="0" w:color="auto"/>
            </w:tcBorders>
          </w:tcPr>
          <w:p w14:paraId="0924389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255.45 ± 175.25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</w:tcPr>
          <w:p w14:paraId="4D9B8E6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--</w:t>
            </w:r>
          </w:p>
        </w:tc>
        <w:tc>
          <w:tcPr>
            <w:tcW w:w="1145" w:type="dxa"/>
            <w:tcBorders>
              <w:top w:val="single" w:sz="8" w:space="0" w:color="auto"/>
            </w:tcBorders>
            <w:vAlign w:val="center"/>
          </w:tcPr>
          <w:p w14:paraId="63B41E2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--</w:t>
            </w:r>
          </w:p>
        </w:tc>
      </w:tr>
      <w:tr w:rsidR="00BC0FED" w14:paraId="7922C69D" w14:textId="77777777">
        <w:trPr>
          <w:trHeight w:val="353"/>
          <w:jc w:val="center"/>
        </w:trPr>
        <w:tc>
          <w:tcPr>
            <w:tcW w:w="1134" w:type="dxa"/>
            <w:vAlign w:val="center"/>
          </w:tcPr>
          <w:p w14:paraId="5AF8005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4</w:t>
            </w:r>
          </w:p>
        </w:tc>
        <w:tc>
          <w:tcPr>
            <w:tcW w:w="1196" w:type="dxa"/>
            <w:vAlign w:val="center"/>
          </w:tcPr>
          <w:p w14:paraId="773286D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154 (86, 250)</w:t>
            </w:r>
          </w:p>
        </w:tc>
        <w:tc>
          <w:tcPr>
            <w:tcW w:w="1214" w:type="dxa"/>
            <w:vAlign w:val="center"/>
          </w:tcPr>
          <w:p w14:paraId="686CA40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402" w:type="dxa"/>
            <w:vAlign w:val="center"/>
          </w:tcPr>
          <w:p w14:paraId="2ADD6EF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15 (45.45)</w:t>
            </w:r>
          </w:p>
        </w:tc>
        <w:tc>
          <w:tcPr>
            <w:tcW w:w="1135" w:type="dxa"/>
          </w:tcPr>
          <w:p w14:paraId="0BF7E6E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269.52 ± 202.69</w:t>
            </w:r>
          </w:p>
        </w:tc>
        <w:tc>
          <w:tcPr>
            <w:tcW w:w="1080" w:type="dxa"/>
          </w:tcPr>
          <w:p w14:paraId="40631E7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14.07</w:t>
            </w:r>
          </w:p>
        </w:tc>
        <w:tc>
          <w:tcPr>
            <w:tcW w:w="1145" w:type="dxa"/>
          </w:tcPr>
          <w:p w14:paraId="359390B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5 (23.81)</w:t>
            </w:r>
          </w:p>
        </w:tc>
      </w:tr>
      <w:tr w:rsidR="00BC0FED" w14:paraId="7D04B6B8" w14:textId="77777777">
        <w:trPr>
          <w:trHeight w:val="353"/>
          <w:jc w:val="center"/>
        </w:trPr>
        <w:tc>
          <w:tcPr>
            <w:tcW w:w="1134" w:type="dxa"/>
            <w:vAlign w:val="center"/>
          </w:tcPr>
          <w:p w14:paraId="462A7FF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8</w:t>
            </w:r>
          </w:p>
        </w:tc>
        <w:tc>
          <w:tcPr>
            <w:tcW w:w="1196" w:type="dxa"/>
            <w:vAlign w:val="center"/>
          </w:tcPr>
          <w:p w14:paraId="677B847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159 (92, 216)</w:t>
            </w:r>
          </w:p>
        </w:tc>
        <w:tc>
          <w:tcPr>
            <w:tcW w:w="1214" w:type="dxa"/>
            <w:vAlign w:val="center"/>
          </w:tcPr>
          <w:p w14:paraId="089688E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402" w:type="dxa"/>
            <w:vAlign w:val="center"/>
          </w:tcPr>
          <w:p w14:paraId="120DCE9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17 (51.52)</w:t>
            </w:r>
          </w:p>
        </w:tc>
        <w:tc>
          <w:tcPr>
            <w:tcW w:w="1135" w:type="dxa"/>
          </w:tcPr>
          <w:p w14:paraId="36BA7EA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 xml:space="preserve">251.38 ± 161.55 </w:t>
            </w:r>
          </w:p>
        </w:tc>
        <w:tc>
          <w:tcPr>
            <w:tcW w:w="1080" w:type="dxa"/>
          </w:tcPr>
          <w:p w14:paraId="2B9A58D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--</w:t>
            </w:r>
          </w:p>
        </w:tc>
        <w:tc>
          <w:tcPr>
            <w:tcW w:w="1145" w:type="dxa"/>
          </w:tcPr>
          <w:p w14:paraId="5B4EE71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7 (33.33)</w:t>
            </w:r>
          </w:p>
        </w:tc>
      </w:tr>
      <w:tr w:rsidR="00BC0FED" w14:paraId="61872583" w14:textId="77777777">
        <w:trPr>
          <w:trHeight w:val="338"/>
          <w:jc w:val="center"/>
        </w:trPr>
        <w:tc>
          <w:tcPr>
            <w:tcW w:w="1134" w:type="dxa"/>
            <w:vAlign w:val="center"/>
          </w:tcPr>
          <w:p w14:paraId="38E2AEB9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12</w:t>
            </w:r>
          </w:p>
        </w:tc>
        <w:tc>
          <w:tcPr>
            <w:tcW w:w="1196" w:type="dxa"/>
            <w:vAlign w:val="center"/>
          </w:tcPr>
          <w:p w14:paraId="6B55CF0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153 (99, 213)</w:t>
            </w:r>
          </w:p>
        </w:tc>
        <w:tc>
          <w:tcPr>
            <w:tcW w:w="1214" w:type="dxa"/>
            <w:vAlign w:val="center"/>
          </w:tcPr>
          <w:p w14:paraId="55F498A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402" w:type="dxa"/>
            <w:vAlign w:val="center"/>
          </w:tcPr>
          <w:p w14:paraId="23925AB3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18 (54.55)</w:t>
            </w:r>
          </w:p>
        </w:tc>
        <w:tc>
          <w:tcPr>
            <w:tcW w:w="1135" w:type="dxa"/>
          </w:tcPr>
          <w:p w14:paraId="40AE58C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287.95 </w:t>
            </w:r>
            <w:r>
              <w:rPr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160.21</w:t>
            </w:r>
          </w:p>
        </w:tc>
        <w:tc>
          <w:tcPr>
            <w:tcW w:w="1080" w:type="dxa"/>
          </w:tcPr>
          <w:p w14:paraId="7B9166C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32.50</w:t>
            </w:r>
          </w:p>
        </w:tc>
        <w:tc>
          <w:tcPr>
            <w:tcW w:w="1145" w:type="dxa"/>
          </w:tcPr>
          <w:p w14:paraId="14216E0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7 (33.33)</w:t>
            </w:r>
          </w:p>
        </w:tc>
      </w:tr>
    </w:tbl>
    <w:p w14:paraId="18B6EF0E" w14:textId="77777777" w:rsidR="00BC0FED" w:rsidRDefault="00BC0FED">
      <w:pPr>
        <w:spacing w:beforeLines="50" w:before="156" w:afterLines="50" w:after="156" w:line="360" w:lineRule="auto"/>
        <w:jc w:val="both"/>
        <w:rPr>
          <w:rFonts w:ascii="Times New Roman" w:eastAsia="宋体" w:hAnsi="Times New Roman" w:cs="Times New Roman"/>
          <w:szCs w:val="22"/>
        </w:rPr>
      </w:pPr>
    </w:p>
    <w:p w14:paraId="3CFDA51B" w14:textId="77777777" w:rsidR="00BC0FED" w:rsidRDefault="00000000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szCs w:val="22"/>
        </w:rPr>
      </w:pPr>
      <w:r>
        <w:rPr>
          <w:rFonts w:ascii="Times New Roman" w:eastAsia="宋体" w:hAnsi="Times New Roman" w:cs="Times New Roman" w:hint="eastAsia"/>
          <w:b/>
          <w:bCs/>
          <w:szCs w:val="22"/>
        </w:rPr>
        <w:lastRenderedPageBreak/>
        <w:t xml:space="preserve">Supplementary </w:t>
      </w:r>
      <w:r>
        <w:rPr>
          <w:rFonts w:ascii="Times New Roman" w:eastAsia="宋体" w:hAnsi="Times New Roman" w:cs="Times New Roman"/>
          <w:b/>
          <w:bCs/>
          <w:szCs w:val="22"/>
        </w:rPr>
        <w:t>Table</w:t>
      </w:r>
      <w:r>
        <w:rPr>
          <w:rFonts w:ascii="Times New Roman" w:eastAsia="宋体" w:hAnsi="Times New Roman" w:cs="Times New Roman" w:hint="eastAsia"/>
          <w:b/>
          <w:bCs/>
          <w:szCs w:val="22"/>
        </w:rPr>
        <w:t xml:space="preserve"> S2</w:t>
      </w:r>
      <w:r>
        <w:rPr>
          <w:rFonts w:ascii="Times New Roman" w:eastAsia="宋体" w:hAnsi="Times New Roman" w:cs="Times New Roman"/>
          <w:b/>
          <w:bCs/>
          <w:szCs w:val="22"/>
        </w:rPr>
        <w:t>. Statistical analysis of changes in CD4/CD8 ratio</w:t>
      </w:r>
    </w:p>
    <w:tbl>
      <w:tblPr>
        <w:tblStyle w:val="aa"/>
        <w:tblW w:w="830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371"/>
        <w:gridCol w:w="1215"/>
        <w:gridCol w:w="1364"/>
        <w:gridCol w:w="1120"/>
        <w:gridCol w:w="1102"/>
        <w:gridCol w:w="976"/>
      </w:tblGrid>
      <w:tr w:rsidR="00BC0FED" w14:paraId="1B14C492" w14:textId="77777777">
        <w:trPr>
          <w:trHeight w:val="1122"/>
          <w:jc w:val="center"/>
        </w:trPr>
        <w:tc>
          <w:tcPr>
            <w:tcW w:w="118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B3DF69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9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8EC0D9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 xml:space="preserve">HIV Viral Load &gt; 50 copies/mL </w:t>
            </w:r>
          </w:p>
        </w:tc>
        <w:tc>
          <w:tcPr>
            <w:tcW w:w="2988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389086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 xml:space="preserve">HIV Viral Load &gt; 50 copies/mL </w:t>
            </w:r>
          </w:p>
        </w:tc>
      </w:tr>
      <w:tr w:rsidR="00BC0FED" w14:paraId="43EDEFBE" w14:textId="77777777">
        <w:trPr>
          <w:trHeight w:val="1122"/>
          <w:jc w:val="center"/>
        </w:trPr>
        <w:tc>
          <w:tcPr>
            <w:tcW w:w="11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C5C46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Time</w:t>
            </w:r>
          </w:p>
        </w:tc>
        <w:tc>
          <w:tcPr>
            <w:tcW w:w="143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0C28B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CD4/CD8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ratio</w:t>
            </w:r>
            <w:r>
              <w:rPr>
                <w:kern w:val="0"/>
                <w:sz w:val="18"/>
                <w:szCs w:val="18"/>
                <w14:ligatures w14:val="none"/>
              </w:rPr>
              <w:t>, median (Q1, Q3)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83B08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Median increase from baseline</w:t>
            </w:r>
          </w:p>
        </w:tc>
        <w:tc>
          <w:tcPr>
            <w:tcW w:w="14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180B2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The number and proportion of patients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with </w:t>
            </w:r>
            <w:r>
              <w:rPr>
                <w:kern w:val="0"/>
                <w:sz w:val="18"/>
                <w:szCs w:val="18"/>
                <w14:ligatures w14:val="none"/>
              </w:rPr>
              <w:t>CD4/CD8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ratio </w:t>
            </w:r>
            <w:r>
              <w:rPr>
                <w:kern w:val="0"/>
                <w:sz w:val="18"/>
                <w:szCs w:val="18"/>
                <w14:ligatures w14:val="none"/>
              </w:rPr>
              <w:t>≥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0.4, n (%)</w:t>
            </w:r>
          </w:p>
        </w:tc>
        <w:tc>
          <w:tcPr>
            <w:tcW w:w="11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7198E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CD4/CD8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ratio</w:t>
            </w:r>
            <w:r>
              <w:rPr>
                <w:kern w:val="0"/>
                <w:sz w:val="18"/>
                <w:szCs w:val="18"/>
                <w14:ligatures w14:val="none"/>
              </w:rPr>
              <w:t>, me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an </w:t>
            </w:r>
            <w:r>
              <w:rPr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SD</w:t>
            </w:r>
          </w:p>
        </w:tc>
        <w:tc>
          <w:tcPr>
            <w:tcW w:w="11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03FB2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Mean increase from baseline</w:t>
            </w:r>
          </w:p>
        </w:tc>
        <w:tc>
          <w:tcPr>
            <w:tcW w:w="6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C6350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The number and proportion of patients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with </w:t>
            </w:r>
            <w:r>
              <w:rPr>
                <w:kern w:val="0"/>
                <w:sz w:val="18"/>
                <w:szCs w:val="18"/>
                <w14:ligatures w14:val="none"/>
              </w:rPr>
              <w:t>CD4/CD8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ratio </w:t>
            </w:r>
            <w:r>
              <w:rPr>
                <w:kern w:val="0"/>
                <w:sz w:val="18"/>
                <w:szCs w:val="18"/>
                <w14:ligatures w14:val="none"/>
              </w:rPr>
              <w:t>≥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0.4, n (%)</w:t>
            </w:r>
          </w:p>
        </w:tc>
      </w:tr>
      <w:tr w:rsidR="00BC0FED" w14:paraId="13E53574" w14:textId="77777777">
        <w:trPr>
          <w:trHeight w:val="731"/>
          <w:jc w:val="center"/>
        </w:trPr>
        <w:tc>
          <w:tcPr>
            <w:tcW w:w="1189" w:type="dxa"/>
            <w:tcBorders>
              <w:top w:val="single" w:sz="8" w:space="0" w:color="auto"/>
            </w:tcBorders>
            <w:vAlign w:val="center"/>
          </w:tcPr>
          <w:p w14:paraId="1A131289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0 (Baseline)</w:t>
            </w:r>
          </w:p>
        </w:tc>
        <w:tc>
          <w:tcPr>
            <w:tcW w:w="1433" w:type="dxa"/>
            <w:tcBorders>
              <w:top w:val="single" w:sz="8" w:space="0" w:color="auto"/>
            </w:tcBorders>
            <w:vAlign w:val="center"/>
          </w:tcPr>
          <w:p w14:paraId="68BAC25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0.17 (0.08, 0.28)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5FBDB89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 xml:space="preserve"> --</w:t>
            </w:r>
          </w:p>
        </w:tc>
        <w:tc>
          <w:tcPr>
            <w:tcW w:w="1421" w:type="dxa"/>
            <w:tcBorders>
              <w:top w:val="single" w:sz="8" w:space="0" w:color="auto"/>
            </w:tcBorders>
            <w:vAlign w:val="center"/>
          </w:tcPr>
          <w:p w14:paraId="0C5FCC9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3 (9.09%)</w:t>
            </w:r>
          </w:p>
        </w:tc>
        <w:tc>
          <w:tcPr>
            <w:tcW w:w="1145" w:type="dxa"/>
            <w:tcBorders>
              <w:top w:val="single" w:sz="8" w:space="0" w:color="auto"/>
            </w:tcBorders>
          </w:tcPr>
          <w:p w14:paraId="523915E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0.42 </w:t>
            </w:r>
            <w:r>
              <w:rPr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 xml:space="preserve"> 0.23</w:t>
            </w:r>
          </w:p>
        </w:tc>
        <w:tc>
          <w:tcPr>
            <w:tcW w:w="1145" w:type="dxa"/>
            <w:tcBorders>
              <w:top w:val="single" w:sz="8" w:space="0" w:color="auto"/>
            </w:tcBorders>
          </w:tcPr>
          <w:p w14:paraId="730AE0B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--</w:t>
            </w:r>
          </w:p>
        </w:tc>
        <w:tc>
          <w:tcPr>
            <w:tcW w:w="698" w:type="dxa"/>
            <w:tcBorders>
              <w:top w:val="single" w:sz="8" w:space="0" w:color="auto"/>
            </w:tcBorders>
          </w:tcPr>
          <w:p w14:paraId="035CA2F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/>
                <w:kern w:val="0"/>
                <w:sz w:val="18"/>
                <w:szCs w:val="18"/>
                <w14:ligatures w14:val="none"/>
              </w:rPr>
              <w:t>--</w:t>
            </w:r>
          </w:p>
        </w:tc>
      </w:tr>
      <w:tr w:rsidR="00BC0FED" w14:paraId="4D2B7399" w14:textId="77777777">
        <w:trPr>
          <w:trHeight w:val="373"/>
          <w:jc w:val="center"/>
        </w:trPr>
        <w:tc>
          <w:tcPr>
            <w:tcW w:w="1189" w:type="dxa"/>
            <w:vAlign w:val="center"/>
          </w:tcPr>
          <w:p w14:paraId="5B40547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4</w:t>
            </w:r>
          </w:p>
        </w:tc>
        <w:tc>
          <w:tcPr>
            <w:tcW w:w="1433" w:type="dxa"/>
            <w:vAlign w:val="center"/>
          </w:tcPr>
          <w:p w14:paraId="4DF460D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0.22 (0.15, 0.41)</w:t>
            </w:r>
          </w:p>
        </w:tc>
        <w:tc>
          <w:tcPr>
            <w:tcW w:w="1275" w:type="dxa"/>
            <w:vAlign w:val="center"/>
          </w:tcPr>
          <w:p w14:paraId="3333361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1421" w:type="dxa"/>
            <w:vAlign w:val="center"/>
          </w:tcPr>
          <w:p w14:paraId="4EAF46CE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7 (21.21%)</w:t>
            </w:r>
          </w:p>
        </w:tc>
        <w:tc>
          <w:tcPr>
            <w:tcW w:w="1145" w:type="dxa"/>
          </w:tcPr>
          <w:p w14:paraId="353C31F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0.48 ± 0.33</w:t>
            </w:r>
          </w:p>
        </w:tc>
        <w:tc>
          <w:tcPr>
            <w:tcW w:w="1145" w:type="dxa"/>
          </w:tcPr>
          <w:p w14:paraId="615698F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0.06</w:t>
            </w:r>
          </w:p>
        </w:tc>
        <w:tc>
          <w:tcPr>
            <w:tcW w:w="698" w:type="dxa"/>
          </w:tcPr>
          <w:p w14:paraId="5238193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2 (9.52)</w:t>
            </w:r>
          </w:p>
        </w:tc>
      </w:tr>
      <w:tr w:rsidR="00BC0FED" w14:paraId="7E9E0821" w14:textId="77777777">
        <w:trPr>
          <w:trHeight w:val="373"/>
          <w:jc w:val="center"/>
        </w:trPr>
        <w:tc>
          <w:tcPr>
            <w:tcW w:w="1189" w:type="dxa"/>
            <w:vAlign w:val="center"/>
          </w:tcPr>
          <w:p w14:paraId="16FE85A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8</w:t>
            </w:r>
          </w:p>
        </w:tc>
        <w:tc>
          <w:tcPr>
            <w:tcW w:w="1433" w:type="dxa"/>
            <w:vAlign w:val="center"/>
          </w:tcPr>
          <w:p w14:paraId="3D5A460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0.28 (0.22, 0.39)</w:t>
            </w:r>
          </w:p>
        </w:tc>
        <w:tc>
          <w:tcPr>
            <w:tcW w:w="1275" w:type="dxa"/>
            <w:vAlign w:val="center"/>
          </w:tcPr>
          <w:p w14:paraId="4B3DB67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0.11</w:t>
            </w:r>
          </w:p>
        </w:tc>
        <w:tc>
          <w:tcPr>
            <w:tcW w:w="1421" w:type="dxa"/>
            <w:vAlign w:val="center"/>
          </w:tcPr>
          <w:p w14:paraId="198DBBF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7 (21.21%)</w:t>
            </w:r>
          </w:p>
        </w:tc>
        <w:tc>
          <w:tcPr>
            <w:tcW w:w="1145" w:type="dxa"/>
          </w:tcPr>
          <w:p w14:paraId="6D719AB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0.57 ± 0.28</w:t>
            </w:r>
          </w:p>
        </w:tc>
        <w:tc>
          <w:tcPr>
            <w:tcW w:w="1145" w:type="dxa"/>
          </w:tcPr>
          <w:p w14:paraId="3A488AF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0.15</w:t>
            </w:r>
          </w:p>
        </w:tc>
        <w:tc>
          <w:tcPr>
            <w:tcW w:w="698" w:type="dxa"/>
          </w:tcPr>
          <w:p w14:paraId="0C06DEC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4 (19.05)</w:t>
            </w:r>
          </w:p>
        </w:tc>
      </w:tr>
      <w:tr w:rsidR="00BC0FED" w14:paraId="1C9F3F0A" w14:textId="77777777">
        <w:trPr>
          <w:trHeight w:val="358"/>
          <w:jc w:val="center"/>
        </w:trPr>
        <w:tc>
          <w:tcPr>
            <w:tcW w:w="1189" w:type="dxa"/>
            <w:vAlign w:val="center"/>
          </w:tcPr>
          <w:p w14:paraId="0FAAD9E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Week 12</w:t>
            </w:r>
          </w:p>
        </w:tc>
        <w:tc>
          <w:tcPr>
            <w:tcW w:w="1433" w:type="dxa"/>
            <w:vAlign w:val="center"/>
          </w:tcPr>
          <w:p w14:paraId="2875DC1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0.34 (0.24, 0.42)</w:t>
            </w:r>
          </w:p>
        </w:tc>
        <w:tc>
          <w:tcPr>
            <w:tcW w:w="1275" w:type="dxa"/>
            <w:vAlign w:val="center"/>
          </w:tcPr>
          <w:p w14:paraId="4C8842A7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0.17</w:t>
            </w:r>
          </w:p>
        </w:tc>
        <w:tc>
          <w:tcPr>
            <w:tcW w:w="1421" w:type="dxa"/>
            <w:vAlign w:val="center"/>
          </w:tcPr>
          <w:p w14:paraId="2271EFA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10 (30.30%)</w:t>
            </w:r>
          </w:p>
        </w:tc>
        <w:tc>
          <w:tcPr>
            <w:tcW w:w="1145" w:type="dxa"/>
          </w:tcPr>
          <w:p w14:paraId="08031A6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0.51 ± 0.23</w:t>
            </w:r>
          </w:p>
        </w:tc>
        <w:tc>
          <w:tcPr>
            <w:tcW w:w="1145" w:type="dxa"/>
          </w:tcPr>
          <w:p w14:paraId="7A19BC1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0.09</w:t>
            </w:r>
          </w:p>
        </w:tc>
        <w:tc>
          <w:tcPr>
            <w:tcW w:w="698" w:type="dxa"/>
          </w:tcPr>
          <w:p w14:paraId="4852695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2 (9.52)</w:t>
            </w:r>
          </w:p>
        </w:tc>
      </w:tr>
    </w:tbl>
    <w:p w14:paraId="24422AB7" w14:textId="77777777" w:rsidR="00BC0FED" w:rsidRDefault="00BC0FED">
      <w:pPr>
        <w:spacing w:beforeLines="50" w:before="156" w:afterLines="50" w:after="156" w:line="360" w:lineRule="auto"/>
        <w:jc w:val="both"/>
        <w:rPr>
          <w:rFonts w:ascii="Times New Roman" w:eastAsia="宋体" w:hAnsi="Times New Roman" w:cs="Times New Roman"/>
          <w:szCs w:val="22"/>
        </w:rPr>
        <w:sectPr w:rsidR="00BC0F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96D7E48" w14:textId="77777777" w:rsidR="00BC0FED" w:rsidRDefault="00BC0FED">
      <w:pPr>
        <w:spacing w:beforeLines="50" w:before="156" w:afterLines="50" w:after="156" w:line="360" w:lineRule="auto"/>
        <w:jc w:val="both"/>
        <w:rPr>
          <w:rFonts w:ascii="Times New Roman" w:eastAsia="宋体" w:hAnsi="Times New Roman" w:cs="Times New Roman"/>
          <w:szCs w:val="22"/>
        </w:rPr>
      </w:pPr>
    </w:p>
    <w:p w14:paraId="189254CB" w14:textId="77777777" w:rsidR="00BC0FED" w:rsidRDefault="00000000">
      <w:pPr>
        <w:pStyle w:val="a9"/>
        <w:jc w:val="center"/>
        <w:rPr>
          <w:rFonts w:ascii="Times New Roman" w:hAnsi="Times New Roman" w:cs="Times New Roman"/>
          <w:b/>
          <w:bCs/>
          <w:sz w:val="22"/>
          <w:szCs w:val="22"/>
          <w:lang w:bidi="ar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szCs w:val="22"/>
        </w:rPr>
        <w:t xml:space="preserve">Supplementary </w:t>
      </w:r>
      <w:r>
        <w:rPr>
          <w:rFonts w:ascii="Times New Roman" w:hAnsi="Times New Roman" w:cs="Times New Roman"/>
          <w:b/>
          <w:bCs/>
          <w:szCs w:val="22"/>
        </w:rPr>
        <w:t>Table</w:t>
      </w:r>
      <w:r>
        <w:rPr>
          <w:rFonts w:ascii="Times New Roman" w:hAnsi="Times New Roman" w:cs="Times New Roman"/>
          <w:b/>
          <w:bCs/>
          <w:sz w:val="22"/>
          <w:szCs w:val="22"/>
          <w:lang w:bidi="ar"/>
          <w14:ligatures w14:val="standardContextual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  <w:lang w:bidi="ar"/>
          <w14:ligatures w14:val="standardContextual"/>
        </w:rPr>
        <w:t>S3</w:t>
      </w:r>
      <w:r>
        <w:rPr>
          <w:rFonts w:ascii="Times New Roman" w:hAnsi="Times New Roman" w:cs="Times New Roman"/>
          <w:b/>
          <w:bCs/>
          <w:sz w:val="22"/>
          <w:szCs w:val="22"/>
          <w:lang w:bidi="ar"/>
          <w14:ligatures w14:val="standardContextual"/>
        </w:rPr>
        <w:t xml:space="preserve">. Statistical analysis of tumor marker expression in patients with HIV-associated </w:t>
      </w:r>
      <w:r>
        <w:rPr>
          <w:rFonts w:ascii="Times New Roman" w:hAnsi="Times New Roman" w:cs="Times New Roman"/>
          <w:b/>
          <w:bCs/>
          <w:sz w:val="22"/>
          <w:szCs w:val="22"/>
        </w:rPr>
        <w:t>diffuse large B-cell lymphoma</w:t>
      </w:r>
    </w:p>
    <w:tbl>
      <w:tblPr>
        <w:tblStyle w:val="aa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779"/>
        <w:gridCol w:w="1357"/>
        <w:gridCol w:w="1234"/>
        <w:gridCol w:w="1356"/>
        <w:gridCol w:w="1234"/>
        <w:gridCol w:w="744"/>
        <w:gridCol w:w="778"/>
        <w:gridCol w:w="1356"/>
        <w:gridCol w:w="1234"/>
        <w:gridCol w:w="1356"/>
        <w:gridCol w:w="1234"/>
        <w:gridCol w:w="744"/>
      </w:tblGrid>
      <w:tr w:rsidR="00BC0FED" w14:paraId="6405638E" w14:textId="77777777">
        <w:trPr>
          <w:trHeight w:val="254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0CBB1E8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gridSpan w:val="6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174FA07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HIV Viral Load &gt; 50 copies/mL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FA8DC32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5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C145B74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HIV Viral Load &gt; 50 copies/mL</w:t>
            </w:r>
          </w:p>
        </w:tc>
      </w:tr>
      <w:tr w:rsidR="00BC0FED" w14:paraId="38A92347" w14:textId="77777777">
        <w:trPr>
          <w:trHeight w:val="269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C92683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D746F4" w14:textId="77777777" w:rsidR="00BC0FED" w:rsidRDefault="00BC0FED">
            <w:pPr>
              <w:spacing w:after="0" w:line="240" w:lineRule="auto"/>
              <w:ind w:left="75" w:hangingChars="50" w:hanging="75"/>
              <w:jc w:val="both"/>
              <w:rPr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C9F6E7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Week 0 (Baseline)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11C3D9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Week 12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93440E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P_value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A6C054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2D17EF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Week 0 (Baseline)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FBCEE4" w14:textId="77777777" w:rsidR="00BC0FED" w:rsidRDefault="00000000">
            <w:pPr>
              <w:spacing w:after="0" w:line="240" w:lineRule="auto"/>
              <w:jc w:val="center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Week 12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3CDAF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P_value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>e</w:t>
            </w:r>
          </w:p>
        </w:tc>
      </w:tr>
      <w:tr w:rsidR="00BC0FED" w14:paraId="3D0B7FEA" w14:textId="77777777">
        <w:trPr>
          <w:trHeight w:val="996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BB23B3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5559C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Positive case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60FEC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Percentage of positive cells (%) or expression intensity of biomarker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1B04F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Patients with expression &gt; threshold, n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995391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Percentage of positive cells (%) or expression intensity of biomarker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27961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Patients with expression &gt; threshold, n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B72928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B2DFB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Positive case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3C3C0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Percentage of positive cells (%) or expression intensity of biomarker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D7B14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Patients with expression &gt; threshold, n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B80D3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Percentage of positive cells (%) or expression intensity of biomarker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DFC17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Patients with expression &gt; threshold, n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0D949F" w14:textId="77777777" w:rsidR="00BC0FED" w:rsidRDefault="00BC0FED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5BD73B29" w14:textId="77777777">
        <w:trPr>
          <w:trHeight w:val="300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D36FA1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Ki-67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12431A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33 (100)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4916E4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90 (80, 95)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A40130C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19 (57.58)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 xml:space="preserve"> 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727A63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40 (30, 55)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720C41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3 (9.91)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 xml:space="preserve"> 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F0F184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&lt; 0.001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122E33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21 (100)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27367C9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83± 14.34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061435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11 (52.38) 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E6138B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38.1±15.04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2C9DC0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0 (0) 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50C16E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&lt; 0.001</w:t>
            </w:r>
          </w:p>
        </w:tc>
      </w:tr>
      <w:tr w:rsidR="00BC0FED" w14:paraId="034E72A2" w14:textId="77777777">
        <w:trPr>
          <w:trHeight w:val="386"/>
        </w:trPr>
        <w:tc>
          <w:tcPr>
            <w:tcW w:w="0" w:type="auto"/>
            <w:vAlign w:val="center"/>
          </w:tcPr>
          <w:p w14:paraId="6B058A47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C-myc</w:t>
            </w:r>
          </w:p>
        </w:tc>
        <w:tc>
          <w:tcPr>
            <w:tcW w:w="0" w:type="auto"/>
            <w:vAlign w:val="center"/>
          </w:tcPr>
          <w:p w14:paraId="4E96C5B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15 (45.45)</w:t>
            </w:r>
          </w:p>
        </w:tc>
        <w:tc>
          <w:tcPr>
            <w:tcW w:w="0" w:type="auto"/>
            <w:vAlign w:val="center"/>
          </w:tcPr>
          <w:p w14:paraId="092B19E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39.33 ± 25.83</w:t>
            </w:r>
          </w:p>
        </w:tc>
        <w:tc>
          <w:tcPr>
            <w:tcW w:w="0" w:type="auto"/>
            <w:vAlign w:val="center"/>
          </w:tcPr>
          <w:p w14:paraId="558D7D6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7 (46.67)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</w:tcPr>
          <w:p w14:paraId="30107AA9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20.67 ± 9.61</w:t>
            </w:r>
          </w:p>
        </w:tc>
        <w:tc>
          <w:tcPr>
            <w:tcW w:w="0" w:type="auto"/>
            <w:vAlign w:val="center"/>
          </w:tcPr>
          <w:p w14:paraId="033E7F9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 (6.67)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0" w:type="auto"/>
            <w:vAlign w:val="center"/>
          </w:tcPr>
          <w:p w14:paraId="0FB251D3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0.014</w:t>
            </w:r>
          </w:p>
        </w:tc>
        <w:tc>
          <w:tcPr>
            <w:tcW w:w="0" w:type="auto"/>
            <w:vAlign w:val="center"/>
          </w:tcPr>
          <w:p w14:paraId="46F9D07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6 (28.57)</w:t>
            </w:r>
          </w:p>
        </w:tc>
        <w:tc>
          <w:tcPr>
            <w:tcW w:w="0" w:type="auto"/>
            <w:vAlign w:val="center"/>
          </w:tcPr>
          <w:p w14:paraId="78BE3FC9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35.00 ± 13.78</w:t>
            </w:r>
          </w:p>
        </w:tc>
        <w:tc>
          <w:tcPr>
            <w:tcW w:w="0" w:type="auto"/>
            <w:vAlign w:val="center"/>
          </w:tcPr>
          <w:p w14:paraId="35A1FFD3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4 (66.67)b</w:t>
            </w:r>
          </w:p>
        </w:tc>
        <w:tc>
          <w:tcPr>
            <w:tcW w:w="0" w:type="auto"/>
            <w:vAlign w:val="center"/>
          </w:tcPr>
          <w:p w14:paraId="22E01A9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16.67 ± 12.11</w:t>
            </w:r>
          </w:p>
        </w:tc>
        <w:tc>
          <w:tcPr>
            <w:tcW w:w="0" w:type="auto"/>
            <w:vAlign w:val="center"/>
          </w:tcPr>
          <w:p w14:paraId="0A69040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 (16.67) b</w:t>
            </w:r>
          </w:p>
        </w:tc>
        <w:tc>
          <w:tcPr>
            <w:tcW w:w="0" w:type="auto"/>
            <w:vAlign w:val="center"/>
          </w:tcPr>
          <w:p w14:paraId="79CB321D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0.034</w:t>
            </w:r>
          </w:p>
        </w:tc>
      </w:tr>
      <w:tr w:rsidR="00BC0FED" w14:paraId="15A87DB4" w14:textId="77777777">
        <w:trPr>
          <w:trHeight w:val="325"/>
        </w:trPr>
        <w:tc>
          <w:tcPr>
            <w:tcW w:w="0" w:type="auto"/>
            <w:vAlign w:val="center"/>
          </w:tcPr>
          <w:p w14:paraId="73905A2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Bcl-2</w:t>
            </w:r>
          </w:p>
        </w:tc>
        <w:tc>
          <w:tcPr>
            <w:tcW w:w="0" w:type="auto"/>
            <w:vAlign w:val="center"/>
          </w:tcPr>
          <w:p w14:paraId="03DECDC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13 (39.39)</w:t>
            </w:r>
          </w:p>
        </w:tc>
        <w:tc>
          <w:tcPr>
            <w:tcW w:w="0" w:type="auto"/>
            <w:vAlign w:val="center"/>
          </w:tcPr>
          <w:p w14:paraId="15892CC7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 (1, 2)</w:t>
            </w:r>
          </w:p>
        </w:tc>
        <w:tc>
          <w:tcPr>
            <w:tcW w:w="0" w:type="auto"/>
            <w:vAlign w:val="center"/>
          </w:tcPr>
          <w:p w14:paraId="4A878DD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6 (46.15)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</w:tcPr>
          <w:p w14:paraId="4D58FF6B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 (1, 2)</w:t>
            </w:r>
          </w:p>
        </w:tc>
        <w:tc>
          <w:tcPr>
            <w:tcW w:w="0" w:type="auto"/>
            <w:vAlign w:val="center"/>
          </w:tcPr>
          <w:p w14:paraId="6A4B79F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3 (23.08)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6C921D17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0.228</w:t>
            </w:r>
          </w:p>
        </w:tc>
        <w:tc>
          <w:tcPr>
            <w:tcW w:w="0" w:type="auto"/>
            <w:vAlign w:val="center"/>
          </w:tcPr>
          <w:p w14:paraId="3C72F5F0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13 (61.90)</w:t>
            </w:r>
          </w:p>
        </w:tc>
        <w:tc>
          <w:tcPr>
            <w:tcW w:w="0" w:type="auto"/>
            <w:vAlign w:val="center"/>
          </w:tcPr>
          <w:p w14:paraId="2151D853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1.31±0.48</w:t>
            </w:r>
          </w:p>
        </w:tc>
        <w:tc>
          <w:tcPr>
            <w:tcW w:w="0" w:type="auto"/>
            <w:vAlign w:val="center"/>
          </w:tcPr>
          <w:p w14:paraId="5BE49D5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4 (30.77)c</w:t>
            </w:r>
          </w:p>
        </w:tc>
        <w:tc>
          <w:tcPr>
            <w:tcW w:w="0" w:type="auto"/>
            <w:vAlign w:val="center"/>
          </w:tcPr>
          <w:p w14:paraId="6C755E2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1.23 ± 0.44</w:t>
            </w:r>
          </w:p>
        </w:tc>
        <w:tc>
          <w:tcPr>
            <w:tcW w:w="0" w:type="auto"/>
            <w:vAlign w:val="center"/>
          </w:tcPr>
          <w:p w14:paraId="6DAB1EC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2 (15.38) c</w:t>
            </w:r>
          </w:p>
        </w:tc>
        <w:tc>
          <w:tcPr>
            <w:tcW w:w="0" w:type="auto"/>
            <w:vAlign w:val="center"/>
          </w:tcPr>
          <w:p w14:paraId="58C8426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0.674</w:t>
            </w:r>
          </w:p>
        </w:tc>
      </w:tr>
      <w:tr w:rsidR="00BC0FED" w14:paraId="3297BAC8" w14:textId="77777777">
        <w:trPr>
          <w:trHeight w:val="688"/>
        </w:trPr>
        <w:tc>
          <w:tcPr>
            <w:tcW w:w="0" w:type="auto"/>
            <w:vAlign w:val="center"/>
          </w:tcPr>
          <w:p w14:paraId="7BEB27C5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kern w:val="0"/>
                <w:sz w:val="18"/>
                <w:szCs w:val="18"/>
                <w14:ligatures w14:val="none"/>
              </w:rPr>
              <w:t>Bcl-6</w:t>
            </w:r>
          </w:p>
        </w:tc>
        <w:tc>
          <w:tcPr>
            <w:tcW w:w="0" w:type="auto"/>
            <w:vAlign w:val="center"/>
          </w:tcPr>
          <w:p w14:paraId="0761B86A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25 (75.76)</w:t>
            </w:r>
          </w:p>
        </w:tc>
        <w:tc>
          <w:tcPr>
            <w:tcW w:w="0" w:type="auto"/>
            <w:vAlign w:val="center"/>
          </w:tcPr>
          <w:p w14:paraId="4AEC7A1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2 (1, 3)</w:t>
            </w:r>
          </w:p>
        </w:tc>
        <w:tc>
          <w:tcPr>
            <w:tcW w:w="0" w:type="auto"/>
            <w:vAlign w:val="center"/>
          </w:tcPr>
          <w:p w14:paraId="6D15D94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15 (60.00)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>d</w:t>
            </w:r>
          </w:p>
        </w:tc>
        <w:tc>
          <w:tcPr>
            <w:tcW w:w="0" w:type="auto"/>
            <w:vAlign w:val="center"/>
          </w:tcPr>
          <w:p w14:paraId="7A3CF60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1 (1, 2)</w:t>
            </w:r>
          </w:p>
        </w:tc>
        <w:tc>
          <w:tcPr>
            <w:tcW w:w="0" w:type="auto"/>
            <w:vAlign w:val="center"/>
          </w:tcPr>
          <w:p w14:paraId="0FB70273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9 (36.00)</w:t>
            </w:r>
            <w:r>
              <w:rPr>
                <w:kern w:val="0"/>
                <w:sz w:val="15"/>
                <w:szCs w:val="15"/>
                <w:vertAlign w:val="superscript"/>
                <w14:ligatures w14:val="none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7AE5A727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5"/>
                <w:szCs w:val="15"/>
                <w14:ligatures w14:val="none"/>
              </w:rPr>
            </w:pPr>
            <w:r>
              <w:rPr>
                <w:kern w:val="0"/>
                <w:sz w:val="15"/>
                <w:szCs w:val="15"/>
                <w14:ligatures w14:val="none"/>
              </w:rPr>
              <w:t>0.039</w:t>
            </w:r>
          </w:p>
        </w:tc>
        <w:tc>
          <w:tcPr>
            <w:tcW w:w="0" w:type="auto"/>
            <w:vAlign w:val="center"/>
          </w:tcPr>
          <w:p w14:paraId="574A77E8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17 (80.95)</w:t>
            </w:r>
          </w:p>
        </w:tc>
        <w:tc>
          <w:tcPr>
            <w:tcW w:w="0" w:type="auto"/>
            <w:vAlign w:val="center"/>
          </w:tcPr>
          <w:p w14:paraId="5EE6D91E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1.59 ± 0.71</w:t>
            </w:r>
          </w:p>
        </w:tc>
        <w:tc>
          <w:tcPr>
            <w:tcW w:w="0" w:type="auto"/>
            <w:vAlign w:val="center"/>
          </w:tcPr>
          <w:p w14:paraId="59244BEF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8 (47.06)d</w:t>
            </w:r>
          </w:p>
        </w:tc>
        <w:tc>
          <w:tcPr>
            <w:tcW w:w="0" w:type="auto"/>
            <w:vAlign w:val="center"/>
          </w:tcPr>
          <w:p w14:paraId="6081E936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1.29 ± 0.47</w:t>
            </w:r>
          </w:p>
        </w:tc>
        <w:tc>
          <w:tcPr>
            <w:tcW w:w="0" w:type="auto"/>
            <w:vAlign w:val="center"/>
          </w:tcPr>
          <w:p w14:paraId="72DCB134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5 (29.41) d</w:t>
            </w:r>
          </w:p>
        </w:tc>
        <w:tc>
          <w:tcPr>
            <w:tcW w:w="0" w:type="auto"/>
            <w:vAlign w:val="center"/>
          </w:tcPr>
          <w:p w14:paraId="17870A02" w14:textId="77777777" w:rsidR="00BC0FED" w:rsidRDefault="00000000">
            <w:pPr>
              <w:spacing w:after="0" w:line="240" w:lineRule="auto"/>
              <w:jc w:val="both"/>
              <w:rPr>
                <w:kern w:val="0"/>
                <w:sz w:val="13"/>
                <w:szCs w:val="13"/>
                <w14:ligatures w14:val="none"/>
              </w:rPr>
            </w:pPr>
            <w:r>
              <w:rPr>
                <w:kern w:val="0"/>
                <w:sz w:val="13"/>
                <w:szCs w:val="13"/>
                <w14:ligatures w14:val="none"/>
              </w:rPr>
              <w:t>0.165</w:t>
            </w:r>
          </w:p>
        </w:tc>
      </w:tr>
    </w:tbl>
    <w:p w14:paraId="01E54C26" w14:textId="77777777" w:rsidR="00BC0FED" w:rsidRDefault="00000000">
      <w:pPr>
        <w:pStyle w:val="a9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Notes: a) For Ki-67 expression, the number of patients with a positive cell percentage </w:t>
      </w:r>
      <w:r>
        <w:rPr>
          <w:rFonts w:ascii="Times New Roman" w:hAnsi="Times New Roman" w:cs="Times New Roman" w:hint="eastAsia"/>
          <w:i/>
          <w:iCs/>
          <w:sz w:val="16"/>
          <w:szCs w:val="16"/>
        </w:rPr>
        <w:t>≥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90% was recorded; the proportion represents these high-expression cases relative to the total number of Ki-67-positive patients.</w:t>
      </w:r>
    </w:p>
    <w:p w14:paraId="54A6F7D7" w14:textId="77777777" w:rsidR="00BC0FED" w:rsidRDefault="00000000">
      <w:pPr>
        <w:pStyle w:val="a9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b) Regarding C-myc expression, the number of patients with </w:t>
      </w:r>
      <w:r>
        <w:rPr>
          <w:rFonts w:ascii="Times New Roman" w:hAnsi="Times New Roman" w:cs="Times New Roman" w:hint="eastAsia"/>
          <w:i/>
          <w:iCs/>
          <w:sz w:val="16"/>
          <w:szCs w:val="16"/>
        </w:rPr>
        <w:t>≥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40% positive cells was quantified; this proportion was calculated relative to the total number of C-myc-positive patients.</w:t>
      </w:r>
    </w:p>
    <w:p w14:paraId="247EC921" w14:textId="77777777" w:rsidR="00BC0FED" w:rsidRDefault="00000000">
      <w:pPr>
        <w:widowControl/>
        <w:spacing w:after="0" w:line="240" w:lineRule="auto"/>
        <w:jc w:val="both"/>
        <w:rPr>
          <w:rFonts w:ascii="Times New Roman" w:eastAsia="宋体" w:hAnsi="Times New Roman" w:cs="Times New Roman"/>
          <w:i/>
          <w:iCs/>
          <w:kern w:val="0"/>
          <w:sz w:val="16"/>
          <w:szCs w:val="16"/>
          <w14:ligatures w14:val="none"/>
        </w:rPr>
      </w:pPr>
      <w:r>
        <w:rPr>
          <w:rFonts w:ascii="Times New Roman" w:eastAsia="宋体" w:hAnsi="Times New Roman" w:cs="Times New Roman"/>
          <w:i/>
          <w:iCs/>
          <w:kern w:val="0"/>
          <w:sz w:val="16"/>
          <w:szCs w:val="16"/>
          <w14:ligatures w14:val="none"/>
        </w:rPr>
        <w:t xml:space="preserve">c) Regarding Bcl-2 expression, the number of patients with an expression intensity score </w:t>
      </w:r>
      <w:r>
        <w:rPr>
          <w:rFonts w:ascii="Times New Roman" w:hAnsi="Times New Roman" w:cs="Times New Roman" w:hint="eastAsia"/>
          <w:i/>
          <w:iCs/>
          <w:sz w:val="16"/>
          <w:szCs w:val="16"/>
        </w:rPr>
        <w:t>≥</w:t>
      </w:r>
      <w:r>
        <w:rPr>
          <w:rFonts w:ascii="Times New Roman" w:eastAsia="宋体" w:hAnsi="Times New Roman" w:cs="Times New Roman"/>
          <w:i/>
          <w:iCs/>
          <w:kern w:val="0"/>
          <w:sz w:val="16"/>
          <w:szCs w:val="16"/>
          <w14:ligatures w14:val="none"/>
        </w:rPr>
        <w:t xml:space="preserve"> 2 was recorded; the proportion represents these cases relative to the total number of Bcl-2-positive patients</w:t>
      </w:r>
    </w:p>
    <w:p w14:paraId="2EF6AF30" w14:textId="77777777" w:rsidR="00BC0FED" w:rsidRDefault="00000000">
      <w:pPr>
        <w:pStyle w:val="a9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 w:hint="eastAsia"/>
          <w:i/>
          <w:iCs/>
          <w:sz w:val="16"/>
          <w:szCs w:val="16"/>
        </w:rPr>
        <w:t xml:space="preserve">d) For Bcl-6 expression, the number of patients with an intensity score </w:t>
      </w:r>
      <w:r>
        <w:rPr>
          <w:rFonts w:ascii="Times New Roman" w:hAnsi="Times New Roman" w:cs="Times New Roman" w:hint="eastAsia"/>
          <w:i/>
          <w:iCs/>
          <w:sz w:val="16"/>
          <w:szCs w:val="16"/>
        </w:rPr>
        <w:t>≥</w:t>
      </w:r>
      <w:r>
        <w:rPr>
          <w:rFonts w:ascii="Times New Roman" w:hAnsi="Times New Roman" w:cs="Times New Roman" w:hint="eastAsia"/>
          <w:i/>
          <w:iCs/>
          <w:sz w:val="16"/>
          <w:szCs w:val="16"/>
        </w:rPr>
        <w:t xml:space="preserve"> 2 was recorded; the proportion represents these cases relative to the total number of Bcl-6-positive patients. </w:t>
      </w:r>
    </w:p>
    <w:p w14:paraId="48AB80C1" w14:textId="77777777" w:rsidR="00BC0FED" w:rsidRDefault="00000000">
      <w:pPr>
        <w:pStyle w:val="a9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16"/>
          <w:szCs w:val="16"/>
        </w:rPr>
        <w:sectPr w:rsidR="00BC0FE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i/>
          <w:iCs/>
          <w:sz w:val="16"/>
          <w:szCs w:val="16"/>
        </w:rPr>
        <w:t>e) P values denote the statistical significance of changes in positive cell percentages or marker expression intensities between Week 12 and Week 0. Data following a normal distribution are presented as Mean ± SD and were analyzed using the Student's t-test. Non-normally distributed data are expressed as Median (Q1, Q3), with paired longitudinal comparisons performed using the Wilcoxon signed-rank test.</w:t>
      </w:r>
    </w:p>
    <w:p w14:paraId="76774E6B" w14:textId="77777777" w:rsidR="00BC0FED" w:rsidRDefault="00BC0FED">
      <w:pPr>
        <w:widowControl/>
        <w:spacing w:beforeLines="50" w:before="156" w:afterLines="50" w:after="156" w:line="360" w:lineRule="auto"/>
        <w:jc w:val="both"/>
        <w:rPr>
          <w:rFonts w:ascii="Times New Roman" w:eastAsia="宋体" w:hAnsi="Times New Roman" w:cs="Times New Roman"/>
          <w:kern w:val="0"/>
          <w:szCs w:val="22"/>
          <w:lang w:bidi="ar"/>
        </w:rPr>
      </w:pPr>
    </w:p>
    <w:p w14:paraId="5A0844B3" w14:textId="77777777" w:rsidR="00BC0FED" w:rsidRDefault="00000000">
      <w:pPr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szCs w:val="22"/>
          <w:shd w:val="clear" w:color="auto" w:fill="FFFFFF"/>
        </w:rPr>
      </w:pPr>
      <w:r>
        <w:rPr>
          <w:rFonts w:ascii="Times New Roman" w:eastAsia="宋体" w:hAnsi="Times New Roman" w:cs="Times New Roman" w:hint="eastAsia"/>
          <w:b/>
          <w:bCs/>
          <w:szCs w:val="22"/>
        </w:rPr>
        <w:t xml:space="preserve">Supplementary </w:t>
      </w:r>
      <w:r>
        <w:rPr>
          <w:rFonts w:ascii="Times New Roman" w:eastAsia="宋体" w:hAnsi="Times New Roman" w:cs="Times New Roman"/>
          <w:b/>
          <w:bCs/>
          <w:szCs w:val="22"/>
        </w:rPr>
        <w:t>Table</w:t>
      </w:r>
      <w:r>
        <w:rPr>
          <w:rFonts w:ascii="Times New Roman" w:eastAsia="宋体" w:hAnsi="Times New Roman" w:cs="Times New Roman" w:hint="eastAsia"/>
          <w:b/>
          <w:bCs/>
          <w:szCs w:val="22"/>
        </w:rPr>
        <w:t xml:space="preserve"> S4</w:t>
      </w:r>
      <w:r>
        <w:rPr>
          <w:rFonts w:ascii="Times New Roman" w:eastAsia="宋体" w:hAnsi="Times New Roman" w:cs="Times New Roman"/>
          <w:b/>
          <w:bCs/>
          <w:szCs w:val="22"/>
        </w:rPr>
        <w:t xml:space="preserve">. Baseline demographic and clinical characteristics of </w:t>
      </w:r>
      <w:r>
        <w:rPr>
          <w:rFonts w:ascii="Times New Roman" w:eastAsia="宋体" w:hAnsi="Times New Roman" w:cs="Times New Roman" w:hint="eastAsia"/>
          <w:b/>
          <w:bCs/>
          <w:szCs w:val="22"/>
        </w:rPr>
        <w:t>non-ABT control cohort</w:t>
      </w:r>
    </w:p>
    <w:tbl>
      <w:tblPr>
        <w:tblW w:w="830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494"/>
      </w:tblGrid>
      <w:tr w:rsidR="00BC0FED" w14:paraId="196EC087" w14:textId="77777777">
        <w:trPr>
          <w:trHeight w:val="315"/>
          <w:jc w:val="center"/>
        </w:trPr>
        <w:tc>
          <w:tcPr>
            <w:tcW w:w="354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A405B2D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61F68026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Survival (N = 24)</w:t>
            </w:r>
          </w:p>
        </w:tc>
        <w:tc>
          <w:tcPr>
            <w:tcW w:w="2494" w:type="dxa"/>
            <w:tcBorders>
              <w:top w:val="single" w:sz="12" w:space="0" w:color="auto"/>
              <w:bottom w:val="single" w:sz="8" w:space="0" w:color="auto"/>
            </w:tcBorders>
          </w:tcPr>
          <w:p w14:paraId="489F117D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Death (N = 25)</w:t>
            </w:r>
          </w:p>
        </w:tc>
      </w:tr>
      <w:tr w:rsidR="00BC0FED" w14:paraId="43754B76" w14:textId="77777777">
        <w:trPr>
          <w:trHeight w:val="315"/>
          <w:jc w:val="center"/>
        </w:trPr>
        <w:tc>
          <w:tcPr>
            <w:tcW w:w="3544" w:type="dxa"/>
            <w:tcBorders>
              <w:top w:val="single" w:sz="8" w:space="0" w:color="auto"/>
            </w:tcBorders>
            <w:noWrap/>
            <w:vAlign w:val="center"/>
          </w:tcPr>
          <w:p w14:paraId="48DCC5E5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Age, years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58A0CDA3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47.00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± 11.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2494" w:type="dxa"/>
            <w:tcBorders>
              <w:top w:val="single" w:sz="8" w:space="0" w:color="auto"/>
            </w:tcBorders>
          </w:tcPr>
          <w:p w14:paraId="2BFDD230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 xml:space="preserve">45.61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 xml:space="preserve"> 10.91</w:t>
            </w:r>
          </w:p>
        </w:tc>
      </w:tr>
      <w:tr w:rsidR="00BC0FED" w14:paraId="78804953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05DCC769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Gender, n (%)</w:t>
            </w:r>
          </w:p>
        </w:tc>
        <w:tc>
          <w:tcPr>
            <w:tcW w:w="2268" w:type="dxa"/>
            <w:noWrap/>
            <w:vAlign w:val="center"/>
          </w:tcPr>
          <w:p w14:paraId="01DABCF2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94" w:type="dxa"/>
          </w:tcPr>
          <w:p w14:paraId="3F8F536D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73029876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6C89E5FE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2268" w:type="dxa"/>
            <w:noWrap/>
            <w:vAlign w:val="center"/>
          </w:tcPr>
          <w:p w14:paraId="01493065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9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25.00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6FD2548D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 (12.00)</w:t>
            </w:r>
          </w:p>
        </w:tc>
      </w:tr>
      <w:tr w:rsidR="00BC0FED" w14:paraId="21A955F8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459FDA2F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2268" w:type="dxa"/>
            <w:noWrap/>
            <w:vAlign w:val="center"/>
          </w:tcPr>
          <w:p w14:paraId="20820588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75.00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371AFEAF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22 (88.00)</w:t>
            </w:r>
          </w:p>
        </w:tc>
      </w:tr>
      <w:tr w:rsidR="00BC0FED" w14:paraId="5FEC2122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7853CF20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HIV viral load (log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  <w14:ligatures w14:val="none"/>
              </w:rPr>
              <w:t xml:space="preserve">10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copies/mL)</w:t>
            </w:r>
          </w:p>
        </w:tc>
        <w:tc>
          <w:tcPr>
            <w:tcW w:w="2268" w:type="dxa"/>
            <w:noWrap/>
            <w:vAlign w:val="center"/>
          </w:tcPr>
          <w:p w14:paraId="423DFC2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 xml:space="preserve">3.20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1.67</w:t>
            </w:r>
          </w:p>
        </w:tc>
        <w:tc>
          <w:tcPr>
            <w:tcW w:w="2494" w:type="dxa"/>
          </w:tcPr>
          <w:p w14:paraId="5EFE616B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3.45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1.67</w:t>
            </w:r>
          </w:p>
        </w:tc>
      </w:tr>
      <w:tr w:rsidR="00BC0FED" w14:paraId="508C73C2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00BFF856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HIV viral load, n (%)</w:t>
            </w:r>
          </w:p>
        </w:tc>
        <w:tc>
          <w:tcPr>
            <w:tcW w:w="2268" w:type="dxa"/>
            <w:noWrap/>
            <w:vAlign w:val="center"/>
          </w:tcPr>
          <w:p w14:paraId="5FA6ACB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94" w:type="dxa"/>
          </w:tcPr>
          <w:p w14:paraId="183BFE03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51980B80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3741BBEF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&lt; 100,000</w:t>
            </w:r>
          </w:p>
        </w:tc>
        <w:tc>
          <w:tcPr>
            <w:tcW w:w="2268" w:type="dxa"/>
            <w:noWrap/>
            <w:vAlign w:val="center"/>
          </w:tcPr>
          <w:p w14:paraId="6FD38D39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87.50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21DDB5E6" w14:textId="77777777" w:rsidR="00BC0FED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17 (56.00)</w:t>
            </w:r>
          </w:p>
        </w:tc>
      </w:tr>
      <w:tr w:rsidR="00BC0FED" w14:paraId="02349036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50FE0A43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≥100,000</w:t>
            </w:r>
          </w:p>
        </w:tc>
        <w:tc>
          <w:tcPr>
            <w:tcW w:w="2268" w:type="dxa"/>
            <w:noWrap/>
            <w:vAlign w:val="center"/>
          </w:tcPr>
          <w:p w14:paraId="3CDC813C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12.50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7256ACEA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8 (32.00)</w:t>
            </w:r>
          </w:p>
        </w:tc>
      </w:tr>
      <w:tr w:rsidR="00BC0FED" w14:paraId="73ACC10B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358D1D3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CD4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T cell count (Cells/μL)</w:t>
            </w:r>
          </w:p>
        </w:tc>
        <w:tc>
          <w:tcPr>
            <w:tcW w:w="2268" w:type="dxa"/>
            <w:noWrap/>
            <w:vAlign w:val="center"/>
          </w:tcPr>
          <w:p w14:paraId="01A5B5C7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181.00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131.50</w:t>
            </w:r>
          </w:p>
        </w:tc>
        <w:tc>
          <w:tcPr>
            <w:tcW w:w="2494" w:type="dxa"/>
          </w:tcPr>
          <w:p w14:paraId="4D3B36A9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119.11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103.13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　</w:t>
            </w:r>
          </w:p>
        </w:tc>
      </w:tr>
      <w:tr w:rsidR="00BC0FED" w14:paraId="1D1B4D91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4576AB85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CD4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T cell count, n (%)</w:t>
            </w:r>
          </w:p>
        </w:tc>
        <w:tc>
          <w:tcPr>
            <w:tcW w:w="2268" w:type="dxa"/>
            <w:noWrap/>
            <w:vAlign w:val="center"/>
          </w:tcPr>
          <w:p w14:paraId="749EF623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94" w:type="dxa"/>
          </w:tcPr>
          <w:p w14:paraId="1155A157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5867E8C8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3B7B67AD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&lt; 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2268" w:type="dxa"/>
            <w:noWrap/>
            <w:vAlign w:val="center"/>
          </w:tcPr>
          <w:p w14:paraId="084533F0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(58.33)</w:t>
            </w:r>
          </w:p>
        </w:tc>
        <w:tc>
          <w:tcPr>
            <w:tcW w:w="2494" w:type="dxa"/>
          </w:tcPr>
          <w:p w14:paraId="61E63ABA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19 (76.00)</w:t>
            </w:r>
          </w:p>
        </w:tc>
      </w:tr>
      <w:tr w:rsidR="00BC0FED" w14:paraId="2FD26711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255A1A1F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≥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00</w:t>
            </w:r>
          </w:p>
        </w:tc>
        <w:tc>
          <w:tcPr>
            <w:tcW w:w="2268" w:type="dxa"/>
            <w:noWrap/>
            <w:vAlign w:val="center"/>
          </w:tcPr>
          <w:p w14:paraId="0CA8EC75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41.67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47840C23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6 (24.00)</w:t>
            </w:r>
          </w:p>
        </w:tc>
      </w:tr>
      <w:tr w:rsidR="00BC0FED" w14:paraId="57B32A35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35C8D48A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CD4/CD8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T</w:t>
            </w:r>
          </w:p>
        </w:tc>
        <w:tc>
          <w:tcPr>
            <w:tcW w:w="2268" w:type="dxa"/>
            <w:noWrap/>
            <w:vAlign w:val="center"/>
          </w:tcPr>
          <w:p w14:paraId="748E720B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± 0.1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494" w:type="dxa"/>
          </w:tcPr>
          <w:p w14:paraId="17BA0DE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20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± 0.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17</w:t>
            </w:r>
          </w:p>
        </w:tc>
      </w:tr>
      <w:tr w:rsidR="00BC0FED" w14:paraId="29CA4E1F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0F67194F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CD4/CD8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T, n (%)</w:t>
            </w:r>
          </w:p>
        </w:tc>
        <w:tc>
          <w:tcPr>
            <w:tcW w:w="2268" w:type="dxa"/>
            <w:noWrap/>
            <w:vAlign w:val="center"/>
          </w:tcPr>
          <w:p w14:paraId="0142AE5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94" w:type="dxa"/>
          </w:tcPr>
          <w:p w14:paraId="7625F8E5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189E5246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5123D40D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&lt; 0.2</w:t>
            </w:r>
          </w:p>
        </w:tc>
        <w:tc>
          <w:tcPr>
            <w:tcW w:w="2268" w:type="dxa"/>
            <w:noWrap/>
            <w:vAlign w:val="center"/>
          </w:tcPr>
          <w:p w14:paraId="668AD9ED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25.00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77D745D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15 (60.00)</w:t>
            </w:r>
          </w:p>
        </w:tc>
      </w:tr>
      <w:tr w:rsidR="00BC0FED" w14:paraId="3360DA06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0CC6F7E9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≥0.2</w:t>
            </w:r>
          </w:p>
        </w:tc>
        <w:tc>
          <w:tcPr>
            <w:tcW w:w="2268" w:type="dxa"/>
            <w:noWrap/>
            <w:vAlign w:val="center"/>
          </w:tcPr>
          <w:p w14:paraId="48216D20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75.00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45644967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10 (40.00)</w:t>
            </w:r>
          </w:p>
        </w:tc>
      </w:tr>
      <w:tr w:rsidR="00BC0FED" w14:paraId="2F3D5597" w14:textId="77777777">
        <w:trPr>
          <w:trHeight w:val="315"/>
          <w:jc w:val="center"/>
        </w:trPr>
        <w:tc>
          <w:tcPr>
            <w:tcW w:w="3544" w:type="dxa"/>
            <w:noWrap/>
          </w:tcPr>
          <w:p w14:paraId="2598D759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Type of DLBCL (%)</w:t>
            </w:r>
          </w:p>
        </w:tc>
        <w:tc>
          <w:tcPr>
            <w:tcW w:w="2268" w:type="dxa"/>
            <w:noWrap/>
          </w:tcPr>
          <w:p w14:paraId="738A2987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2494" w:type="dxa"/>
          </w:tcPr>
          <w:p w14:paraId="166802BA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167FF191" w14:textId="77777777">
        <w:trPr>
          <w:trHeight w:val="315"/>
          <w:jc w:val="center"/>
        </w:trPr>
        <w:tc>
          <w:tcPr>
            <w:tcW w:w="3544" w:type="dxa"/>
            <w:noWrap/>
          </w:tcPr>
          <w:p w14:paraId="5F094849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Germinal center B-cell-like</w:t>
            </w:r>
          </w:p>
        </w:tc>
        <w:tc>
          <w:tcPr>
            <w:tcW w:w="2268" w:type="dxa"/>
            <w:noWrap/>
          </w:tcPr>
          <w:p w14:paraId="02270ED6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 (66.67)</w:t>
            </w:r>
          </w:p>
        </w:tc>
        <w:tc>
          <w:tcPr>
            <w:tcW w:w="2494" w:type="dxa"/>
          </w:tcPr>
          <w:p w14:paraId="2F70D3F4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(88.00)</w:t>
            </w:r>
          </w:p>
        </w:tc>
      </w:tr>
      <w:tr w:rsidR="00BC0FED" w14:paraId="67A8DC2C" w14:textId="77777777">
        <w:trPr>
          <w:trHeight w:val="315"/>
          <w:jc w:val="center"/>
        </w:trPr>
        <w:tc>
          <w:tcPr>
            <w:tcW w:w="3544" w:type="dxa"/>
            <w:noWrap/>
          </w:tcPr>
          <w:p w14:paraId="4562FB74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Non-germinal center B-cell-like</w:t>
            </w:r>
          </w:p>
        </w:tc>
        <w:tc>
          <w:tcPr>
            <w:tcW w:w="2268" w:type="dxa"/>
            <w:noWrap/>
          </w:tcPr>
          <w:p w14:paraId="01555854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(33.33)</w:t>
            </w:r>
          </w:p>
        </w:tc>
        <w:tc>
          <w:tcPr>
            <w:tcW w:w="2494" w:type="dxa"/>
          </w:tcPr>
          <w:p w14:paraId="422A310F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(12.00)</w:t>
            </w:r>
          </w:p>
        </w:tc>
      </w:tr>
      <w:tr w:rsidR="00BC0FED" w14:paraId="0DEA7353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5413737A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ART, n (%)</w:t>
            </w:r>
          </w:p>
        </w:tc>
        <w:tc>
          <w:tcPr>
            <w:tcW w:w="2268" w:type="dxa"/>
            <w:noWrap/>
            <w:vAlign w:val="center"/>
          </w:tcPr>
          <w:p w14:paraId="0941F3F4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94" w:type="dxa"/>
          </w:tcPr>
          <w:p w14:paraId="423888F2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2AB0135D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7656EE99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INSTI</w:t>
            </w:r>
          </w:p>
        </w:tc>
        <w:tc>
          <w:tcPr>
            <w:tcW w:w="2268" w:type="dxa"/>
            <w:noWrap/>
            <w:vAlign w:val="center"/>
          </w:tcPr>
          <w:p w14:paraId="000C4D4F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37.50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72FE8E90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12 (48.00)</w:t>
            </w:r>
          </w:p>
        </w:tc>
      </w:tr>
      <w:tr w:rsidR="00BC0FED" w14:paraId="2C77D0C1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3FE3B160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NNRTI</w:t>
            </w:r>
          </w:p>
        </w:tc>
        <w:tc>
          <w:tcPr>
            <w:tcW w:w="2268" w:type="dxa"/>
            <w:noWrap/>
            <w:vAlign w:val="center"/>
          </w:tcPr>
          <w:p w14:paraId="1D187A82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33.33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4F207D68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9 (36.00)</w:t>
            </w:r>
          </w:p>
        </w:tc>
      </w:tr>
      <w:tr w:rsidR="00BC0FED" w14:paraId="39BBCBC3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0B904B04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Protease Inhibitor</w:t>
            </w:r>
          </w:p>
        </w:tc>
        <w:tc>
          <w:tcPr>
            <w:tcW w:w="2268" w:type="dxa"/>
            <w:noWrap/>
            <w:vAlign w:val="center"/>
          </w:tcPr>
          <w:p w14:paraId="399A9632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7 (29.17)</w:t>
            </w:r>
          </w:p>
        </w:tc>
        <w:tc>
          <w:tcPr>
            <w:tcW w:w="2494" w:type="dxa"/>
          </w:tcPr>
          <w:p w14:paraId="7A80C969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4 (16.00)</w:t>
            </w:r>
          </w:p>
        </w:tc>
      </w:tr>
      <w:tr w:rsidR="00BC0FED" w14:paraId="1CFB47CC" w14:textId="77777777">
        <w:trPr>
          <w:trHeight w:val="315"/>
          <w:jc w:val="center"/>
        </w:trPr>
        <w:tc>
          <w:tcPr>
            <w:tcW w:w="3544" w:type="dxa"/>
            <w:noWrap/>
            <w:vAlign w:val="center"/>
          </w:tcPr>
          <w:p w14:paraId="7484D32D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Antitumor therapy, n (%)</w:t>
            </w:r>
          </w:p>
        </w:tc>
        <w:tc>
          <w:tcPr>
            <w:tcW w:w="2268" w:type="dxa"/>
            <w:noWrap/>
            <w:vAlign w:val="center"/>
          </w:tcPr>
          <w:p w14:paraId="26A64F4C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494" w:type="dxa"/>
          </w:tcPr>
          <w:p w14:paraId="553CEA74" w14:textId="77777777" w:rsidR="00BC0FED" w:rsidRDefault="00BC0FE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C0FED" w14:paraId="08901AF5" w14:textId="77777777">
        <w:trPr>
          <w:trHeight w:val="315"/>
          <w:jc w:val="center"/>
        </w:trPr>
        <w:tc>
          <w:tcPr>
            <w:tcW w:w="3544" w:type="dxa"/>
            <w:noWrap/>
            <w:vAlign w:val="bottom"/>
          </w:tcPr>
          <w:p w14:paraId="6EFE26E9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R-EPOCH/EPOCH</w:t>
            </w:r>
          </w:p>
        </w:tc>
        <w:tc>
          <w:tcPr>
            <w:tcW w:w="2268" w:type="dxa"/>
            <w:noWrap/>
            <w:vAlign w:val="center"/>
          </w:tcPr>
          <w:p w14:paraId="2727B5A0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 xml:space="preserve">5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20.83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396F9411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5 (20.00)</w:t>
            </w:r>
          </w:p>
        </w:tc>
      </w:tr>
      <w:tr w:rsidR="00BC0FED" w14:paraId="0D251ECC" w14:textId="77777777">
        <w:trPr>
          <w:trHeight w:val="315"/>
          <w:jc w:val="center"/>
        </w:trPr>
        <w:tc>
          <w:tcPr>
            <w:tcW w:w="3544" w:type="dxa"/>
            <w:noWrap/>
            <w:vAlign w:val="bottom"/>
          </w:tcPr>
          <w:p w14:paraId="1B66E71F" w14:textId="77777777" w:rsidR="00BC0FED" w:rsidRDefault="00000000">
            <w:pPr>
              <w:widowControl/>
              <w:spacing w:after="0" w:line="240" w:lineRule="auto"/>
              <w:ind w:firstLineChars="100" w:firstLine="180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R-CHOP/CHOP </w:t>
            </w:r>
          </w:p>
        </w:tc>
        <w:tc>
          <w:tcPr>
            <w:tcW w:w="2268" w:type="dxa"/>
            <w:noWrap/>
            <w:vAlign w:val="center"/>
          </w:tcPr>
          <w:p w14:paraId="55BD59FD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19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79.17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494" w:type="dxa"/>
          </w:tcPr>
          <w:p w14:paraId="5C3234EC" w14:textId="77777777" w:rsidR="00BC0FED" w:rsidRDefault="00000000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14:ligatures w14:val="none"/>
              </w:rPr>
              <w:t>20 (80.00)</w:t>
            </w:r>
          </w:p>
        </w:tc>
      </w:tr>
    </w:tbl>
    <w:p w14:paraId="641B4283" w14:textId="77777777" w:rsidR="00BC0FED" w:rsidRDefault="00000000">
      <w:pPr>
        <w:widowControl/>
        <w:jc w:val="both"/>
        <w:rPr>
          <w:rFonts w:ascii="Times New Roman" w:eastAsia="宋体" w:hAnsi="Times New Roman" w:cs="Times New Roman"/>
          <w:i/>
          <w:iCs/>
          <w:szCs w:val="22"/>
        </w:rPr>
      </w:pPr>
      <w:r>
        <w:rPr>
          <w:rFonts w:ascii="Times New Roman" w:eastAsia="宋体" w:hAnsi="Times New Roman" w:cs="Times New Roman"/>
          <w:b/>
          <w:bCs/>
          <w:i/>
          <w:iCs/>
          <w:kern w:val="0"/>
          <w:szCs w:val="22"/>
          <w:lang w:bidi="ar"/>
        </w:rPr>
        <w:t>Note:</w:t>
      </w:r>
      <w:r>
        <w:rPr>
          <w:rFonts w:ascii="Times New Roman" w:eastAsia="宋体" w:hAnsi="Times New Roman" w:cs="Times New Roman"/>
          <w:i/>
          <w:iCs/>
          <w:kern w:val="0"/>
          <w:szCs w:val="22"/>
          <w:lang w:bidi="ar"/>
        </w:rPr>
        <w:t xml:space="preserve"> cART, combination antiretroviral therapy; DLBCL, diffuse large B-cell lymphoma; ABT, albuvirtide; HIV, human immunodeficiency virus; GCB, germinal center B-cell-like; R-EPOCH, rituximab, etoposide, prednisone, vincristine, cyclophosphamide, and doxorubicin; R-CHOP, rituximab, cyclophosphamide, doxorubicin, vincristine, and prednisone.</w:t>
      </w:r>
      <w:r>
        <w:rPr>
          <w:rFonts w:ascii="Times New Roman" w:hAnsi="Times New Roman" w:cs="Times New Roman"/>
          <w:i/>
          <w:iCs/>
        </w:rPr>
        <w:t xml:space="preserve"> The ART categories in the non-ABT control cohort were defined as INSTI-based, NNRTI-based, or protease inhibitor-based regimens</w:t>
      </w:r>
      <w:r>
        <w:rPr>
          <w:rFonts w:ascii="Times New Roman" w:hAnsi="Times New Roman" w:cs="Times New Roman" w:hint="eastAsia"/>
          <w:i/>
          <w:iCs/>
        </w:rPr>
        <w:t xml:space="preserve">. </w:t>
      </w:r>
      <w:r>
        <w:rPr>
          <w:rFonts w:ascii="Times New Roman" w:eastAsia="宋体" w:hAnsi="Times New Roman" w:cs="Times New Roman"/>
          <w:i/>
          <w:iCs/>
          <w:szCs w:val="22"/>
        </w:rPr>
        <w:t>INSTI</w:t>
      </w:r>
      <w:r>
        <w:rPr>
          <w:rFonts w:ascii="Times New Roman" w:eastAsia="宋体" w:hAnsi="Times New Roman" w:cs="Times New Roman"/>
          <w:i/>
          <w:iCs/>
          <w:szCs w:val="22"/>
        </w:rPr>
        <w:t>：</w:t>
      </w:r>
      <w:r>
        <w:rPr>
          <w:rFonts w:ascii="Times New Roman" w:eastAsia="宋体" w:hAnsi="Times New Roman" w:cs="Times New Roman"/>
          <w:i/>
          <w:iCs/>
          <w:szCs w:val="22"/>
        </w:rPr>
        <w:t>Integrase Strand Transfer Inhibitor</w:t>
      </w:r>
      <w:r>
        <w:rPr>
          <w:rFonts w:ascii="Times New Roman" w:eastAsia="宋体" w:hAnsi="Times New Roman" w:cs="Times New Roman" w:hint="eastAsia"/>
          <w:i/>
          <w:iCs/>
          <w:szCs w:val="22"/>
        </w:rPr>
        <w:t xml:space="preserve">; </w:t>
      </w:r>
      <w:r>
        <w:rPr>
          <w:rFonts w:ascii="Times New Roman" w:eastAsia="宋体" w:hAnsi="Times New Roman" w:cs="Times New Roman"/>
          <w:i/>
          <w:iCs/>
          <w:szCs w:val="22"/>
        </w:rPr>
        <w:t>NNRTI</w:t>
      </w:r>
      <w:r>
        <w:rPr>
          <w:rFonts w:ascii="Times New Roman" w:eastAsia="宋体" w:hAnsi="Times New Roman" w:cs="Times New Roman"/>
          <w:i/>
          <w:iCs/>
          <w:szCs w:val="22"/>
        </w:rPr>
        <w:t>：</w:t>
      </w:r>
      <w:r>
        <w:rPr>
          <w:rFonts w:ascii="Times New Roman" w:eastAsia="宋体" w:hAnsi="Times New Roman" w:cs="Times New Roman"/>
          <w:i/>
          <w:iCs/>
          <w:szCs w:val="22"/>
        </w:rPr>
        <w:t>Non-Nucleoside Reverse Transcriptase Inhibitor</w:t>
      </w:r>
      <w:r>
        <w:rPr>
          <w:rFonts w:ascii="Times New Roman" w:eastAsia="宋体" w:hAnsi="Times New Roman" w:cs="Times New Roman" w:hint="eastAsia"/>
          <w:i/>
          <w:iCs/>
          <w:szCs w:val="22"/>
        </w:rPr>
        <w:t>.</w:t>
      </w:r>
    </w:p>
    <w:p w14:paraId="04D38398" w14:textId="77777777" w:rsidR="00BC0FED" w:rsidRDefault="00BC0FED">
      <w:pPr>
        <w:rPr>
          <w:rFonts w:hint="eastAsia"/>
        </w:rPr>
      </w:pPr>
    </w:p>
    <w:p w14:paraId="416C1631" w14:textId="77777777" w:rsidR="00BC0FED" w:rsidRDefault="00000000">
      <w:pPr>
        <w:jc w:val="center"/>
        <w:rPr>
          <w:rFonts w:hint="eastAsia"/>
          <w:sz w:val="21"/>
          <w:szCs w:val="22"/>
        </w:rPr>
      </w:pPr>
      <w:r>
        <w:rPr>
          <w:rFonts w:ascii="Times New Roman" w:eastAsia="Times New Roman" w:hAnsi="Times New Roman"/>
          <w:b/>
          <w:szCs w:val="22"/>
        </w:rPr>
        <w:lastRenderedPageBreak/>
        <w:t>Supplementary Table S</w:t>
      </w:r>
      <w:r>
        <w:rPr>
          <w:rFonts w:ascii="Times New Roman" w:hAnsi="Times New Roman" w:hint="eastAsia"/>
          <w:b/>
          <w:szCs w:val="22"/>
        </w:rPr>
        <w:t>5</w:t>
      </w:r>
      <w:r>
        <w:rPr>
          <w:rFonts w:ascii="Times New Roman" w:eastAsia="Times New Roman" w:hAnsi="Times New Roman"/>
          <w:b/>
          <w:szCs w:val="22"/>
        </w:rPr>
        <w:t>. ABT predicted post-landmark OS by risk stratum</w:t>
      </w:r>
    </w:p>
    <w:tbl>
      <w:tblPr>
        <w:tblW w:w="0" w:type="auto"/>
        <w:tblCellMar>
          <w:top w:w="35" w:type="dxa"/>
          <w:left w:w="35" w:type="dxa"/>
          <w:bottom w:w="35" w:type="dxa"/>
          <w:right w:w="35" w:type="dxa"/>
        </w:tblCellMar>
        <w:tblLook w:val="04A0" w:firstRow="1" w:lastRow="0" w:firstColumn="1" w:lastColumn="0" w:noHBand="0" w:noVBand="1"/>
      </w:tblPr>
      <w:tblGrid>
        <w:gridCol w:w="1110"/>
        <w:gridCol w:w="973"/>
        <w:gridCol w:w="998"/>
        <w:gridCol w:w="1045"/>
        <w:gridCol w:w="1045"/>
        <w:gridCol w:w="1045"/>
        <w:gridCol w:w="1045"/>
        <w:gridCol w:w="1045"/>
      </w:tblGrid>
      <w:tr w:rsidR="00BC0FED" w14:paraId="4EF0DB65" w14:textId="77777777">
        <w:trPr>
          <w:cantSplit/>
        </w:trPr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9C2393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Risk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0DAD13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n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B5703E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%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9FD929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RR median [IQR]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5AD42E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6-mo OS median [IQR]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8AE431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12-mo OS median [IQR]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6112D4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24-mo OS median [IQR]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1C1F7E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24-mo RMST median [IQR]</w:t>
            </w:r>
          </w:p>
        </w:tc>
      </w:tr>
      <w:tr w:rsidR="00BC0FED" w14:paraId="4533E1C9" w14:textId="77777777">
        <w:trPr>
          <w:cantSplit/>
        </w:trPr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91D9B7E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High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4FE2F688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1189D5E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21.2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859F072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1.81 [1.48, 2.06]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D6A2253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0.451 [0.405, 0.523]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1BB3ACFC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0.372 [0.326, 0.447]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7000980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0.198 [0.161, 0.268]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779580E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10.16 [9.22, 11.70]</w:t>
            </w:r>
          </w:p>
        </w:tc>
      </w:tr>
      <w:tr w:rsidR="00BC0FED" w14:paraId="3F39108E" w14:textId="77777777">
        <w:trPr>
          <w:cantSplit/>
        </w:trPr>
        <w:tc>
          <w:tcPr>
            <w:tcW w:w="1170" w:type="dxa"/>
            <w:vAlign w:val="center"/>
          </w:tcPr>
          <w:p w14:paraId="7269A78B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Intermediate</w:t>
            </w:r>
          </w:p>
        </w:tc>
        <w:tc>
          <w:tcPr>
            <w:tcW w:w="1170" w:type="dxa"/>
            <w:vAlign w:val="center"/>
          </w:tcPr>
          <w:p w14:paraId="5A4D834B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16</w:t>
            </w:r>
          </w:p>
        </w:tc>
        <w:tc>
          <w:tcPr>
            <w:tcW w:w="1170" w:type="dxa"/>
            <w:vAlign w:val="center"/>
          </w:tcPr>
          <w:p w14:paraId="6AB2C190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48.5</w:t>
            </w:r>
          </w:p>
        </w:tc>
        <w:tc>
          <w:tcPr>
            <w:tcW w:w="1170" w:type="dxa"/>
            <w:vAlign w:val="center"/>
          </w:tcPr>
          <w:p w14:paraId="66B8B20A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1.09 [0.99, 1.29]</w:t>
            </w:r>
          </w:p>
        </w:tc>
        <w:tc>
          <w:tcPr>
            <w:tcW w:w="1170" w:type="dxa"/>
            <w:vAlign w:val="center"/>
          </w:tcPr>
          <w:p w14:paraId="569305B8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0.628 [0.567, 0.646]</w:t>
            </w:r>
          </w:p>
        </w:tc>
        <w:tc>
          <w:tcPr>
            <w:tcW w:w="1170" w:type="dxa"/>
            <w:vAlign w:val="center"/>
          </w:tcPr>
          <w:p w14:paraId="614F46BF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0.561 [0.494, 0.581]</w:t>
            </w:r>
          </w:p>
        </w:tc>
        <w:tc>
          <w:tcPr>
            <w:tcW w:w="1170" w:type="dxa"/>
            <w:vAlign w:val="center"/>
          </w:tcPr>
          <w:p w14:paraId="395A0499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0.388 [0.321, 0.415]</w:t>
            </w:r>
          </w:p>
        </w:tc>
        <w:tc>
          <w:tcPr>
            <w:tcW w:w="1170" w:type="dxa"/>
            <w:vAlign w:val="center"/>
          </w:tcPr>
          <w:p w14:paraId="4D6F3B0C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14.09 [12.69, 14.53]</w:t>
            </w:r>
          </w:p>
        </w:tc>
      </w:tr>
      <w:tr w:rsidR="00BC0FED" w14:paraId="6CC9711A" w14:textId="77777777">
        <w:trPr>
          <w:cantSplit/>
        </w:trPr>
        <w:tc>
          <w:tcPr>
            <w:tcW w:w="1170" w:type="dxa"/>
            <w:vAlign w:val="center"/>
          </w:tcPr>
          <w:p w14:paraId="0B3CDF39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Low</w:t>
            </w:r>
          </w:p>
        </w:tc>
        <w:tc>
          <w:tcPr>
            <w:tcW w:w="1170" w:type="dxa"/>
            <w:vAlign w:val="center"/>
          </w:tcPr>
          <w:p w14:paraId="394C33B2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10</w:t>
            </w:r>
          </w:p>
        </w:tc>
        <w:tc>
          <w:tcPr>
            <w:tcW w:w="1170" w:type="dxa"/>
            <w:vAlign w:val="center"/>
          </w:tcPr>
          <w:p w14:paraId="3B681106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30.3</w:t>
            </w:r>
          </w:p>
        </w:tc>
        <w:tc>
          <w:tcPr>
            <w:tcW w:w="1170" w:type="dxa"/>
            <w:vAlign w:val="center"/>
          </w:tcPr>
          <w:p w14:paraId="2261F975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0.82 [0.64, 0.86]</w:t>
            </w:r>
          </w:p>
        </w:tc>
        <w:tc>
          <w:tcPr>
            <w:tcW w:w="1170" w:type="dxa"/>
            <w:vAlign w:val="center"/>
          </w:tcPr>
          <w:p w14:paraId="23ABD506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0.697 [0.687, 0.756]</w:t>
            </w:r>
          </w:p>
        </w:tc>
        <w:tc>
          <w:tcPr>
            <w:tcW w:w="1170" w:type="dxa"/>
            <w:vAlign w:val="center"/>
          </w:tcPr>
          <w:p w14:paraId="121800A7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0.640 [0.627, 0.706]</w:t>
            </w:r>
          </w:p>
        </w:tc>
        <w:tc>
          <w:tcPr>
            <w:tcW w:w="1170" w:type="dxa"/>
            <w:vAlign w:val="center"/>
          </w:tcPr>
          <w:p w14:paraId="3DDDC65C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0.486 [0.466, 0.566]</w:t>
            </w:r>
          </w:p>
        </w:tc>
        <w:tc>
          <w:tcPr>
            <w:tcW w:w="1170" w:type="dxa"/>
            <w:vAlign w:val="center"/>
          </w:tcPr>
          <w:p w14:paraId="000F7A0A" w14:textId="77777777" w:rsidR="00BC0FED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6"/>
              </w:rPr>
              <w:t>15.82 [15.52, 17.26]</w:t>
            </w:r>
          </w:p>
        </w:tc>
      </w:tr>
      <w:tr w:rsidR="00BC0FED" w14:paraId="61E4F87D" w14:textId="77777777">
        <w:trPr>
          <w:cantSplit/>
        </w:trPr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0704D761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Overall cohort (mean)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5FC758C3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33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7DA51757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100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417D5107" w14:textId="77777777" w:rsidR="00BC0FED" w:rsidRDefault="00BC0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7F9A4D16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0.609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5D8C3323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0.544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6692A027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0.383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2216DB3A" w14:textId="77777777" w:rsidR="00BC0FE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13.79</w:t>
            </w:r>
          </w:p>
        </w:tc>
      </w:tr>
    </w:tbl>
    <w:p w14:paraId="281DCAFF" w14:textId="77777777" w:rsidR="00BC0FED" w:rsidRDefault="00BC0FED">
      <w:pPr>
        <w:rPr>
          <w:rFonts w:hint="eastAsia"/>
        </w:rPr>
      </w:pPr>
    </w:p>
    <w:p w14:paraId="1A016E95" w14:textId="77777777" w:rsidR="00BC0FED" w:rsidRDefault="00BC0FED">
      <w:pPr>
        <w:rPr>
          <w:rFonts w:hint="eastAsia"/>
        </w:rPr>
      </w:pPr>
    </w:p>
    <w:p w14:paraId="43FC0AB8" w14:textId="77777777" w:rsidR="00BC0FED" w:rsidRDefault="00BC0FED">
      <w:pPr>
        <w:rPr>
          <w:rFonts w:hint="eastAsia"/>
        </w:rPr>
      </w:pPr>
    </w:p>
    <w:sectPr w:rsidR="00BC0F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DD6F" w14:textId="77777777" w:rsidR="00D216ED" w:rsidRDefault="00D216E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8954518" w14:textId="77777777" w:rsidR="00D216ED" w:rsidRDefault="00D216E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altName w:val="Times New Roman"/>
    <w:charset w:val="00"/>
    <w:family w:val="roman"/>
    <w:pitch w:val="default"/>
  </w:font>
  <w:font w:name="AdvOT01861455.I">
    <w:altName w:val="Calibri"/>
    <w:charset w:val="00"/>
    <w:family w:val="swiss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22F1" w14:textId="77777777" w:rsidR="00D216ED" w:rsidRDefault="00D216E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7D71CE2" w14:textId="77777777" w:rsidR="00D216ED" w:rsidRDefault="00D216ED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D31"/>
    <w:rsid w:val="00013C67"/>
    <w:rsid w:val="000B574D"/>
    <w:rsid w:val="000C451D"/>
    <w:rsid w:val="001627AD"/>
    <w:rsid w:val="00166469"/>
    <w:rsid w:val="00196900"/>
    <w:rsid w:val="001F455A"/>
    <w:rsid w:val="002162B9"/>
    <w:rsid w:val="003209B7"/>
    <w:rsid w:val="00423D31"/>
    <w:rsid w:val="00430AF3"/>
    <w:rsid w:val="005B6DB0"/>
    <w:rsid w:val="005C5502"/>
    <w:rsid w:val="007120E9"/>
    <w:rsid w:val="00800AD7"/>
    <w:rsid w:val="008A3538"/>
    <w:rsid w:val="008C5992"/>
    <w:rsid w:val="00904A3F"/>
    <w:rsid w:val="0099370B"/>
    <w:rsid w:val="00A26925"/>
    <w:rsid w:val="00A3761D"/>
    <w:rsid w:val="00A7031C"/>
    <w:rsid w:val="00B04956"/>
    <w:rsid w:val="00BB2815"/>
    <w:rsid w:val="00BC0FED"/>
    <w:rsid w:val="00CF0304"/>
    <w:rsid w:val="00D216ED"/>
    <w:rsid w:val="00D641AF"/>
    <w:rsid w:val="00D6553D"/>
    <w:rsid w:val="00E3697C"/>
    <w:rsid w:val="00F428F6"/>
    <w:rsid w:val="00F75E77"/>
    <w:rsid w:val="7103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5E529"/>
  <w15:docId w15:val="{A14FA1B1-BA9A-49D2-8152-39D10F20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table" w:styleId="aa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1087</Words>
  <Characters>5646</Characters>
  <Application>Microsoft Office Word</Application>
  <DocSecurity>0</DocSecurity>
  <Lines>434</Lines>
  <Paragraphs>320</Paragraphs>
  <ScaleCrop>false</ScaleCrop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Lee Jian</cp:lastModifiedBy>
  <cp:revision>5</cp:revision>
  <dcterms:created xsi:type="dcterms:W3CDTF">2026-07-24T12:09:00Z</dcterms:created>
  <dcterms:modified xsi:type="dcterms:W3CDTF">2026-08-23T11:56:00Z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eyJoZGlkIjoiMWFjYTUzMGVhZjRmOTc3YjNmNjAzOTc1MDRlYTY5YWIiLCJ1c2VySWQiOiI0MjcwMjc3ODQifQ==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C9311559593941BC9A168B7FFD7644BA_12</vt:lpwstr>
  </property>
</Properties>
</file>