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2EBC8">
      <w:pPr>
        <w:pStyle w:val="3"/>
        <w:widowControl/>
        <w:numPr>
          <w:ilvl w:val="1"/>
          <w:numId w:val="0"/>
        </w:numPr>
        <w:kinsoku/>
        <w:wordWrap/>
        <w:overflowPunct/>
        <w:topLinePunct w:val="0"/>
        <w:autoSpaceDE/>
        <w:autoSpaceDN/>
        <w:bidi w:val="0"/>
        <w:adjustRightInd/>
        <w:snapToGrid/>
        <w:spacing w:before="0" w:line="400" w:lineRule="exact"/>
        <w:ind w:leftChars="0"/>
        <w:textAlignment w:val="auto"/>
        <w:rPr>
          <w:rFonts w:hint="default" w:ascii="Arial" w:hAnsi="Arial" w:cs="Arial"/>
          <w:sz w:val="16"/>
          <w:szCs w:val="16"/>
        </w:rPr>
      </w:pPr>
      <w:r>
        <w:rPr>
          <w:rFonts w:hint="default" w:ascii="Arial" w:hAnsi="Arial" w:cs="Arial"/>
          <w:sz w:val="16"/>
          <w:szCs w:val="16"/>
        </w:rPr>
        <w:t>Supplementary Table S1. Model fit indices for candidate PEF–grip joint trajectory models</w:t>
      </w:r>
    </w:p>
    <w:tbl>
      <w:tblPr>
        <w:tblStyle w:val="8"/>
        <w:tblW w:w="5000" w:type="pct"/>
        <w:jc w:val="center"/>
        <w:tblLayout w:type="autofit"/>
        <w:tblCellMar>
          <w:top w:w="0" w:type="dxa"/>
          <w:left w:w="108" w:type="dxa"/>
          <w:bottom w:w="0" w:type="dxa"/>
          <w:right w:w="108" w:type="dxa"/>
        </w:tblCellMar>
      </w:tblPr>
      <w:tblGrid>
        <w:gridCol w:w="1041"/>
        <w:gridCol w:w="1100"/>
        <w:gridCol w:w="1056"/>
        <w:gridCol w:w="1751"/>
        <w:gridCol w:w="1614"/>
        <w:gridCol w:w="1117"/>
        <w:gridCol w:w="1117"/>
        <w:gridCol w:w="1117"/>
        <w:gridCol w:w="1118"/>
        <w:gridCol w:w="2903"/>
        <w:gridCol w:w="1896"/>
      </w:tblGrid>
      <w:tr w14:paraId="38267C68">
        <w:tblPrEx>
          <w:tblCellMar>
            <w:top w:w="0" w:type="dxa"/>
            <w:left w:w="108" w:type="dxa"/>
            <w:bottom w:w="0" w:type="dxa"/>
            <w:right w:w="108" w:type="dxa"/>
          </w:tblCellMar>
        </w:tblPrEx>
        <w:trPr>
          <w:trHeight w:val="0" w:hRule="atLeast"/>
          <w:tblHeader/>
          <w:jc w:val="center"/>
        </w:trPr>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06FCA1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Model</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424587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Groups</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CAE147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Degree</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631EE5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Log likelihood</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C0470D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Parameters</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AE27BC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AIC</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1BA794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BIC</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BA05DE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CAIC</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AB5D28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SSBIC</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91BF54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Minimum assigned group (%)</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B7EDD2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Minimum AvePP</w:t>
            </w:r>
          </w:p>
        </w:tc>
      </w:tr>
      <w:tr w14:paraId="4CCB89C1">
        <w:tblPrEx>
          <w:tblCellMar>
            <w:top w:w="0" w:type="dxa"/>
            <w:left w:w="108" w:type="dxa"/>
            <w:bottom w:w="0" w:type="dxa"/>
            <w:right w:w="108" w:type="dxa"/>
          </w:tblCellMar>
        </w:tblPrEx>
        <w:trPr>
          <w:trHeight w:val="0" w:hRule="atLeast"/>
          <w:jc w:val="center"/>
        </w:trPr>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67381AF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ng5_d1</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60243A4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5</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0FE9F01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579EBCB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-68,733</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686C74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38</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7F437A9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137,542</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0F0C7C2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137,857</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7616DBF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137,895</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5402F21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137,736</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3E6F84B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6.38</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35CDFD5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0.793</w:t>
            </w:r>
          </w:p>
        </w:tc>
      </w:tr>
      <w:tr w14:paraId="7DEF9A6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1A2AC6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ng4_d1</w:t>
            </w:r>
          </w:p>
        </w:tc>
        <w:tc>
          <w:tcPr>
            <w:tcBorders>
              <w:top w:val="nil"/>
              <w:left w:val="nil"/>
              <w:bottom w:val="nil"/>
              <w:right w:val="nil"/>
            </w:tcBorders>
            <w:shd w:val="clear" w:color="auto" w:fill="FFFFFF"/>
            <w:tcMar>
              <w:top w:w="0" w:type="dxa"/>
              <w:left w:w="0" w:type="dxa"/>
              <w:bottom w:w="0" w:type="dxa"/>
              <w:right w:w="0" w:type="dxa"/>
            </w:tcMar>
            <w:vAlign w:val="center"/>
          </w:tcPr>
          <w:p w14:paraId="5A6BC5A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4</w:t>
            </w:r>
          </w:p>
        </w:tc>
        <w:tc>
          <w:tcPr>
            <w:tcBorders>
              <w:top w:val="nil"/>
              <w:left w:val="nil"/>
              <w:bottom w:val="nil"/>
              <w:right w:val="nil"/>
            </w:tcBorders>
            <w:shd w:val="clear" w:color="auto" w:fill="FFFFFF"/>
            <w:tcMar>
              <w:top w:w="0" w:type="dxa"/>
              <w:left w:w="0" w:type="dxa"/>
              <w:bottom w:w="0" w:type="dxa"/>
              <w:right w:w="0" w:type="dxa"/>
            </w:tcMar>
            <w:vAlign w:val="center"/>
          </w:tcPr>
          <w:p w14:paraId="6671412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75DDC67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-69,489</w:t>
            </w:r>
          </w:p>
        </w:tc>
        <w:tc>
          <w:tcPr>
            <w:tcBorders>
              <w:top w:val="nil"/>
              <w:left w:val="nil"/>
              <w:bottom w:val="nil"/>
              <w:right w:val="nil"/>
            </w:tcBorders>
            <w:shd w:val="clear" w:color="auto" w:fill="FFFFFF"/>
            <w:tcMar>
              <w:top w:w="0" w:type="dxa"/>
              <w:left w:w="0" w:type="dxa"/>
              <w:bottom w:w="0" w:type="dxa"/>
              <w:right w:w="0" w:type="dxa"/>
            </w:tcMar>
            <w:vAlign w:val="center"/>
          </w:tcPr>
          <w:p w14:paraId="5368042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30</w:t>
            </w:r>
          </w:p>
        </w:tc>
        <w:tc>
          <w:tcPr>
            <w:tcBorders>
              <w:top w:val="nil"/>
              <w:left w:val="nil"/>
              <w:bottom w:val="nil"/>
              <w:right w:val="nil"/>
            </w:tcBorders>
            <w:shd w:val="clear" w:color="auto" w:fill="FFFFFF"/>
            <w:tcMar>
              <w:top w:w="0" w:type="dxa"/>
              <w:left w:w="0" w:type="dxa"/>
              <w:bottom w:w="0" w:type="dxa"/>
              <w:right w:w="0" w:type="dxa"/>
            </w:tcMar>
            <w:vAlign w:val="center"/>
          </w:tcPr>
          <w:p w14:paraId="0F9D828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139,038</w:t>
            </w:r>
          </w:p>
        </w:tc>
        <w:tc>
          <w:tcPr>
            <w:tcBorders>
              <w:top w:val="nil"/>
              <w:left w:val="nil"/>
              <w:bottom w:val="nil"/>
              <w:right w:val="nil"/>
            </w:tcBorders>
            <w:shd w:val="clear" w:color="auto" w:fill="FFFFFF"/>
            <w:tcMar>
              <w:top w:w="0" w:type="dxa"/>
              <w:left w:w="0" w:type="dxa"/>
              <w:bottom w:w="0" w:type="dxa"/>
              <w:right w:w="0" w:type="dxa"/>
            </w:tcMar>
            <w:vAlign w:val="center"/>
          </w:tcPr>
          <w:p w14:paraId="5DCE52B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139,287</w:t>
            </w:r>
          </w:p>
        </w:tc>
        <w:tc>
          <w:tcPr>
            <w:tcBorders>
              <w:top w:val="nil"/>
              <w:left w:val="nil"/>
              <w:bottom w:val="nil"/>
              <w:right w:val="nil"/>
            </w:tcBorders>
            <w:shd w:val="clear" w:color="auto" w:fill="FFFFFF"/>
            <w:tcMar>
              <w:top w:w="0" w:type="dxa"/>
              <w:left w:w="0" w:type="dxa"/>
              <w:bottom w:w="0" w:type="dxa"/>
              <w:right w:w="0" w:type="dxa"/>
            </w:tcMar>
            <w:vAlign w:val="center"/>
          </w:tcPr>
          <w:p w14:paraId="5ED3624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139,317</w:t>
            </w:r>
          </w:p>
        </w:tc>
        <w:tc>
          <w:tcPr>
            <w:tcBorders>
              <w:top w:val="nil"/>
              <w:left w:val="nil"/>
              <w:bottom w:val="nil"/>
              <w:right w:val="nil"/>
            </w:tcBorders>
            <w:shd w:val="clear" w:color="auto" w:fill="FFFFFF"/>
            <w:tcMar>
              <w:top w:w="0" w:type="dxa"/>
              <w:left w:w="0" w:type="dxa"/>
              <w:bottom w:w="0" w:type="dxa"/>
              <w:right w:w="0" w:type="dxa"/>
            </w:tcMar>
            <w:vAlign w:val="center"/>
          </w:tcPr>
          <w:p w14:paraId="73C72C9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139,192</w:t>
            </w:r>
          </w:p>
        </w:tc>
        <w:tc>
          <w:tcPr>
            <w:tcBorders>
              <w:top w:val="nil"/>
              <w:left w:val="nil"/>
              <w:bottom w:val="nil"/>
              <w:right w:val="nil"/>
            </w:tcBorders>
            <w:shd w:val="clear" w:color="auto" w:fill="FFFFFF"/>
            <w:tcMar>
              <w:top w:w="0" w:type="dxa"/>
              <w:left w:w="0" w:type="dxa"/>
              <w:bottom w:w="0" w:type="dxa"/>
              <w:right w:w="0" w:type="dxa"/>
            </w:tcMar>
            <w:vAlign w:val="center"/>
          </w:tcPr>
          <w:p w14:paraId="1986022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6.27</w:t>
            </w:r>
          </w:p>
        </w:tc>
        <w:tc>
          <w:tcPr>
            <w:tcBorders>
              <w:top w:val="nil"/>
              <w:left w:val="nil"/>
              <w:bottom w:val="nil"/>
              <w:right w:val="nil"/>
            </w:tcBorders>
            <w:shd w:val="clear" w:color="auto" w:fill="FFFFFF"/>
            <w:tcMar>
              <w:top w:w="0" w:type="dxa"/>
              <w:left w:w="0" w:type="dxa"/>
              <w:bottom w:w="0" w:type="dxa"/>
              <w:right w:w="0" w:type="dxa"/>
            </w:tcMar>
            <w:vAlign w:val="center"/>
          </w:tcPr>
          <w:p w14:paraId="71C134E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0.808</w:t>
            </w:r>
          </w:p>
        </w:tc>
      </w:tr>
      <w:tr w14:paraId="0A56000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BDF65D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ng3_d1</w:t>
            </w:r>
          </w:p>
        </w:tc>
        <w:tc>
          <w:tcPr>
            <w:tcBorders>
              <w:top w:val="nil"/>
              <w:left w:val="nil"/>
              <w:bottom w:val="nil"/>
              <w:right w:val="nil"/>
            </w:tcBorders>
            <w:shd w:val="clear" w:color="auto" w:fill="FFFFFF"/>
            <w:tcMar>
              <w:top w:w="0" w:type="dxa"/>
              <w:left w:w="0" w:type="dxa"/>
              <w:bottom w:w="0" w:type="dxa"/>
              <w:right w:w="0" w:type="dxa"/>
            </w:tcMar>
            <w:vAlign w:val="center"/>
          </w:tcPr>
          <w:p w14:paraId="3E2586D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w:t>
            </w:r>
          </w:p>
        </w:tc>
        <w:tc>
          <w:tcPr>
            <w:tcBorders>
              <w:top w:val="nil"/>
              <w:left w:val="nil"/>
              <w:bottom w:val="nil"/>
              <w:right w:val="nil"/>
            </w:tcBorders>
            <w:shd w:val="clear" w:color="auto" w:fill="FFFFFF"/>
            <w:tcMar>
              <w:top w:w="0" w:type="dxa"/>
              <w:left w:w="0" w:type="dxa"/>
              <w:bottom w:w="0" w:type="dxa"/>
              <w:right w:w="0" w:type="dxa"/>
            </w:tcMar>
            <w:vAlign w:val="center"/>
          </w:tcPr>
          <w:p w14:paraId="32A4E3F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10288FF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-70,340</w:t>
            </w:r>
          </w:p>
        </w:tc>
        <w:tc>
          <w:tcPr>
            <w:tcBorders>
              <w:top w:val="nil"/>
              <w:left w:val="nil"/>
              <w:bottom w:val="nil"/>
              <w:right w:val="nil"/>
            </w:tcBorders>
            <w:shd w:val="clear" w:color="auto" w:fill="FFFFFF"/>
            <w:tcMar>
              <w:top w:w="0" w:type="dxa"/>
              <w:left w:w="0" w:type="dxa"/>
              <w:bottom w:w="0" w:type="dxa"/>
              <w:right w:w="0" w:type="dxa"/>
            </w:tcMar>
            <w:vAlign w:val="center"/>
          </w:tcPr>
          <w:p w14:paraId="4F155BF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23</w:t>
            </w:r>
          </w:p>
        </w:tc>
        <w:tc>
          <w:tcPr>
            <w:tcBorders>
              <w:top w:val="nil"/>
              <w:left w:val="nil"/>
              <w:bottom w:val="nil"/>
              <w:right w:val="nil"/>
            </w:tcBorders>
            <w:shd w:val="clear" w:color="auto" w:fill="FFFFFF"/>
            <w:tcMar>
              <w:top w:w="0" w:type="dxa"/>
              <w:left w:w="0" w:type="dxa"/>
              <w:bottom w:w="0" w:type="dxa"/>
              <w:right w:w="0" w:type="dxa"/>
            </w:tcMar>
            <w:vAlign w:val="center"/>
          </w:tcPr>
          <w:p w14:paraId="0BED9D4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140,725</w:t>
            </w:r>
          </w:p>
        </w:tc>
        <w:tc>
          <w:tcPr>
            <w:tcBorders>
              <w:top w:val="nil"/>
              <w:left w:val="nil"/>
              <w:bottom w:val="nil"/>
              <w:right w:val="nil"/>
            </w:tcBorders>
            <w:shd w:val="clear" w:color="auto" w:fill="FFFFFF"/>
            <w:tcMar>
              <w:top w:w="0" w:type="dxa"/>
              <w:left w:w="0" w:type="dxa"/>
              <w:bottom w:w="0" w:type="dxa"/>
              <w:right w:w="0" w:type="dxa"/>
            </w:tcMar>
            <w:vAlign w:val="center"/>
          </w:tcPr>
          <w:p w14:paraId="6CE4407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140,916</w:t>
            </w:r>
          </w:p>
        </w:tc>
        <w:tc>
          <w:tcPr>
            <w:tcBorders>
              <w:top w:val="nil"/>
              <w:left w:val="nil"/>
              <w:bottom w:val="nil"/>
              <w:right w:val="nil"/>
            </w:tcBorders>
            <w:shd w:val="clear" w:color="auto" w:fill="FFFFFF"/>
            <w:tcMar>
              <w:top w:w="0" w:type="dxa"/>
              <w:left w:w="0" w:type="dxa"/>
              <w:bottom w:w="0" w:type="dxa"/>
              <w:right w:w="0" w:type="dxa"/>
            </w:tcMar>
            <w:vAlign w:val="center"/>
          </w:tcPr>
          <w:p w14:paraId="1E1E28B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140,939</w:t>
            </w:r>
          </w:p>
        </w:tc>
        <w:tc>
          <w:tcPr>
            <w:tcBorders>
              <w:top w:val="nil"/>
              <w:left w:val="nil"/>
              <w:bottom w:val="nil"/>
              <w:right w:val="nil"/>
            </w:tcBorders>
            <w:shd w:val="clear" w:color="auto" w:fill="FFFFFF"/>
            <w:tcMar>
              <w:top w:w="0" w:type="dxa"/>
              <w:left w:w="0" w:type="dxa"/>
              <w:bottom w:w="0" w:type="dxa"/>
              <w:right w:w="0" w:type="dxa"/>
            </w:tcMar>
            <w:vAlign w:val="center"/>
          </w:tcPr>
          <w:p w14:paraId="667152B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140,843</w:t>
            </w:r>
          </w:p>
        </w:tc>
        <w:tc>
          <w:tcPr>
            <w:tcBorders>
              <w:top w:val="nil"/>
              <w:left w:val="nil"/>
              <w:bottom w:val="nil"/>
              <w:right w:val="nil"/>
            </w:tcBorders>
            <w:shd w:val="clear" w:color="auto" w:fill="FFFFFF"/>
            <w:tcMar>
              <w:top w:w="0" w:type="dxa"/>
              <w:left w:w="0" w:type="dxa"/>
              <w:bottom w:w="0" w:type="dxa"/>
              <w:right w:w="0" w:type="dxa"/>
            </w:tcMar>
            <w:vAlign w:val="center"/>
          </w:tcPr>
          <w:p w14:paraId="16CAA5C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24.60</w:t>
            </w:r>
          </w:p>
        </w:tc>
        <w:tc>
          <w:tcPr>
            <w:tcBorders>
              <w:top w:val="nil"/>
              <w:left w:val="nil"/>
              <w:bottom w:val="nil"/>
              <w:right w:val="nil"/>
            </w:tcBorders>
            <w:shd w:val="clear" w:color="auto" w:fill="FFFFFF"/>
            <w:tcMar>
              <w:top w:w="0" w:type="dxa"/>
              <w:left w:w="0" w:type="dxa"/>
              <w:bottom w:w="0" w:type="dxa"/>
              <w:right w:w="0" w:type="dxa"/>
            </w:tcMar>
            <w:vAlign w:val="center"/>
          </w:tcPr>
          <w:p w14:paraId="6A9925F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0.855</w:t>
            </w:r>
          </w:p>
        </w:tc>
      </w:tr>
      <w:tr w14:paraId="6E1FB53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B8EFCF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ng2_d1</w:t>
            </w:r>
          </w:p>
        </w:tc>
        <w:tc>
          <w:tcPr>
            <w:tcBorders>
              <w:top w:val="nil"/>
              <w:left w:val="nil"/>
              <w:bottom w:val="nil"/>
              <w:right w:val="nil"/>
            </w:tcBorders>
            <w:shd w:val="clear" w:color="auto" w:fill="FFFFFF"/>
            <w:tcMar>
              <w:top w:w="0" w:type="dxa"/>
              <w:left w:w="0" w:type="dxa"/>
              <w:bottom w:w="0" w:type="dxa"/>
              <w:right w:w="0" w:type="dxa"/>
            </w:tcMar>
            <w:vAlign w:val="center"/>
          </w:tcPr>
          <w:p w14:paraId="2681040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w:t>
            </w:r>
          </w:p>
        </w:tc>
        <w:tc>
          <w:tcPr>
            <w:tcBorders>
              <w:top w:val="nil"/>
              <w:left w:val="nil"/>
              <w:bottom w:val="nil"/>
              <w:right w:val="nil"/>
            </w:tcBorders>
            <w:shd w:val="clear" w:color="auto" w:fill="FFFFFF"/>
            <w:tcMar>
              <w:top w:w="0" w:type="dxa"/>
              <w:left w:w="0" w:type="dxa"/>
              <w:bottom w:w="0" w:type="dxa"/>
              <w:right w:w="0" w:type="dxa"/>
            </w:tcMar>
            <w:vAlign w:val="center"/>
          </w:tcPr>
          <w:p w14:paraId="538238A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1FE52D8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-72,424</w:t>
            </w:r>
          </w:p>
        </w:tc>
        <w:tc>
          <w:tcPr>
            <w:tcBorders>
              <w:top w:val="nil"/>
              <w:left w:val="nil"/>
              <w:bottom w:val="nil"/>
              <w:right w:val="nil"/>
            </w:tcBorders>
            <w:shd w:val="clear" w:color="auto" w:fill="FFFFFF"/>
            <w:tcMar>
              <w:top w:w="0" w:type="dxa"/>
              <w:left w:w="0" w:type="dxa"/>
              <w:bottom w:w="0" w:type="dxa"/>
              <w:right w:w="0" w:type="dxa"/>
            </w:tcMar>
            <w:vAlign w:val="center"/>
          </w:tcPr>
          <w:p w14:paraId="7C6324D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w:t>
            </w:r>
          </w:p>
        </w:tc>
        <w:tc>
          <w:tcPr>
            <w:tcBorders>
              <w:top w:val="nil"/>
              <w:left w:val="nil"/>
              <w:bottom w:val="nil"/>
              <w:right w:val="nil"/>
            </w:tcBorders>
            <w:shd w:val="clear" w:color="auto" w:fill="FFFFFF"/>
            <w:tcMar>
              <w:top w:w="0" w:type="dxa"/>
              <w:left w:w="0" w:type="dxa"/>
              <w:bottom w:w="0" w:type="dxa"/>
              <w:right w:w="0" w:type="dxa"/>
            </w:tcMar>
            <w:vAlign w:val="center"/>
          </w:tcPr>
          <w:p w14:paraId="5C9B6C2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144,878</w:t>
            </w:r>
          </w:p>
        </w:tc>
        <w:tc>
          <w:tcPr>
            <w:tcBorders>
              <w:top w:val="nil"/>
              <w:left w:val="nil"/>
              <w:bottom w:val="nil"/>
              <w:right w:val="nil"/>
            </w:tcBorders>
            <w:shd w:val="clear" w:color="auto" w:fill="FFFFFF"/>
            <w:tcMar>
              <w:top w:w="0" w:type="dxa"/>
              <w:left w:w="0" w:type="dxa"/>
              <w:bottom w:w="0" w:type="dxa"/>
              <w:right w:w="0" w:type="dxa"/>
            </w:tcMar>
            <w:vAlign w:val="center"/>
          </w:tcPr>
          <w:p w14:paraId="6F5D79F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145,002</w:t>
            </w:r>
          </w:p>
        </w:tc>
        <w:tc>
          <w:tcPr>
            <w:tcBorders>
              <w:top w:val="nil"/>
              <w:left w:val="nil"/>
              <w:bottom w:val="nil"/>
              <w:right w:val="nil"/>
            </w:tcBorders>
            <w:shd w:val="clear" w:color="auto" w:fill="FFFFFF"/>
            <w:tcMar>
              <w:top w:w="0" w:type="dxa"/>
              <w:left w:w="0" w:type="dxa"/>
              <w:bottom w:w="0" w:type="dxa"/>
              <w:right w:w="0" w:type="dxa"/>
            </w:tcMar>
            <w:vAlign w:val="center"/>
          </w:tcPr>
          <w:p w14:paraId="328F306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145,017</w:t>
            </w:r>
          </w:p>
        </w:tc>
        <w:tc>
          <w:tcPr>
            <w:tcBorders>
              <w:top w:val="nil"/>
              <w:left w:val="nil"/>
              <w:bottom w:val="nil"/>
              <w:right w:val="nil"/>
            </w:tcBorders>
            <w:shd w:val="clear" w:color="auto" w:fill="FFFFFF"/>
            <w:tcMar>
              <w:top w:w="0" w:type="dxa"/>
              <w:left w:w="0" w:type="dxa"/>
              <w:bottom w:w="0" w:type="dxa"/>
              <w:right w:w="0" w:type="dxa"/>
            </w:tcMar>
            <w:vAlign w:val="center"/>
          </w:tcPr>
          <w:p w14:paraId="0B7E092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144,954</w:t>
            </w:r>
          </w:p>
        </w:tc>
        <w:tc>
          <w:tcPr>
            <w:tcBorders>
              <w:top w:val="nil"/>
              <w:left w:val="nil"/>
              <w:bottom w:val="nil"/>
              <w:right w:val="nil"/>
            </w:tcBorders>
            <w:shd w:val="clear" w:color="auto" w:fill="FFFFFF"/>
            <w:tcMar>
              <w:top w:w="0" w:type="dxa"/>
              <w:left w:w="0" w:type="dxa"/>
              <w:bottom w:w="0" w:type="dxa"/>
              <w:right w:w="0" w:type="dxa"/>
            </w:tcMar>
            <w:vAlign w:val="center"/>
          </w:tcPr>
          <w:p w14:paraId="7377746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37.40</w:t>
            </w:r>
          </w:p>
        </w:tc>
        <w:tc>
          <w:tcPr>
            <w:tcBorders>
              <w:top w:val="nil"/>
              <w:left w:val="nil"/>
              <w:bottom w:val="nil"/>
              <w:right w:val="nil"/>
            </w:tcBorders>
            <w:shd w:val="clear" w:color="auto" w:fill="FFFFFF"/>
            <w:tcMar>
              <w:top w:w="0" w:type="dxa"/>
              <w:left w:w="0" w:type="dxa"/>
              <w:bottom w:w="0" w:type="dxa"/>
              <w:right w:w="0" w:type="dxa"/>
            </w:tcMar>
            <w:vAlign w:val="center"/>
          </w:tcPr>
          <w:p w14:paraId="081ABC8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0.937</w:t>
            </w:r>
          </w:p>
        </w:tc>
      </w:tr>
      <w:tr w14:paraId="20546C6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7A7F35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ng1_d1</w:t>
            </w:r>
          </w:p>
        </w:tc>
        <w:tc>
          <w:tcPr>
            <w:tcBorders>
              <w:top w:val="nil"/>
              <w:left w:val="nil"/>
              <w:bottom w:val="nil"/>
              <w:right w:val="nil"/>
            </w:tcBorders>
            <w:shd w:val="clear" w:color="auto" w:fill="FFFFFF"/>
            <w:tcMar>
              <w:top w:w="0" w:type="dxa"/>
              <w:left w:w="0" w:type="dxa"/>
              <w:bottom w:w="0" w:type="dxa"/>
              <w:right w:w="0" w:type="dxa"/>
            </w:tcMar>
            <w:vAlign w:val="center"/>
          </w:tcPr>
          <w:p w14:paraId="5326A95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4CD2167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285B78D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-79,174</w:t>
            </w:r>
          </w:p>
        </w:tc>
        <w:tc>
          <w:tcPr>
            <w:tcBorders>
              <w:top w:val="nil"/>
              <w:left w:val="nil"/>
              <w:bottom w:val="nil"/>
              <w:right w:val="nil"/>
            </w:tcBorders>
            <w:shd w:val="clear" w:color="auto" w:fill="FFFFFF"/>
            <w:tcMar>
              <w:top w:w="0" w:type="dxa"/>
              <w:left w:w="0" w:type="dxa"/>
              <w:bottom w:w="0" w:type="dxa"/>
              <w:right w:w="0" w:type="dxa"/>
            </w:tcMar>
            <w:vAlign w:val="center"/>
          </w:tcPr>
          <w:p w14:paraId="0ADA414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7</w:t>
            </w:r>
          </w:p>
        </w:tc>
        <w:tc>
          <w:tcPr>
            <w:tcBorders>
              <w:top w:val="nil"/>
              <w:left w:val="nil"/>
              <w:bottom w:val="nil"/>
              <w:right w:val="nil"/>
            </w:tcBorders>
            <w:shd w:val="clear" w:color="auto" w:fill="FFFFFF"/>
            <w:tcMar>
              <w:top w:w="0" w:type="dxa"/>
              <w:left w:w="0" w:type="dxa"/>
              <w:bottom w:w="0" w:type="dxa"/>
              <w:right w:w="0" w:type="dxa"/>
            </w:tcMar>
            <w:vAlign w:val="center"/>
          </w:tcPr>
          <w:p w14:paraId="39F8F96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158,362</w:t>
            </w:r>
          </w:p>
        </w:tc>
        <w:tc>
          <w:tcPr>
            <w:tcBorders>
              <w:top w:val="nil"/>
              <w:left w:val="nil"/>
              <w:bottom w:val="nil"/>
              <w:right w:val="nil"/>
            </w:tcBorders>
            <w:shd w:val="clear" w:color="auto" w:fill="FFFFFF"/>
            <w:tcMar>
              <w:top w:w="0" w:type="dxa"/>
              <w:left w:w="0" w:type="dxa"/>
              <w:bottom w:w="0" w:type="dxa"/>
              <w:right w:w="0" w:type="dxa"/>
            </w:tcMar>
            <w:vAlign w:val="center"/>
          </w:tcPr>
          <w:p w14:paraId="0F24F2C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158,420</w:t>
            </w:r>
          </w:p>
        </w:tc>
        <w:tc>
          <w:tcPr>
            <w:tcBorders>
              <w:top w:val="nil"/>
              <w:left w:val="nil"/>
              <w:bottom w:val="nil"/>
              <w:right w:val="nil"/>
            </w:tcBorders>
            <w:shd w:val="clear" w:color="auto" w:fill="FFFFFF"/>
            <w:tcMar>
              <w:top w:w="0" w:type="dxa"/>
              <w:left w:w="0" w:type="dxa"/>
              <w:bottom w:w="0" w:type="dxa"/>
              <w:right w:w="0" w:type="dxa"/>
            </w:tcMar>
            <w:vAlign w:val="center"/>
          </w:tcPr>
          <w:p w14:paraId="319E2E4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158,427</w:t>
            </w:r>
          </w:p>
        </w:tc>
        <w:tc>
          <w:tcPr>
            <w:tcBorders>
              <w:top w:val="nil"/>
              <w:left w:val="nil"/>
              <w:bottom w:val="nil"/>
              <w:right w:val="nil"/>
            </w:tcBorders>
            <w:shd w:val="clear" w:color="auto" w:fill="FFFFFF"/>
            <w:tcMar>
              <w:top w:w="0" w:type="dxa"/>
              <w:left w:w="0" w:type="dxa"/>
              <w:bottom w:w="0" w:type="dxa"/>
              <w:right w:w="0" w:type="dxa"/>
            </w:tcMar>
            <w:vAlign w:val="center"/>
          </w:tcPr>
          <w:p w14:paraId="18C18CA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158,398</w:t>
            </w:r>
          </w:p>
        </w:tc>
        <w:tc>
          <w:tcPr>
            <w:tcBorders>
              <w:top w:val="nil"/>
              <w:left w:val="nil"/>
              <w:bottom w:val="nil"/>
              <w:right w:val="nil"/>
            </w:tcBorders>
            <w:shd w:val="clear" w:color="auto" w:fill="FFFFFF"/>
            <w:tcMar>
              <w:top w:w="0" w:type="dxa"/>
              <w:left w:w="0" w:type="dxa"/>
              <w:bottom w:w="0" w:type="dxa"/>
              <w:right w:w="0" w:type="dxa"/>
            </w:tcMar>
            <w:vAlign w:val="center"/>
          </w:tcPr>
          <w:p w14:paraId="31E6E25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100.00</w:t>
            </w:r>
          </w:p>
        </w:tc>
        <w:tc>
          <w:tcPr>
            <w:tcBorders>
              <w:top w:val="nil"/>
              <w:left w:val="nil"/>
              <w:bottom w:val="nil"/>
              <w:right w:val="nil"/>
            </w:tcBorders>
            <w:shd w:val="clear" w:color="auto" w:fill="FFFFFF"/>
            <w:tcMar>
              <w:top w:w="0" w:type="dxa"/>
              <w:left w:w="0" w:type="dxa"/>
              <w:bottom w:w="0" w:type="dxa"/>
              <w:right w:w="0" w:type="dxa"/>
            </w:tcMar>
            <w:vAlign w:val="center"/>
          </w:tcPr>
          <w:p w14:paraId="228F09D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1.000</w:t>
            </w:r>
          </w:p>
        </w:tc>
      </w:tr>
      <w:tr w14:paraId="1276B083">
        <w:tblPrEx>
          <w:tblCellMar>
            <w:top w:w="0" w:type="dxa"/>
            <w:left w:w="108" w:type="dxa"/>
            <w:bottom w:w="0" w:type="dxa"/>
            <w:right w:w="108" w:type="dxa"/>
          </w:tblCellMar>
        </w:tblPrEx>
        <w:trPr>
          <w:trHeight w:val="0" w:hRule="atLeast"/>
          <w:jc w:val="center"/>
        </w:trPr>
        <w:tc>
          <w:tcPr>
            <w:gridSpan w:val="11"/>
            <w:tcBorders>
              <w:top w:val="single" w:color="666666" w:sz="12" w:space="0"/>
              <w:left w:val="nil"/>
              <w:bottom w:val="nil"/>
              <w:right w:val="nil"/>
            </w:tcBorders>
            <w:shd w:val="clear" w:color="auto" w:fill="FFFFFF"/>
            <w:tcMar>
              <w:top w:w="0" w:type="dxa"/>
              <w:left w:w="0" w:type="dxa"/>
              <w:bottom w:w="0" w:type="dxa"/>
              <w:right w:w="0" w:type="dxa"/>
            </w:tcMar>
            <w:vAlign w:val="center"/>
          </w:tcPr>
          <w:p w14:paraId="4B7D7CB5">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eastAsia" w:ascii="Arial" w:hAnsi="Arial" w:eastAsia="宋体" w:cs="Arial"/>
                <w:b/>
                <w:bCs/>
                <w:sz w:val="16"/>
                <w:szCs w:val="16"/>
                <w:lang w:val="en-US" w:eastAsia="zh-CN"/>
              </w:rPr>
              <w:t xml:space="preserve">Notes: </w:t>
            </w:r>
            <w:r>
              <w:rPr>
                <w:rFonts w:hint="default" w:ascii="Arial" w:hAnsi="Arial" w:eastAsia="Times New Roman" w:cs="Arial"/>
                <w:sz w:val="16"/>
                <w:szCs w:val="16"/>
              </w:rPr>
              <w:t>Lower AIC, BIC, CAIC, and SSBIC values indicate better fit. Only converged linear models are shown; quadratic models did not converge. The five-group model was selected based on fit, classification quality, minimum group size, and interpretability. PEF, peak expiratory flow; AIC, Akaike information criterion; BIC, Bayesian information criterion; CAIC, consistent Akaike information criterion; SSBIC, sample-size-adjusted Bayesian information criterion; AvePP, average posterior probability.</w:t>
            </w:r>
          </w:p>
        </w:tc>
      </w:tr>
    </w:tbl>
    <w:p w14:paraId="6FFA4AAE">
      <w:pPr>
        <w:pStyle w:val="3"/>
        <w:widowControl/>
        <w:numPr>
          <w:ilvl w:val="1"/>
          <w:numId w:val="0"/>
        </w:numPr>
        <w:kinsoku/>
        <w:wordWrap/>
        <w:overflowPunct/>
        <w:topLinePunct w:val="0"/>
        <w:autoSpaceDE/>
        <w:autoSpaceDN/>
        <w:bidi w:val="0"/>
        <w:adjustRightInd/>
        <w:snapToGrid/>
        <w:spacing w:before="0" w:line="400" w:lineRule="exact"/>
        <w:ind w:leftChars="0"/>
        <w:textAlignment w:val="auto"/>
        <w:rPr>
          <w:rFonts w:hint="default" w:ascii="Arial" w:hAnsi="Arial" w:cs="Arial"/>
          <w:sz w:val="16"/>
          <w:szCs w:val="16"/>
        </w:rPr>
      </w:pPr>
    </w:p>
    <w:p w14:paraId="5D251C6D">
      <w:pPr>
        <w:pStyle w:val="3"/>
        <w:widowControl/>
        <w:numPr>
          <w:ilvl w:val="1"/>
          <w:numId w:val="0"/>
        </w:numPr>
        <w:kinsoku/>
        <w:wordWrap/>
        <w:overflowPunct/>
        <w:topLinePunct w:val="0"/>
        <w:autoSpaceDE/>
        <w:autoSpaceDN/>
        <w:bidi w:val="0"/>
        <w:adjustRightInd/>
        <w:snapToGrid/>
        <w:spacing w:before="0" w:line="400" w:lineRule="exact"/>
        <w:ind w:leftChars="0"/>
        <w:textAlignment w:val="auto"/>
        <w:rPr>
          <w:rFonts w:hint="default" w:ascii="Arial" w:hAnsi="Arial" w:cs="Arial"/>
          <w:sz w:val="16"/>
          <w:szCs w:val="16"/>
        </w:rPr>
      </w:pPr>
      <w:r>
        <w:rPr>
          <w:rFonts w:hint="default" w:ascii="Arial" w:hAnsi="Arial" w:cs="Arial"/>
          <w:sz w:val="16"/>
          <w:szCs w:val="16"/>
        </w:rPr>
        <w:t>Supplementary Table S2. Classification quality of the final five-group PEF–grip trajectory model</w:t>
      </w:r>
    </w:p>
    <w:tbl>
      <w:tblPr>
        <w:tblStyle w:val="8"/>
        <w:tblW w:w="4998" w:type="pct"/>
        <w:jc w:val="center"/>
        <w:tblLayout w:type="autofit"/>
        <w:tblCellMar>
          <w:top w:w="0" w:type="dxa"/>
          <w:left w:w="108" w:type="dxa"/>
          <w:bottom w:w="0" w:type="dxa"/>
          <w:right w:w="108" w:type="dxa"/>
        </w:tblCellMar>
      </w:tblPr>
      <w:tblGrid>
        <w:gridCol w:w="3407"/>
        <w:gridCol w:w="1317"/>
        <w:gridCol w:w="3002"/>
        <w:gridCol w:w="3813"/>
        <w:gridCol w:w="3189"/>
        <w:gridCol w:w="1096"/>
      </w:tblGrid>
      <w:tr w14:paraId="5A89B4DC">
        <w:tblPrEx>
          <w:tblCellMar>
            <w:top w:w="0" w:type="dxa"/>
            <w:left w:w="108" w:type="dxa"/>
            <w:bottom w:w="0" w:type="dxa"/>
            <w:right w:w="108" w:type="dxa"/>
          </w:tblCellMar>
        </w:tblPrEx>
        <w:trPr>
          <w:trHeight w:val="90" w:hRule="atLeast"/>
          <w:tblHeader/>
          <w:jc w:val="center"/>
        </w:trPr>
        <w:tc>
          <w:tcPr>
            <w:tcW w:w="107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C511DF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Trajectory group</w:t>
            </w:r>
          </w:p>
        </w:tc>
        <w:tc>
          <w:tcPr>
            <w:tcW w:w="41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2C87B7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宋体" w:cs="Arial"/>
                <w:b/>
                <w:i w:val="0"/>
                <w:strike w:val="0"/>
                <w:color w:val="000000"/>
                <w:sz w:val="16"/>
                <w:szCs w:val="16"/>
                <w:u w:val="none"/>
                <w:lang w:eastAsia="zh-CN"/>
              </w:rPr>
            </w:pPr>
            <w:r>
              <w:rPr>
                <w:rFonts w:hint="default" w:ascii="Arial" w:hAnsi="Arial" w:eastAsia="Times New Roman" w:cs="Arial"/>
                <w:b/>
                <w:i w:val="0"/>
                <w:strike w:val="0"/>
                <w:color w:val="000000"/>
                <w:sz w:val="16"/>
                <w:szCs w:val="16"/>
                <w:u w:val="none"/>
                <w:lang w:val="en-US" w:eastAsia="zh-CN"/>
              </w:rPr>
              <w:t>N</w:t>
            </w:r>
          </w:p>
        </w:tc>
        <w:tc>
          <w:tcPr>
            <w:tcW w:w="948"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74D4BA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Assigned proportion (%)</w:t>
            </w:r>
          </w:p>
        </w:tc>
        <w:tc>
          <w:tcPr>
            <w:tcW w:w="120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1F4BBF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Mean maximum posterior probability</w:t>
            </w:r>
          </w:p>
        </w:tc>
        <w:tc>
          <w:tcPr>
            <w:tcW w:w="100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0131DF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Model-estimated proportion (%)</w:t>
            </w:r>
          </w:p>
        </w:tc>
        <w:tc>
          <w:tcPr>
            <w:tcW w:w="34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6E3602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AvePP</w:t>
            </w:r>
          </w:p>
        </w:tc>
      </w:tr>
      <w:tr w14:paraId="1BBCAC6E">
        <w:tblPrEx>
          <w:tblCellMar>
            <w:top w:w="0" w:type="dxa"/>
            <w:left w:w="108" w:type="dxa"/>
            <w:bottom w:w="0" w:type="dxa"/>
            <w:right w:w="108" w:type="dxa"/>
          </w:tblCellMar>
        </w:tblPrEx>
        <w:trPr>
          <w:trHeight w:val="0" w:hRule="atLeast"/>
          <w:jc w:val="center"/>
        </w:trPr>
        <w:tc>
          <w:tcPr>
            <w:tcW w:w="107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749E8B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cs="Arial"/>
                <w:i w:val="0"/>
                <w:sz w:val="16"/>
                <w:szCs w:val="16"/>
              </w:rPr>
              <w:t>Very high PEF–very high grip</w:t>
            </w:r>
          </w:p>
        </w:tc>
        <w:tc>
          <w:tcPr>
            <w:tcW w:w="41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F1ACE3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1,019</w:t>
            </w:r>
          </w:p>
        </w:tc>
        <w:tc>
          <w:tcPr>
            <w:tcW w:w="948"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D969E8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8.76</w:t>
            </w:r>
          </w:p>
        </w:tc>
        <w:tc>
          <w:tcPr>
            <w:tcW w:w="120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EF842D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0.864</w:t>
            </w:r>
          </w:p>
        </w:tc>
        <w:tc>
          <w:tcPr>
            <w:tcW w:w="100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1A9704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9.70</w:t>
            </w:r>
          </w:p>
        </w:tc>
        <w:tc>
          <w:tcPr>
            <w:tcW w:w="34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D5A632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0.864</w:t>
            </w:r>
          </w:p>
        </w:tc>
      </w:tr>
      <w:tr w14:paraId="7045164F">
        <w:tblPrEx>
          <w:tblCellMar>
            <w:top w:w="0" w:type="dxa"/>
            <w:left w:w="108" w:type="dxa"/>
            <w:bottom w:w="0" w:type="dxa"/>
            <w:right w:w="108" w:type="dxa"/>
          </w:tblCellMar>
        </w:tblPrEx>
        <w:trPr>
          <w:trHeight w:val="0" w:hRule="atLeast"/>
          <w:jc w:val="center"/>
        </w:trPr>
        <w:tc>
          <w:tcPr>
            <w:tcW w:w="1076" w:type="pct"/>
            <w:tcBorders>
              <w:top w:val="nil"/>
              <w:left w:val="nil"/>
              <w:bottom w:val="nil"/>
              <w:right w:val="nil"/>
            </w:tcBorders>
            <w:shd w:val="clear" w:color="auto" w:fill="FFFFFF"/>
            <w:tcMar>
              <w:top w:w="0" w:type="dxa"/>
              <w:left w:w="0" w:type="dxa"/>
              <w:bottom w:w="0" w:type="dxa"/>
              <w:right w:w="0" w:type="dxa"/>
            </w:tcMar>
            <w:vAlign w:val="center"/>
          </w:tcPr>
          <w:p w14:paraId="3662355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cs="Arial"/>
                <w:i w:val="0"/>
                <w:sz w:val="16"/>
                <w:szCs w:val="16"/>
              </w:rPr>
              <w:t>High PEF–high grip declining</w:t>
            </w:r>
          </w:p>
        </w:tc>
        <w:tc>
          <w:tcPr>
            <w:tcW w:w="416" w:type="pct"/>
            <w:tcBorders>
              <w:top w:val="nil"/>
              <w:left w:val="nil"/>
              <w:bottom w:val="nil"/>
              <w:right w:val="nil"/>
            </w:tcBorders>
            <w:shd w:val="clear" w:color="auto" w:fill="FFFFFF"/>
            <w:tcMar>
              <w:top w:w="0" w:type="dxa"/>
              <w:left w:w="0" w:type="dxa"/>
              <w:bottom w:w="0" w:type="dxa"/>
              <w:right w:w="0" w:type="dxa"/>
            </w:tcMar>
            <w:vAlign w:val="center"/>
          </w:tcPr>
          <w:p w14:paraId="210C106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2,791</w:t>
            </w:r>
          </w:p>
        </w:tc>
        <w:tc>
          <w:tcPr>
            <w:tcW w:w="948" w:type="pct"/>
            <w:tcBorders>
              <w:top w:val="nil"/>
              <w:left w:val="nil"/>
              <w:bottom w:val="nil"/>
              <w:right w:val="nil"/>
            </w:tcBorders>
            <w:shd w:val="clear" w:color="auto" w:fill="FFFFFF"/>
            <w:tcMar>
              <w:top w:w="0" w:type="dxa"/>
              <w:left w:w="0" w:type="dxa"/>
              <w:bottom w:w="0" w:type="dxa"/>
              <w:right w:w="0" w:type="dxa"/>
            </w:tcMar>
            <w:vAlign w:val="center"/>
          </w:tcPr>
          <w:p w14:paraId="21AD45C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24.00</w:t>
            </w:r>
          </w:p>
        </w:tc>
        <w:tc>
          <w:tcPr>
            <w:tcW w:w="1204" w:type="pct"/>
            <w:tcBorders>
              <w:top w:val="nil"/>
              <w:left w:val="nil"/>
              <w:bottom w:val="nil"/>
              <w:right w:val="nil"/>
            </w:tcBorders>
            <w:shd w:val="clear" w:color="auto" w:fill="FFFFFF"/>
            <w:tcMar>
              <w:top w:w="0" w:type="dxa"/>
              <w:left w:w="0" w:type="dxa"/>
              <w:bottom w:w="0" w:type="dxa"/>
              <w:right w:w="0" w:type="dxa"/>
            </w:tcMar>
            <w:vAlign w:val="center"/>
          </w:tcPr>
          <w:p w14:paraId="02A1E61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0.841</w:t>
            </w:r>
          </w:p>
        </w:tc>
        <w:tc>
          <w:tcPr>
            <w:tcW w:w="1007" w:type="pct"/>
            <w:tcBorders>
              <w:top w:val="nil"/>
              <w:left w:val="nil"/>
              <w:bottom w:val="nil"/>
              <w:right w:val="nil"/>
            </w:tcBorders>
            <w:shd w:val="clear" w:color="auto" w:fill="FFFFFF"/>
            <w:tcMar>
              <w:top w:w="0" w:type="dxa"/>
              <w:left w:w="0" w:type="dxa"/>
              <w:bottom w:w="0" w:type="dxa"/>
              <w:right w:w="0" w:type="dxa"/>
            </w:tcMar>
            <w:vAlign w:val="center"/>
          </w:tcPr>
          <w:p w14:paraId="16B9002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23.74</w:t>
            </w:r>
          </w:p>
        </w:tc>
        <w:tc>
          <w:tcPr>
            <w:tcW w:w="346" w:type="pct"/>
            <w:tcBorders>
              <w:top w:val="nil"/>
              <w:left w:val="nil"/>
              <w:bottom w:val="nil"/>
              <w:right w:val="nil"/>
            </w:tcBorders>
            <w:shd w:val="clear" w:color="auto" w:fill="FFFFFF"/>
            <w:tcMar>
              <w:top w:w="0" w:type="dxa"/>
              <w:left w:w="0" w:type="dxa"/>
              <w:bottom w:w="0" w:type="dxa"/>
              <w:right w:w="0" w:type="dxa"/>
            </w:tcMar>
            <w:vAlign w:val="center"/>
          </w:tcPr>
          <w:p w14:paraId="6954166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0.841</w:t>
            </w:r>
          </w:p>
        </w:tc>
      </w:tr>
      <w:tr w14:paraId="2B2EAB65">
        <w:tblPrEx>
          <w:tblCellMar>
            <w:top w:w="0" w:type="dxa"/>
            <w:left w:w="108" w:type="dxa"/>
            <w:bottom w:w="0" w:type="dxa"/>
            <w:right w:w="108" w:type="dxa"/>
          </w:tblCellMar>
        </w:tblPrEx>
        <w:trPr>
          <w:trHeight w:val="0" w:hRule="atLeast"/>
          <w:jc w:val="center"/>
        </w:trPr>
        <w:tc>
          <w:tcPr>
            <w:tcW w:w="1076" w:type="pct"/>
            <w:tcBorders>
              <w:top w:val="nil"/>
              <w:left w:val="nil"/>
              <w:bottom w:val="nil"/>
              <w:right w:val="nil"/>
            </w:tcBorders>
            <w:shd w:val="clear" w:color="auto" w:fill="FFFFFF"/>
            <w:tcMar>
              <w:top w:w="0" w:type="dxa"/>
              <w:left w:w="0" w:type="dxa"/>
              <w:bottom w:w="0" w:type="dxa"/>
              <w:right w:w="0" w:type="dxa"/>
            </w:tcMar>
            <w:vAlign w:val="center"/>
          </w:tcPr>
          <w:p w14:paraId="15FAB1B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cs="Arial"/>
                <w:i w:val="0"/>
                <w:sz w:val="16"/>
                <w:szCs w:val="16"/>
              </w:rPr>
              <w:t>Average PEF–average grip declining</w:t>
            </w:r>
          </w:p>
        </w:tc>
        <w:tc>
          <w:tcPr>
            <w:tcW w:w="416" w:type="pct"/>
            <w:tcBorders>
              <w:top w:val="nil"/>
              <w:left w:val="nil"/>
              <w:bottom w:val="nil"/>
              <w:right w:val="nil"/>
            </w:tcBorders>
            <w:shd w:val="clear" w:color="auto" w:fill="FFFFFF"/>
            <w:tcMar>
              <w:top w:w="0" w:type="dxa"/>
              <w:left w:w="0" w:type="dxa"/>
              <w:bottom w:w="0" w:type="dxa"/>
              <w:right w:w="0" w:type="dxa"/>
            </w:tcMar>
            <w:vAlign w:val="center"/>
          </w:tcPr>
          <w:p w14:paraId="67BD18D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3,875</w:t>
            </w:r>
          </w:p>
        </w:tc>
        <w:tc>
          <w:tcPr>
            <w:tcW w:w="948" w:type="pct"/>
            <w:tcBorders>
              <w:top w:val="nil"/>
              <w:left w:val="nil"/>
              <w:bottom w:val="nil"/>
              <w:right w:val="nil"/>
            </w:tcBorders>
            <w:shd w:val="clear" w:color="auto" w:fill="FFFFFF"/>
            <w:tcMar>
              <w:top w:w="0" w:type="dxa"/>
              <w:left w:w="0" w:type="dxa"/>
              <w:bottom w:w="0" w:type="dxa"/>
              <w:right w:w="0" w:type="dxa"/>
            </w:tcMar>
            <w:vAlign w:val="center"/>
          </w:tcPr>
          <w:p w14:paraId="14F33DD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33.32</w:t>
            </w:r>
          </w:p>
        </w:tc>
        <w:tc>
          <w:tcPr>
            <w:tcW w:w="1204" w:type="pct"/>
            <w:tcBorders>
              <w:top w:val="nil"/>
              <w:left w:val="nil"/>
              <w:bottom w:val="nil"/>
              <w:right w:val="nil"/>
            </w:tcBorders>
            <w:shd w:val="clear" w:color="auto" w:fill="FFFFFF"/>
            <w:tcMar>
              <w:top w:w="0" w:type="dxa"/>
              <w:left w:w="0" w:type="dxa"/>
              <w:bottom w:w="0" w:type="dxa"/>
              <w:right w:w="0" w:type="dxa"/>
            </w:tcMar>
            <w:vAlign w:val="center"/>
          </w:tcPr>
          <w:p w14:paraId="33D06B3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0.835</w:t>
            </w:r>
          </w:p>
        </w:tc>
        <w:tc>
          <w:tcPr>
            <w:tcW w:w="1007" w:type="pct"/>
            <w:tcBorders>
              <w:top w:val="nil"/>
              <w:left w:val="nil"/>
              <w:bottom w:val="nil"/>
              <w:right w:val="nil"/>
            </w:tcBorders>
            <w:shd w:val="clear" w:color="auto" w:fill="FFFFFF"/>
            <w:tcMar>
              <w:top w:w="0" w:type="dxa"/>
              <w:left w:w="0" w:type="dxa"/>
              <w:bottom w:w="0" w:type="dxa"/>
              <w:right w:w="0" w:type="dxa"/>
            </w:tcMar>
            <w:vAlign w:val="center"/>
          </w:tcPr>
          <w:p w14:paraId="1721DDF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32.06</w:t>
            </w:r>
          </w:p>
        </w:tc>
        <w:tc>
          <w:tcPr>
            <w:tcW w:w="346" w:type="pct"/>
            <w:tcBorders>
              <w:top w:val="nil"/>
              <w:left w:val="nil"/>
              <w:bottom w:val="nil"/>
              <w:right w:val="nil"/>
            </w:tcBorders>
            <w:shd w:val="clear" w:color="auto" w:fill="FFFFFF"/>
            <w:tcMar>
              <w:top w:w="0" w:type="dxa"/>
              <w:left w:w="0" w:type="dxa"/>
              <w:bottom w:w="0" w:type="dxa"/>
              <w:right w:w="0" w:type="dxa"/>
            </w:tcMar>
            <w:vAlign w:val="center"/>
          </w:tcPr>
          <w:p w14:paraId="76B4247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0.835</w:t>
            </w:r>
          </w:p>
        </w:tc>
      </w:tr>
      <w:tr w14:paraId="253BEC23">
        <w:tblPrEx>
          <w:tblCellMar>
            <w:top w:w="0" w:type="dxa"/>
            <w:left w:w="108" w:type="dxa"/>
            <w:bottom w:w="0" w:type="dxa"/>
            <w:right w:w="108" w:type="dxa"/>
          </w:tblCellMar>
        </w:tblPrEx>
        <w:trPr>
          <w:trHeight w:val="0" w:hRule="atLeast"/>
          <w:jc w:val="center"/>
        </w:trPr>
        <w:tc>
          <w:tcPr>
            <w:tcW w:w="1076" w:type="pct"/>
            <w:tcBorders>
              <w:top w:val="nil"/>
              <w:left w:val="nil"/>
              <w:bottom w:val="nil"/>
              <w:right w:val="nil"/>
            </w:tcBorders>
            <w:shd w:val="clear" w:color="auto" w:fill="FFFFFF"/>
            <w:tcMar>
              <w:top w:w="0" w:type="dxa"/>
              <w:left w:w="0" w:type="dxa"/>
              <w:bottom w:w="0" w:type="dxa"/>
              <w:right w:w="0" w:type="dxa"/>
            </w:tcMar>
            <w:vAlign w:val="center"/>
          </w:tcPr>
          <w:p w14:paraId="41DB976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cs="Arial"/>
                <w:i w:val="0"/>
                <w:sz w:val="16"/>
                <w:szCs w:val="16"/>
              </w:rPr>
              <w:t>Low PEF–moderate grip declining</w:t>
            </w:r>
          </w:p>
        </w:tc>
        <w:tc>
          <w:tcPr>
            <w:tcW w:w="416" w:type="pct"/>
            <w:tcBorders>
              <w:top w:val="nil"/>
              <w:left w:val="nil"/>
              <w:bottom w:val="nil"/>
              <w:right w:val="nil"/>
            </w:tcBorders>
            <w:shd w:val="clear" w:color="auto" w:fill="FFFFFF"/>
            <w:tcMar>
              <w:top w:w="0" w:type="dxa"/>
              <w:left w:w="0" w:type="dxa"/>
              <w:bottom w:w="0" w:type="dxa"/>
              <w:right w:w="0" w:type="dxa"/>
            </w:tcMar>
            <w:vAlign w:val="center"/>
          </w:tcPr>
          <w:p w14:paraId="2223F34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742</w:t>
            </w:r>
          </w:p>
        </w:tc>
        <w:tc>
          <w:tcPr>
            <w:tcW w:w="948" w:type="pct"/>
            <w:tcBorders>
              <w:top w:val="nil"/>
              <w:left w:val="nil"/>
              <w:bottom w:val="nil"/>
              <w:right w:val="nil"/>
            </w:tcBorders>
            <w:shd w:val="clear" w:color="auto" w:fill="FFFFFF"/>
            <w:tcMar>
              <w:top w:w="0" w:type="dxa"/>
              <w:left w:w="0" w:type="dxa"/>
              <w:bottom w:w="0" w:type="dxa"/>
              <w:right w:w="0" w:type="dxa"/>
            </w:tcMar>
            <w:vAlign w:val="center"/>
          </w:tcPr>
          <w:p w14:paraId="36F1A6D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6.38</w:t>
            </w:r>
          </w:p>
        </w:tc>
        <w:tc>
          <w:tcPr>
            <w:tcW w:w="1204" w:type="pct"/>
            <w:tcBorders>
              <w:top w:val="nil"/>
              <w:left w:val="nil"/>
              <w:bottom w:val="nil"/>
              <w:right w:val="nil"/>
            </w:tcBorders>
            <w:shd w:val="clear" w:color="auto" w:fill="FFFFFF"/>
            <w:tcMar>
              <w:top w:w="0" w:type="dxa"/>
              <w:left w:w="0" w:type="dxa"/>
              <w:bottom w:w="0" w:type="dxa"/>
              <w:right w:w="0" w:type="dxa"/>
            </w:tcMar>
            <w:vAlign w:val="center"/>
          </w:tcPr>
          <w:p w14:paraId="033829B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0.793</w:t>
            </w:r>
          </w:p>
        </w:tc>
        <w:tc>
          <w:tcPr>
            <w:tcW w:w="1007" w:type="pct"/>
            <w:tcBorders>
              <w:top w:val="nil"/>
              <w:left w:val="nil"/>
              <w:bottom w:val="nil"/>
              <w:right w:val="nil"/>
            </w:tcBorders>
            <w:shd w:val="clear" w:color="auto" w:fill="FFFFFF"/>
            <w:tcMar>
              <w:top w:w="0" w:type="dxa"/>
              <w:left w:w="0" w:type="dxa"/>
              <w:bottom w:w="0" w:type="dxa"/>
              <w:right w:w="0" w:type="dxa"/>
            </w:tcMar>
            <w:vAlign w:val="center"/>
          </w:tcPr>
          <w:p w14:paraId="49173B2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6.88</w:t>
            </w:r>
          </w:p>
        </w:tc>
        <w:tc>
          <w:tcPr>
            <w:tcW w:w="346" w:type="pct"/>
            <w:tcBorders>
              <w:top w:val="nil"/>
              <w:left w:val="nil"/>
              <w:bottom w:val="nil"/>
              <w:right w:val="nil"/>
            </w:tcBorders>
            <w:shd w:val="clear" w:color="auto" w:fill="FFFFFF"/>
            <w:tcMar>
              <w:top w:w="0" w:type="dxa"/>
              <w:left w:w="0" w:type="dxa"/>
              <w:bottom w:w="0" w:type="dxa"/>
              <w:right w:w="0" w:type="dxa"/>
            </w:tcMar>
            <w:vAlign w:val="center"/>
          </w:tcPr>
          <w:p w14:paraId="4468B40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0.793</w:t>
            </w:r>
          </w:p>
        </w:tc>
      </w:tr>
      <w:tr w14:paraId="51A5E65C">
        <w:tblPrEx>
          <w:tblCellMar>
            <w:top w:w="0" w:type="dxa"/>
            <w:left w:w="108" w:type="dxa"/>
            <w:bottom w:w="0" w:type="dxa"/>
            <w:right w:w="108" w:type="dxa"/>
          </w:tblCellMar>
        </w:tblPrEx>
        <w:trPr>
          <w:trHeight w:val="0" w:hRule="atLeast"/>
          <w:jc w:val="center"/>
        </w:trPr>
        <w:tc>
          <w:tcPr>
            <w:tcW w:w="107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E8CBCD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cs="Arial"/>
                <w:i w:val="0"/>
                <w:sz w:val="16"/>
                <w:szCs w:val="16"/>
              </w:rPr>
              <w:t>Low PEF–low grip declining</w:t>
            </w:r>
          </w:p>
        </w:tc>
        <w:tc>
          <w:tcPr>
            <w:tcW w:w="41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780BB6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3,203</w:t>
            </w:r>
          </w:p>
        </w:tc>
        <w:tc>
          <w:tcPr>
            <w:tcW w:w="948"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F4A8B2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27.54</w:t>
            </w:r>
          </w:p>
        </w:tc>
        <w:tc>
          <w:tcPr>
            <w:tcW w:w="120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035734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0.883</w:t>
            </w:r>
          </w:p>
        </w:tc>
        <w:tc>
          <w:tcPr>
            <w:tcW w:w="100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0622B1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27.62</w:t>
            </w:r>
          </w:p>
        </w:tc>
        <w:tc>
          <w:tcPr>
            <w:tcW w:w="34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31C515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leftChars="0" w:right="40" w:rightChars="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0.883</w:t>
            </w:r>
          </w:p>
        </w:tc>
      </w:tr>
    </w:tbl>
    <w:p w14:paraId="525C243D">
      <w:pPr>
        <w:pStyle w:val="3"/>
        <w:widowControl/>
        <w:numPr>
          <w:ilvl w:val="1"/>
          <w:numId w:val="0"/>
        </w:numPr>
        <w:kinsoku/>
        <w:wordWrap/>
        <w:overflowPunct/>
        <w:topLinePunct w:val="0"/>
        <w:autoSpaceDE/>
        <w:autoSpaceDN/>
        <w:bidi w:val="0"/>
        <w:adjustRightInd/>
        <w:snapToGrid/>
        <w:spacing w:before="0" w:line="400" w:lineRule="exact"/>
        <w:ind w:leftChars="0"/>
        <w:textAlignment w:val="auto"/>
        <w:rPr>
          <w:rFonts w:hint="default" w:ascii="Arial" w:hAnsi="Arial" w:cs="Arial"/>
          <w:sz w:val="16"/>
          <w:szCs w:val="16"/>
        </w:rPr>
      </w:pPr>
      <w:r>
        <w:rPr>
          <w:rFonts w:hint="eastAsia" w:ascii="Arial" w:hAnsi="Arial" w:eastAsia="宋体" w:cs="Arial"/>
          <w:b/>
          <w:bCs/>
          <w:sz w:val="16"/>
          <w:szCs w:val="16"/>
          <w:lang w:val="en-US" w:eastAsia="zh-CN"/>
        </w:rPr>
        <w:t xml:space="preserve">Notes: </w:t>
      </w:r>
      <w:r>
        <w:rPr>
          <w:rFonts w:hint="default" w:ascii="Arial" w:hAnsi="Arial" w:eastAsia="Arial" w:cs="Arial"/>
          <w:b w:val="0"/>
          <w:i w:val="0"/>
          <w:strike w:val="0"/>
          <w:color w:val="000000"/>
          <w:sz w:val="16"/>
          <w:szCs w:val="16"/>
          <w:u w:val="none"/>
        </w:rPr>
        <w:t>Participants were assigned to the group with the highest posterior membership probability. PEF, peak expiratory flow; AvePP, average posterior probability.</w:t>
      </w:r>
    </w:p>
    <w:p w14:paraId="1CB7EF41">
      <w:pPr>
        <w:pStyle w:val="3"/>
        <w:widowControl/>
        <w:numPr>
          <w:ilvl w:val="1"/>
          <w:numId w:val="0"/>
        </w:numPr>
        <w:kinsoku/>
        <w:wordWrap/>
        <w:overflowPunct/>
        <w:topLinePunct w:val="0"/>
        <w:autoSpaceDE/>
        <w:autoSpaceDN/>
        <w:bidi w:val="0"/>
        <w:adjustRightInd/>
        <w:snapToGrid/>
        <w:spacing w:before="0" w:line="400" w:lineRule="exact"/>
        <w:ind w:leftChars="0"/>
        <w:textAlignment w:val="auto"/>
        <w:rPr>
          <w:rFonts w:hint="default" w:ascii="Arial" w:hAnsi="Arial" w:cs="Arial"/>
          <w:sz w:val="16"/>
          <w:szCs w:val="16"/>
        </w:rPr>
      </w:pPr>
    </w:p>
    <w:p w14:paraId="4AE6CEEB">
      <w:pPr>
        <w:pStyle w:val="3"/>
        <w:widowControl/>
        <w:numPr>
          <w:ilvl w:val="1"/>
          <w:numId w:val="0"/>
        </w:numPr>
        <w:kinsoku/>
        <w:wordWrap/>
        <w:overflowPunct/>
        <w:topLinePunct w:val="0"/>
        <w:autoSpaceDE/>
        <w:autoSpaceDN/>
        <w:bidi w:val="0"/>
        <w:adjustRightInd/>
        <w:snapToGrid/>
        <w:spacing w:before="0" w:line="400" w:lineRule="exact"/>
        <w:ind w:leftChars="0"/>
        <w:textAlignment w:val="auto"/>
        <w:rPr>
          <w:rFonts w:hint="default" w:ascii="Arial" w:hAnsi="Arial" w:cs="Arial"/>
          <w:sz w:val="16"/>
          <w:szCs w:val="16"/>
        </w:rPr>
      </w:pPr>
      <w:r>
        <w:rPr>
          <w:rFonts w:hint="default" w:ascii="Arial" w:hAnsi="Arial" w:cs="Arial"/>
          <w:sz w:val="16"/>
          <w:szCs w:val="16"/>
        </w:rPr>
        <w:t>Supplementary Table S3. Missing data for baseline covariates after BMI cleaning</w:t>
      </w:r>
    </w:p>
    <w:tbl>
      <w:tblPr>
        <w:tblStyle w:val="8"/>
        <w:tblW w:w="4999" w:type="pct"/>
        <w:jc w:val="center"/>
        <w:tblLayout w:type="autofit"/>
        <w:tblCellMar>
          <w:top w:w="0" w:type="dxa"/>
          <w:left w:w="108" w:type="dxa"/>
          <w:bottom w:w="0" w:type="dxa"/>
          <w:right w:w="108" w:type="dxa"/>
        </w:tblCellMar>
      </w:tblPr>
      <w:tblGrid>
        <w:gridCol w:w="6564"/>
        <w:gridCol w:w="4139"/>
        <w:gridCol w:w="5124"/>
      </w:tblGrid>
      <w:tr w14:paraId="45740EC4">
        <w:tblPrEx>
          <w:tblCellMar>
            <w:top w:w="0" w:type="dxa"/>
            <w:left w:w="108" w:type="dxa"/>
            <w:bottom w:w="0" w:type="dxa"/>
            <w:right w:w="108" w:type="dxa"/>
          </w:tblCellMar>
        </w:tblPrEx>
        <w:trPr>
          <w:trHeight w:val="0" w:hRule="atLeast"/>
          <w:tblHeader/>
          <w:jc w:val="center"/>
        </w:trPr>
        <w:tc>
          <w:tcPr>
            <w:tcW w:w="2073"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EDA133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Variable</w:t>
            </w:r>
          </w:p>
        </w:tc>
        <w:tc>
          <w:tcPr>
            <w:tcW w:w="130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53412A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Missing n</w:t>
            </w:r>
          </w:p>
        </w:tc>
        <w:tc>
          <w:tcPr>
            <w:tcW w:w="1618"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14379A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i w:val="0"/>
                <w:strike w:val="0"/>
                <w:color w:val="000000"/>
                <w:sz w:val="16"/>
                <w:szCs w:val="16"/>
                <w:u w:val="none"/>
              </w:rPr>
            </w:pPr>
            <w:r>
              <w:rPr>
                <w:rFonts w:hint="default" w:ascii="Arial" w:hAnsi="Arial" w:eastAsia="Times New Roman" w:cs="Arial"/>
                <w:b/>
                <w:i w:val="0"/>
                <w:strike w:val="0"/>
                <w:color w:val="000000"/>
                <w:sz w:val="16"/>
                <w:szCs w:val="16"/>
                <w:u w:val="none"/>
              </w:rPr>
              <w:t>Missing (%)</w:t>
            </w:r>
          </w:p>
        </w:tc>
      </w:tr>
      <w:tr w14:paraId="0E552306">
        <w:tblPrEx>
          <w:tblCellMar>
            <w:top w:w="0" w:type="dxa"/>
            <w:left w:w="108" w:type="dxa"/>
            <w:bottom w:w="0" w:type="dxa"/>
            <w:right w:w="108" w:type="dxa"/>
          </w:tblCellMar>
        </w:tblPrEx>
        <w:trPr>
          <w:trHeight w:val="0" w:hRule="atLeast"/>
          <w:jc w:val="center"/>
        </w:trPr>
        <w:tc>
          <w:tcPr>
            <w:tcW w:w="2073"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D4FE78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Income</w:t>
            </w:r>
          </w:p>
        </w:tc>
        <w:tc>
          <w:tcPr>
            <w:tcW w:w="130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5AE113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4,291</w:t>
            </w:r>
          </w:p>
        </w:tc>
        <w:tc>
          <w:tcPr>
            <w:tcW w:w="1618"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29F184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36.90</w:t>
            </w:r>
          </w:p>
        </w:tc>
      </w:tr>
      <w:tr w14:paraId="04278323">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73553AD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Self</w:t>
            </w:r>
            <w:r>
              <w:rPr>
                <w:rFonts w:hint="default" w:ascii="Arial" w:hAnsi="Arial" w:eastAsia="Times New Roman" w:cs="Arial"/>
                <w:b w:val="0"/>
                <w:i w:val="0"/>
                <w:strike w:val="0"/>
                <w:color w:val="000000"/>
                <w:sz w:val="16"/>
                <w:szCs w:val="16"/>
                <w:u w:val="none"/>
                <w:lang w:val="en-US" w:eastAsia="zh-CN"/>
              </w:rPr>
              <w:t>-</w:t>
            </w:r>
            <w:r>
              <w:rPr>
                <w:rFonts w:hint="default" w:ascii="Arial" w:hAnsi="Arial" w:eastAsia="Times New Roman" w:cs="Arial"/>
                <w:b w:val="0"/>
                <w:i w:val="0"/>
                <w:strike w:val="0"/>
                <w:color w:val="000000"/>
                <w:sz w:val="16"/>
                <w:szCs w:val="16"/>
                <w:u w:val="none"/>
              </w:rPr>
              <w:t>rated</w:t>
            </w:r>
            <w:r>
              <w:rPr>
                <w:rFonts w:hint="default" w:ascii="Arial" w:hAnsi="Arial" w:eastAsia="Times New Roman" w:cs="Arial"/>
                <w:b w:val="0"/>
                <w:i w:val="0"/>
                <w:strike w:val="0"/>
                <w:color w:val="000000"/>
                <w:sz w:val="16"/>
                <w:szCs w:val="16"/>
                <w:u w:val="none"/>
                <w:lang w:val="en-US" w:eastAsia="zh-CN"/>
              </w:rPr>
              <w:t xml:space="preserve"> </w:t>
            </w:r>
            <w:r>
              <w:rPr>
                <w:rFonts w:hint="default" w:ascii="Arial" w:hAnsi="Arial" w:eastAsia="Times New Roman" w:cs="Arial"/>
                <w:b w:val="0"/>
                <w:i w:val="0"/>
                <w:strike w:val="0"/>
                <w:color w:val="000000"/>
                <w:sz w:val="16"/>
                <w:szCs w:val="16"/>
                <w:u w:val="none"/>
              </w:rPr>
              <w:t>health</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675825C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3,363</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4D14D91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28.92</w:t>
            </w:r>
          </w:p>
        </w:tc>
      </w:tr>
      <w:tr w14:paraId="18811678">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46FEE0A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BMI</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3EE93F4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1,063</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2093639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9.14</w:t>
            </w:r>
          </w:p>
        </w:tc>
      </w:tr>
      <w:tr w14:paraId="34639D42">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5979C90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DBP</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2C8C342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1,032</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390C461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8.87</w:t>
            </w:r>
          </w:p>
        </w:tc>
      </w:tr>
      <w:tr w14:paraId="35FAACF7">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1D8887F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SBP</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5A18D96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1,031</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39D0A74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8.87</w:t>
            </w:r>
          </w:p>
        </w:tc>
      </w:tr>
      <w:tr w14:paraId="25CFF586">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628E78D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Waist</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6912997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974</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0CFF7D4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8.37</w:t>
            </w:r>
          </w:p>
        </w:tc>
      </w:tr>
      <w:tr w14:paraId="23BA95DF">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6717781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Drinking</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0943672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699</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6CF27ED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6.01</w:t>
            </w:r>
          </w:p>
        </w:tc>
      </w:tr>
      <w:tr w14:paraId="5480D0B0">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6478DEC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Depression</w:t>
            </w:r>
            <w:r>
              <w:rPr>
                <w:rFonts w:hint="default" w:ascii="Arial" w:hAnsi="Arial" w:eastAsia="Times New Roman" w:cs="Arial"/>
                <w:b w:val="0"/>
                <w:i w:val="0"/>
                <w:strike w:val="0"/>
                <w:color w:val="000000"/>
                <w:sz w:val="16"/>
                <w:szCs w:val="16"/>
                <w:u w:val="none"/>
                <w:lang w:val="en-US" w:eastAsia="zh-CN"/>
              </w:rPr>
              <w:t xml:space="preserve"> </w:t>
            </w:r>
            <w:r>
              <w:rPr>
                <w:rFonts w:hint="default" w:ascii="Arial" w:hAnsi="Arial" w:eastAsia="Times New Roman" w:cs="Arial"/>
                <w:b w:val="0"/>
                <w:i w:val="0"/>
                <w:strike w:val="0"/>
                <w:color w:val="000000"/>
                <w:sz w:val="16"/>
                <w:szCs w:val="16"/>
                <w:u w:val="none"/>
              </w:rPr>
              <w:t>score</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4206407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399</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403E9B9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3.43</w:t>
            </w:r>
          </w:p>
        </w:tc>
      </w:tr>
      <w:tr w14:paraId="1B35F93A">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259C948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Dyslipidemia</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012432A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257</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601206D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2.21</w:t>
            </w:r>
          </w:p>
        </w:tc>
      </w:tr>
      <w:tr w14:paraId="1D1608D0">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71FF577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Smoking</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39AFB2A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179</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2C4388C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1.54</w:t>
            </w:r>
          </w:p>
        </w:tc>
      </w:tr>
      <w:tr w14:paraId="696FCB81">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6C99415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Diabetes</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77D9424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141</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7284243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1.21</w:t>
            </w:r>
          </w:p>
        </w:tc>
      </w:tr>
      <w:tr w14:paraId="42CABC4B">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4358445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Kidney</w:t>
            </w:r>
            <w:r>
              <w:rPr>
                <w:rFonts w:hint="default" w:ascii="Arial" w:hAnsi="Arial" w:eastAsia="Times New Roman" w:cs="Arial"/>
                <w:b w:val="0"/>
                <w:i w:val="0"/>
                <w:strike w:val="0"/>
                <w:color w:val="000000"/>
                <w:sz w:val="16"/>
                <w:szCs w:val="16"/>
                <w:u w:val="none"/>
                <w:lang w:val="en-US" w:eastAsia="zh-CN"/>
              </w:rPr>
              <w:t xml:space="preserve"> </w:t>
            </w:r>
            <w:r>
              <w:rPr>
                <w:rFonts w:hint="default" w:ascii="Arial" w:hAnsi="Arial" w:eastAsia="Times New Roman" w:cs="Arial"/>
                <w:b w:val="0"/>
                <w:i w:val="0"/>
                <w:strike w:val="0"/>
                <w:color w:val="000000"/>
                <w:sz w:val="16"/>
                <w:szCs w:val="16"/>
                <w:u w:val="none"/>
              </w:rPr>
              <w:t>disease</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1CA348B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110</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2054A8E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0.95</w:t>
            </w:r>
          </w:p>
        </w:tc>
      </w:tr>
      <w:tr w14:paraId="21B45E65">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7FC74E3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Heart</w:t>
            </w:r>
            <w:r>
              <w:rPr>
                <w:rFonts w:hint="default" w:ascii="Arial" w:hAnsi="Arial" w:eastAsia="Times New Roman" w:cs="Arial"/>
                <w:b w:val="0"/>
                <w:i w:val="0"/>
                <w:strike w:val="0"/>
                <w:color w:val="000000"/>
                <w:sz w:val="16"/>
                <w:szCs w:val="16"/>
                <w:u w:val="none"/>
                <w:lang w:val="en-US" w:eastAsia="zh-CN"/>
              </w:rPr>
              <w:t xml:space="preserve"> </w:t>
            </w:r>
            <w:r>
              <w:rPr>
                <w:rFonts w:hint="default" w:ascii="Arial" w:hAnsi="Arial" w:eastAsia="Times New Roman" w:cs="Arial"/>
                <w:b w:val="0"/>
                <w:i w:val="0"/>
                <w:strike w:val="0"/>
                <w:color w:val="000000"/>
                <w:sz w:val="16"/>
                <w:szCs w:val="16"/>
                <w:u w:val="none"/>
              </w:rPr>
              <w:t>disease</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25BA451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96</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263F98E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0.83</w:t>
            </w:r>
          </w:p>
        </w:tc>
      </w:tr>
      <w:tr w14:paraId="772B686A">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6D29A25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Hypertension</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5E49B22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91</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3C6BC3D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0.78</w:t>
            </w:r>
          </w:p>
        </w:tc>
      </w:tr>
      <w:tr w14:paraId="243E5DBC">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3484416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Cancer</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06081D9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87</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6C87582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0.75</w:t>
            </w:r>
          </w:p>
        </w:tc>
      </w:tr>
      <w:tr w14:paraId="40AA7520">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15F7B47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Lung</w:t>
            </w:r>
            <w:r>
              <w:rPr>
                <w:rFonts w:hint="default" w:ascii="Arial" w:hAnsi="Arial" w:eastAsia="Times New Roman" w:cs="Arial"/>
                <w:b w:val="0"/>
                <w:i w:val="0"/>
                <w:strike w:val="0"/>
                <w:color w:val="000000"/>
                <w:sz w:val="16"/>
                <w:szCs w:val="16"/>
                <w:u w:val="none"/>
                <w:lang w:val="en-US" w:eastAsia="zh-CN"/>
              </w:rPr>
              <w:t xml:space="preserve"> </w:t>
            </w:r>
            <w:r>
              <w:rPr>
                <w:rFonts w:hint="default" w:ascii="Arial" w:hAnsi="Arial" w:eastAsia="Times New Roman" w:cs="Arial"/>
                <w:b w:val="0"/>
                <w:i w:val="0"/>
                <w:strike w:val="0"/>
                <w:color w:val="000000"/>
                <w:sz w:val="16"/>
                <w:szCs w:val="16"/>
                <w:u w:val="none"/>
              </w:rPr>
              <w:t>disease</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6A7D45C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78</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77A56E4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0.67</w:t>
            </w:r>
          </w:p>
        </w:tc>
      </w:tr>
      <w:tr w14:paraId="51B2D6D1">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56C2AD2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Stroke</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334350B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63</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25F8D99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0.54</w:t>
            </w:r>
          </w:p>
        </w:tc>
      </w:tr>
      <w:tr w14:paraId="2A206D50">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52A7609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Arthritis</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2284C12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55</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4788D2F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0.47</w:t>
            </w:r>
          </w:p>
        </w:tc>
      </w:tr>
      <w:tr w14:paraId="0186C0C1">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64D54BA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Marital</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65E809F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5</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517EA82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0.04</w:t>
            </w:r>
          </w:p>
        </w:tc>
      </w:tr>
      <w:tr w14:paraId="63D458EC">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6F0BA6D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Age</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4B51F7C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5E4DC0A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0.00</w:t>
            </w:r>
          </w:p>
        </w:tc>
      </w:tr>
      <w:tr w14:paraId="60931E55">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42D6C336">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Sex</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1E797F0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67697FC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0.00</w:t>
            </w:r>
          </w:p>
        </w:tc>
      </w:tr>
      <w:tr w14:paraId="56C07A08">
        <w:tblPrEx>
          <w:tblCellMar>
            <w:top w:w="0" w:type="dxa"/>
            <w:left w:w="108" w:type="dxa"/>
            <w:bottom w:w="0" w:type="dxa"/>
            <w:right w:w="108" w:type="dxa"/>
          </w:tblCellMar>
        </w:tblPrEx>
        <w:trPr>
          <w:trHeight w:val="0" w:hRule="atLeast"/>
          <w:jc w:val="center"/>
        </w:trPr>
        <w:tc>
          <w:tcPr>
            <w:tcW w:w="2073" w:type="pct"/>
            <w:tcBorders>
              <w:top w:val="nil"/>
              <w:left w:val="nil"/>
              <w:bottom w:val="nil"/>
              <w:right w:val="nil"/>
            </w:tcBorders>
            <w:shd w:val="clear" w:color="auto" w:fill="FFFFFF"/>
            <w:tcMar>
              <w:top w:w="0" w:type="dxa"/>
              <w:left w:w="0" w:type="dxa"/>
              <w:bottom w:w="0" w:type="dxa"/>
              <w:right w:w="0" w:type="dxa"/>
            </w:tcMar>
            <w:vAlign w:val="center"/>
          </w:tcPr>
          <w:p w14:paraId="120ECCA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Education</w:t>
            </w:r>
          </w:p>
        </w:tc>
        <w:tc>
          <w:tcPr>
            <w:tcW w:w="1307" w:type="pct"/>
            <w:tcBorders>
              <w:top w:val="nil"/>
              <w:left w:val="nil"/>
              <w:bottom w:val="nil"/>
              <w:right w:val="nil"/>
            </w:tcBorders>
            <w:shd w:val="clear" w:color="auto" w:fill="FFFFFF"/>
            <w:tcMar>
              <w:top w:w="0" w:type="dxa"/>
              <w:left w:w="0" w:type="dxa"/>
              <w:bottom w:w="0" w:type="dxa"/>
              <w:right w:w="0" w:type="dxa"/>
            </w:tcMar>
            <w:vAlign w:val="center"/>
          </w:tcPr>
          <w:p w14:paraId="2DB8EBE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w:t>
            </w:r>
          </w:p>
        </w:tc>
        <w:tc>
          <w:tcPr>
            <w:tcW w:w="1618" w:type="pct"/>
            <w:tcBorders>
              <w:top w:val="nil"/>
              <w:left w:val="nil"/>
              <w:bottom w:val="nil"/>
              <w:right w:val="nil"/>
            </w:tcBorders>
            <w:shd w:val="clear" w:color="auto" w:fill="FFFFFF"/>
            <w:tcMar>
              <w:top w:w="0" w:type="dxa"/>
              <w:left w:w="0" w:type="dxa"/>
              <w:bottom w:w="0" w:type="dxa"/>
              <w:right w:w="0" w:type="dxa"/>
            </w:tcMar>
            <w:vAlign w:val="center"/>
          </w:tcPr>
          <w:p w14:paraId="5B290B4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0.00</w:t>
            </w:r>
          </w:p>
        </w:tc>
      </w:tr>
      <w:tr w14:paraId="5C6BD19B">
        <w:tblPrEx>
          <w:tblCellMar>
            <w:top w:w="0" w:type="dxa"/>
            <w:left w:w="108" w:type="dxa"/>
            <w:bottom w:w="0" w:type="dxa"/>
            <w:right w:w="108" w:type="dxa"/>
          </w:tblCellMar>
        </w:tblPrEx>
        <w:trPr>
          <w:trHeight w:val="0" w:hRule="atLeast"/>
          <w:jc w:val="center"/>
        </w:trPr>
        <w:tc>
          <w:tcPr>
            <w:tcW w:w="2073"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A97E37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Residence</w:t>
            </w:r>
          </w:p>
        </w:tc>
        <w:tc>
          <w:tcPr>
            <w:tcW w:w="130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6DDEE9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w:t>
            </w:r>
          </w:p>
        </w:tc>
        <w:tc>
          <w:tcPr>
            <w:tcW w:w="1618"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D2E9B4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Times New Roman"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0.00</w:t>
            </w:r>
          </w:p>
        </w:tc>
      </w:tr>
    </w:tbl>
    <w:p w14:paraId="42A2A83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right="0" w:firstLine="0" w:firstLineChars="0"/>
        <w:jc w:val="left"/>
        <w:textAlignment w:val="auto"/>
        <w:rPr>
          <w:rFonts w:hint="default" w:ascii="Arial" w:hAnsi="Arial" w:eastAsia="Arial" w:cs="Arial"/>
          <w:b w:val="0"/>
          <w:i w:val="0"/>
          <w:strike w:val="0"/>
          <w:color w:val="000000"/>
          <w:sz w:val="16"/>
          <w:szCs w:val="16"/>
          <w:u w:val="none"/>
        </w:rPr>
      </w:pPr>
      <w:r>
        <w:rPr>
          <w:rFonts w:hint="eastAsia" w:ascii="Arial" w:hAnsi="Arial" w:eastAsia="宋体" w:cs="Arial"/>
          <w:b/>
          <w:bCs/>
          <w:sz w:val="16"/>
          <w:szCs w:val="16"/>
          <w:lang w:val="en-US" w:eastAsia="zh-CN"/>
        </w:rPr>
        <w:t xml:space="preserve">Notes: </w:t>
      </w:r>
      <w:r>
        <w:rPr>
          <w:rFonts w:hint="default" w:ascii="Arial" w:hAnsi="Arial" w:eastAsia="Arial" w:cs="Arial"/>
          <w:b w:val="0"/>
          <w:i w:val="0"/>
          <w:strike w:val="0"/>
          <w:color w:val="000000"/>
          <w:sz w:val="16"/>
          <w:szCs w:val="16"/>
          <w:u w:val="none"/>
        </w:rPr>
        <w:t>Missing values were calculated among the final trajectory sample after BMI cleaning. BMI values outside the plausible range of 10–60 kg/m² were treated as missing before the final analyses.</w:t>
      </w:r>
    </w:p>
    <w:p w14:paraId="02675397">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p>
    <w:p w14:paraId="49CFC5A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right="0" w:firstLine="0" w:firstLineChars="0"/>
        <w:jc w:val="left"/>
        <w:textAlignment w:val="auto"/>
        <w:rPr>
          <w:rFonts w:hint="default" w:ascii="Arial" w:hAnsi="Arial" w:cs="Arial"/>
          <w:sz w:val="16"/>
          <w:szCs w:val="16"/>
        </w:rPr>
      </w:pPr>
      <w:r>
        <w:rPr>
          <w:rFonts w:hint="default" w:ascii="Arial" w:hAnsi="Arial" w:cs="Arial"/>
          <w:b/>
          <w:i w:val="0"/>
          <w:color w:val="000000"/>
          <w:sz w:val="16"/>
          <w:szCs w:val="16"/>
          <w:u w:val="none"/>
        </w:rPr>
        <w:t>Supplementary Table S4. Sensitivity analyses of associations between PEF–grip joint trajectory groups and adverse outcomes</w:t>
      </w:r>
    </w:p>
    <w:tbl>
      <w:tblPr>
        <w:tblStyle w:val="8"/>
        <w:tblW w:w="4998" w:type="pct"/>
        <w:jc w:val="center"/>
        <w:tblLayout w:type="autofit"/>
        <w:tblCellMar>
          <w:top w:w="0" w:type="dxa"/>
          <w:left w:w="108" w:type="dxa"/>
          <w:bottom w:w="0" w:type="dxa"/>
          <w:right w:w="108" w:type="dxa"/>
        </w:tblCellMar>
      </w:tblPr>
      <w:tblGrid>
        <w:gridCol w:w="3603"/>
        <w:gridCol w:w="2977"/>
        <w:gridCol w:w="2977"/>
        <w:gridCol w:w="2977"/>
        <w:gridCol w:w="3290"/>
      </w:tblGrid>
      <w:tr w14:paraId="026C712D">
        <w:tblPrEx>
          <w:tblCellMar>
            <w:top w:w="0" w:type="dxa"/>
            <w:left w:w="108" w:type="dxa"/>
            <w:bottom w:w="0" w:type="dxa"/>
            <w:right w:w="108" w:type="dxa"/>
          </w:tblCellMar>
        </w:tblPrEx>
        <w:trPr>
          <w:cantSplit/>
          <w:trHeight w:val="0" w:hRule="atLeast"/>
          <w:tblHeader/>
          <w:jc w:val="center"/>
        </w:trPr>
        <w:tc>
          <w:tcPr>
            <w:tcW w:w="1138" w:type="pct"/>
            <w:tcBorders>
              <w:top w:val="single" w:color="000000" w:sz="12" w:space="0"/>
              <w:left w:val="nil"/>
              <w:bottom w:val="single" w:color="000000" w:sz="4" w:space="0"/>
              <w:right w:val="nil"/>
              <w:tl2br w:val="nil"/>
            </w:tcBorders>
            <w:shd w:val="clear" w:color="auto" w:fill="FFFFFF"/>
            <w:tcMar>
              <w:top w:w="0" w:type="dxa"/>
              <w:left w:w="0" w:type="dxa"/>
              <w:bottom w:w="0" w:type="dxa"/>
              <w:right w:w="0" w:type="dxa"/>
            </w:tcMar>
            <w:vAlign w:val="center"/>
          </w:tcPr>
          <w:p w14:paraId="4846E8C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Outcome / trajectory group</w:t>
            </w:r>
          </w:p>
        </w:tc>
        <w:tc>
          <w:tcPr>
            <w:tcW w:w="940"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center"/>
          </w:tcPr>
          <w:p w14:paraId="71CD7B3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Primary model (Model 3)</w:t>
            </w:r>
          </w:p>
        </w:tc>
        <w:tc>
          <w:tcPr>
            <w:tcW w:w="940"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center"/>
          </w:tcPr>
          <w:p w14:paraId="5D48FC0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Extended adjustment</w:t>
            </w:r>
          </w:p>
        </w:tc>
        <w:tc>
          <w:tcPr>
            <w:tcW w:w="940"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center"/>
          </w:tcPr>
          <w:p w14:paraId="0F056AC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Multiple imputation</w:t>
            </w:r>
          </w:p>
        </w:tc>
        <w:tc>
          <w:tcPr>
            <w:tcW w:w="1039"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center"/>
          </w:tcPr>
          <w:p w14:paraId="2E3D4F1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Excluding baseline lung disease</w:t>
            </w:r>
          </w:p>
        </w:tc>
      </w:tr>
      <w:tr w14:paraId="1F496A28">
        <w:tblPrEx>
          <w:tblCellMar>
            <w:top w:w="0" w:type="dxa"/>
            <w:left w:w="108" w:type="dxa"/>
            <w:bottom w:w="0" w:type="dxa"/>
            <w:right w:w="108" w:type="dxa"/>
          </w:tblCellMar>
        </w:tblPrEx>
        <w:trPr>
          <w:cantSplit/>
          <w:trHeight w:val="0" w:hRule="atLeast"/>
          <w:jc w:val="center"/>
        </w:trPr>
        <w:tc>
          <w:tcPr>
            <w:tcW w:w="1138"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19CF560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Incident ADL disability</w:t>
            </w:r>
          </w:p>
        </w:tc>
        <w:tc>
          <w:tcPr>
            <w:tcW w:w="940"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415D442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6,443; events = 882</w:t>
            </w:r>
          </w:p>
        </w:tc>
        <w:tc>
          <w:tcPr>
            <w:tcW w:w="940"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2F4CF618">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2,722; events = 388</w:t>
            </w:r>
          </w:p>
        </w:tc>
        <w:tc>
          <w:tcPr>
            <w:tcW w:w="940"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4D60E4BF">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7,874; events = 1,067</w:t>
            </w:r>
          </w:p>
        </w:tc>
        <w:tc>
          <w:tcPr>
            <w:tcW w:w="1039"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3C35EFEF">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5,950; events = 762</w:t>
            </w:r>
          </w:p>
        </w:tc>
      </w:tr>
      <w:tr w14:paraId="58C7B24F">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2F5B535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Very high PEF–very high grip</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5C7B0B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2AEB7D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6D209F1">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4B08B47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r>
      <w:tr w14:paraId="5CD01B42">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2E723631">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High PEF–high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3E8B5EC">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1.18 (0.80, 1.72); P = 0.402</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819416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1.42 (0.81, 2.49); P = 0.225</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10C988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1.25 (0.88, 1.79); P = 0.217</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3D36DF8C">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1.17 (0.79, 1.73); P = 0.445</w:t>
            </w:r>
          </w:p>
        </w:tc>
      </w:tr>
      <w:tr w14:paraId="1E0F1B38">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7EDDA95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Average PEF–average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EDDD432">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1.63 (1.09, 2.44); P = 0.018</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5069A3E">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2.45 (1.35, 4.45); P = 0.003</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84ACBA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1.83 (1.26, 2.67); P = 0.002</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1751959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1.60 (1.05, 2.43); P = 0.030</w:t>
            </w:r>
          </w:p>
        </w:tc>
      </w:tr>
      <w:tr w14:paraId="26B26698">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124B57E6">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Low PEF–moderate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164947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1.63 (1.03, 2.60); P = 0.038</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BE218C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1.70 (0.85, 3.41); P = 0.136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DDC5E0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1.64 (1.06, 2.53); P = 0.025</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2167A01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1.39 (0.82, 2.37); P = 0.224</w:t>
            </w:r>
          </w:p>
        </w:tc>
      </w:tr>
      <w:tr w14:paraId="456261C5">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453BC35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Low PEF–low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D44A7C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2.24 (1.44, 3.50); P &lt; 0.001</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4B9E73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3.44 (1.76, 6.73); P &lt; 0.001</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2E81FB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2.28 (1.50, 3.44); P &lt; 0.001</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45DB8EA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2.24 (1.40, 3.57); P &lt; 0.001</w:t>
            </w:r>
          </w:p>
        </w:tc>
      </w:tr>
      <w:tr w14:paraId="4C853B19">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5501E6A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Incident IADL disability</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73C719E">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6,096; events = 1,103</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5E3C030">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2,564; events = 514</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C9F65B8">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7,445; events = 1,333</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0A04FC8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5,621; events = 987</w:t>
            </w:r>
          </w:p>
        </w:tc>
      </w:tr>
      <w:tr w14:paraId="56E28C6A">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2AEB27E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Very high PEF–very high grip</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125F2A1">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CDFDD97">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8012B82">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6CEE7E0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r>
      <w:tr w14:paraId="0DA699A9">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26607450">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High PEF–high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8BB704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1.34 (0.95, 1.88); P = 0.092</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62C59D8">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1.27 (0.80, 2.01); P = 0.303</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8C17E17">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1.35 (0.99, 1.85); P = 0.062</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5474AD1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1.33 (0.94, 1.89); P = 0.107</w:t>
            </w:r>
          </w:p>
        </w:tc>
      </w:tr>
      <w:tr w14:paraId="1D648A09">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1A8DFC27">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Average PEF–average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E7D379F">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1.45 (1.00, 2.10); P = 0.047</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604C056">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1.30 (0.78, 2.17); P = 0.306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9F7AB2A">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1.40 (1.00, 1.97); P = 0.049</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75910448">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1.42 (0.97, 2.07); P = 0.074</w:t>
            </w:r>
          </w:p>
        </w:tc>
      </w:tr>
      <w:tr w14:paraId="729870F8">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333D8C47">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Low PEF–moderate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524399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1.70 (1.11, 2.58); P = 0.014</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A3992C7">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1.74 (0.98, 3.08); P = 0.056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595F7E6">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1.59 (1.08, 2.34); P = 0.019</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750B9950">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1.60 (1.01, 2.53); P = 0.045</w:t>
            </w:r>
          </w:p>
        </w:tc>
      </w:tr>
      <w:tr w14:paraId="28AF3DDC">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39DE043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Low PEF–low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90E40B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1.86 (1.24, 2.79); P = 0.003</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96F373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1.71 (0.96, 3.04); P = 0.066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DCF37B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1.71 (1.17, 2.49); P = 0.005</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7275A45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1.83 (1.20, 2.80); P = 0.005</w:t>
            </w:r>
          </w:p>
        </w:tc>
      </w:tr>
      <w:tr w14:paraId="46A2A3DE">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40462BA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Any incident ADL/IADL disability</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24DE167">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5,346; events = 1,144</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7B51049">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2,223; events = 526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BB2FA0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6,532; events = 1,402</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4280CE0E">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4,954; events = 1,023</w:t>
            </w:r>
          </w:p>
        </w:tc>
      </w:tr>
      <w:tr w14:paraId="5A388B07">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57F7906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Very high PEF–very high grip</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26FAE9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0D60654">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3EA65C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63B1E922">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r>
      <w:tr w14:paraId="4DEA76DF">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1D6F7B7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High PEF–high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9F88F66">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1.28 (0.94, 1.75); P = 0.117</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08F8F49">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1.19 (0.78, 1.81); P = 0.425</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A32C834">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1.33 (1.00, 1.77); P = 0.052</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2B3C956E">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1.29 (0.93, 1.77); P = 0.125</w:t>
            </w:r>
          </w:p>
        </w:tc>
      </w:tr>
      <w:tr w14:paraId="42C9D970">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07AA8F61">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Average PEF–average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CC08377">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1.44 (1.02, 2.04); P = 0.039</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1DAEEF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1.35 (0.84, 2.19); P = 0.220</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483FC91">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1.50 (1.09, 2.06); P = 0.012</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13B4522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1.42 (0.99, 2.03); P = 0.056</w:t>
            </w:r>
          </w:p>
        </w:tc>
      </w:tr>
      <w:tr w14:paraId="696EEF5E">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6EE29592">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Low PEF–moderate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E1A00D6">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1.76 (1.18, 2.63); P = 0.006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3F2277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1.73 (0.99, 3.01); P = 0.054</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2D2354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1.67 (1.15, 2.41); P = 0.007</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3F89D4E1">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1.75 (1.12, 2.72); P = 0.014</w:t>
            </w:r>
          </w:p>
        </w:tc>
      </w:tr>
      <w:tr w14:paraId="39A6E3F5">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2BF4FDD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Low PEF–low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5E169C4">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1.85 (1.25, 2.74); P = 0.002</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DCCFD9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1.57 (0.89, 2.75); P = 0.117</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252CE7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1.80 (1.26, 2.57); P = 0.001</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64A5B26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1.88 (1.25, 2.82); P = 0.002</w:t>
            </w:r>
          </w:p>
        </w:tc>
      </w:tr>
      <w:tr w14:paraId="20CB70D2">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40416AC4">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Incident frailty</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13F9FB4">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6,582; events = 1,007</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6DA673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2,781; events = 464</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8135A5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8,024; events = 1,209</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4EC88B43">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N = 6,149; events = 889</w:t>
            </w:r>
          </w:p>
        </w:tc>
      </w:tr>
      <w:tr w14:paraId="41325870">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1C209F0B">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Very high PEF–very high grip</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9BFEBD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382E6B2">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E927E5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76AD2DF1">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 (Reference)</w:t>
            </w:r>
          </w:p>
        </w:tc>
      </w:tr>
      <w:tr w14:paraId="59B19579">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25D8A3A0">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High PEF–high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A670B7F">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1.33 (0.92, 1.91); P = 0.126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7A3A7D6">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1.21 (0.74, 1.97); P = 0.451</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E53B879">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1.32 (0.94, 1.86); P = 0.104</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1E41B56F">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1.32 (0.90, 1.93); P = 0.153</w:t>
            </w:r>
          </w:p>
        </w:tc>
      </w:tr>
      <w:tr w14:paraId="7420FF83">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0E9F813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Average PEF–average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5EA201E">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1.54 (1.04, 2.28); P = 0.031</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AAA38EA">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1.33 (0.77, 2.29); P = 0.302</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711D01C">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1.59 (1.10, 2.28); P = 0.013</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29BCA945">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1.53 (1.01, 2.30); P = 0.043</w:t>
            </w:r>
          </w:p>
        </w:tc>
      </w:tr>
      <w:tr w14:paraId="291C19F7">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5AB0EB7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Low PEF–moderate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E905D5F">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1.75 (1.12, 2.74); P = 0.013</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E3691CD">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1.68 (0.91, 3.10); P = 0.099</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1AC4CB4">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1.82 (1.20, 2.75); P = 0.005</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5C3F2FB9">
            <w:pPr>
              <w:keepNext/>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1.43 (0.87, 2.38); P = 0.162</w:t>
            </w:r>
          </w:p>
        </w:tc>
      </w:tr>
      <w:tr w14:paraId="4C9A8B5C">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2B2F40A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cs="Arial"/>
                <w:i w:val="0"/>
                <w:sz w:val="16"/>
                <w:szCs w:val="16"/>
              </w:rPr>
              <w:t xml:space="preserve">   Low PEF–low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1CA730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2.29 (1.49, 3.52); P &lt; 0.001</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383869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2.49 (1.35, 4.60); P = 0.003</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679A185">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2.36 (1.58, 3.52); P &lt; 0.001</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684DF8D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40" w:after="40" w:line="400" w:lineRule="exact"/>
              <w:ind w:left="40" w:right="4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2.35 (1.49, 3.70); P &lt; 0.001</w:t>
            </w:r>
          </w:p>
        </w:tc>
      </w:tr>
      <w:tr w14:paraId="211A12C3">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02F46DCF">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default" w:ascii="Arial" w:hAnsi="Arial" w:cs="Arial"/>
                <w:sz w:val="16"/>
                <w:szCs w:val="16"/>
              </w:rPr>
              <w:t>All-cause mortality</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29A8DDD">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N = 9,434; events = 406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23F439C">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N = 4,130; events = 209</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621B6FA">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N = 11,469; events = 513</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0B2928DF">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N = 8,585; events = 341</w:t>
            </w:r>
          </w:p>
        </w:tc>
      </w:tr>
      <w:tr w14:paraId="58F32D66">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5FA0D23A">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default" w:ascii="Arial" w:hAnsi="Arial" w:eastAsia="Times New Roman" w:cs="Arial"/>
                <w:sz w:val="16"/>
                <w:szCs w:val="16"/>
              </w:rPr>
              <w:t xml:space="preserve">   Very high PEF–very high grip</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D489924">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FC921C3">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1.00 (Reference)</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C9ABCE3">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1.00 (Reference)</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436FDED3">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1.00 (Reference)</w:t>
            </w:r>
          </w:p>
        </w:tc>
      </w:tr>
      <w:tr w14:paraId="35DAFE48">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0DCF3216">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default" w:ascii="Arial" w:hAnsi="Arial" w:eastAsia="Times New Roman" w:cs="Arial"/>
                <w:sz w:val="16"/>
                <w:szCs w:val="16"/>
              </w:rPr>
              <w:t xml:space="preserve">   High PEF–high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ECF062A">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2.04 (1.07, 3.87); P = 0.030</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B521F48">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1.13 (0.52, 2.50); P = 0.753</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C27F7D4">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1.50 (0.90, 2.51); P = 0.124</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0531732A">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1.99 (1.04, 3.80); P = 0.038</w:t>
            </w:r>
          </w:p>
        </w:tc>
      </w:tr>
      <w:tr w14:paraId="574D606A">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07F99FE0">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default" w:ascii="Arial" w:hAnsi="Arial" w:eastAsia="Times New Roman" w:cs="Arial"/>
                <w:sz w:val="16"/>
                <w:szCs w:val="16"/>
              </w:rPr>
              <w:t xml:space="preserve">   Average PEF–average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412BCAA">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1.91 (0.98, 3.73); P = 0.057</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67E31C8">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1.16 (0.51, 2.64); P = 0.725</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377F476">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1.29 (0.75, 2.22); P = 0.357</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5D74C104">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1.93 (0.98, 3.81); P = 0.057</w:t>
            </w:r>
          </w:p>
        </w:tc>
      </w:tr>
      <w:tr w14:paraId="76323915">
        <w:tblPrEx>
          <w:tblCellMar>
            <w:top w:w="0" w:type="dxa"/>
            <w:left w:w="108" w:type="dxa"/>
            <w:bottom w:w="0" w:type="dxa"/>
            <w:right w:w="108" w:type="dxa"/>
          </w:tblCellMar>
        </w:tblPrEx>
        <w:trPr>
          <w:cantSplit/>
          <w:trHeight w:val="0" w:hRule="atLeast"/>
          <w:jc w:val="center"/>
        </w:trPr>
        <w:tc>
          <w:tcPr>
            <w:tcW w:w="1138" w:type="pct"/>
            <w:tcBorders>
              <w:top w:val="nil"/>
              <w:left w:val="nil"/>
              <w:bottom w:val="nil"/>
              <w:right w:val="nil"/>
            </w:tcBorders>
            <w:shd w:val="clear" w:color="auto" w:fill="FFFFFF"/>
            <w:tcMar>
              <w:top w:w="0" w:type="dxa"/>
              <w:left w:w="0" w:type="dxa"/>
              <w:bottom w:w="0" w:type="dxa"/>
              <w:right w:w="0" w:type="dxa"/>
            </w:tcMar>
            <w:vAlign w:val="center"/>
          </w:tcPr>
          <w:p w14:paraId="4436E06E">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default" w:ascii="Arial" w:hAnsi="Arial" w:eastAsia="Times New Roman" w:cs="Arial"/>
                <w:sz w:val="16"/>
                <w:szCs w:val="16"/>
              </w:rPr>
              <w:t xml:space="preserve">   Low PEF–moderate grip declining</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5F95FB8">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3.14 (1.56, 6.32); P = 0.001</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F6BE971">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2.20 (0.93, 5.19); P = 0.072</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18958B7">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2.21 (1.25, 3.91); P = 0.007</w:t>
            </w:r>
          </w:p>
        </w:tc>
        <w:tc>
          <w:tcPr>
            <w:tcW w:w="1039" w:type="pct"/>
            <w:tcBorders>
              <w:top w:val="nil"/>
              <w:left w:val="nil"/>
              <w:bottom w:val="nil"/>
              <w:right w:val="nil"/>
            </w:tcBorders>
            <w:shd w:val="clear" w:color="auto" w:fill="FFFFFF"/>
            <w:tcMar>
              <w:top w:w="0" w:type="dxa"/>
              <w:left w:w="0" w:type="dxa"/>
              <w:bottom w:w="0" w:type="dxa"/>
              <w:right w:w="0" w:type="dxa"/>
            </w:tcMar>
            <w:vAlign w:val="center"/>
          </w:tcPr>
          <w:p w14:paraId="1394D38D">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3.31 (1.59, 6.90); P = 0.001</w:t>
            </w:r>
          </w:p>
        </w:tc>
      </w:tr>
      <w:tr w14:paraId="08ECAB2F">
        <w:tblPrEx>
          <w:tblCellMar>
            <w:top w:w="0" w:type="dxa"/>
            <w:left w:w="108" w:type="dxa"/>
            <w:bottom w:w="0" w:type="dxa"/>
            <w:right w:w="108" w:type="dxa"/>
          </w:tblCellMar>
        </w:tblPrEx>
        <w:trPr>
          <w:cantSplit/>
          <w:trHeight w:val="0" w:hRule="atLeast"/>
          <w:jc w:val="center"/>
        </w:trPr>
        <w:tc>
          <w:tcPr>
            <w:tcW w:w="1138"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706059E8">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default" w:ascii="Arial" w:hAnsi="Arial" w:eastAsia="Times New Roman" w:cs="Arial"/>
                <w:sz w:val="16"/>
                <w:szCs w:val="16"/>
              </w:rPr>
              <w:t xml:space="preserve">   Low PEF–low grip declining</w:t>
            </w:r>
          </w:p>
        </w:tc>
        <w:tc>
          <w:tcPr>
            <w:tcW w:w="940"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321F5C10">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3.49 (1.71, 7.11); P &lt; 0.001</w:t>
            </w:r>
          </w:p>
        </w:tc>
        <w:tc>
          <w:tcPr>
            <w:tcW w:w="940"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3238FEAF">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2.21 (0.91, 5.39); P = 0.082</w:t>
            </w:r>
          </w:p>
        </w:tc>
        <w:tc>
          <w:tcPr>
            <w:tcW w:w="940"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78E11112">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2.21 (1.23, 3.97); P = 0.008</w:t>
            </w:r>
          </w:p>
        </w:tc>
        <w:tc>
          <w:tcPr>
            <w:tcW w:w="1039"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0D71594B">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3.58 (1.72, 7.46); P &lt; 0.001</w:t>
            </w:r>
          </w:p>
        </w:tc>
      </w:tr>
    </w:tbl>
    <w:p w14:paraId="4ABC91F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right="0" w:firstLine="0" w:firstLineChars="0"/>
        <w:jc w:val="left"/>
        <w:textAlignment w:val="auto"/>
        <w:rPr>
          <w:rFonts w:hint="default" w:ascii="Arial" w:hAnsi="Arial" w:cs="Arial"/>
          <w:sz w:val="16"/>
          <w:szCs w:val="16"/>
        </w:rPr>
      </w:pPr>
      <w:r>
        <w:rPr>
          <w:rFonts w:hint="eastAsia" w:ascii="Arial" w:hAnsi="Arial" w:eastAsia="宋体" w:cs="Arial"/>
          <w:b/>
          <w:bCs/>
          <w:sz w:val="16"/>
          <w:szCs w:val="16"/>
          <w:lang w:val="en-US" w:eastAsia="zh-CN"/>
        </w:rPr>
        <w:t xml:space="preserve">Notes: </w:t>
      </w:r>
      <w:r>
        <w:rPr>
          <w:rFonts w:hint="default" w:ascii="Arial" w:hAnsi="Arial" w:cs="Arial"/>
          <w:sz w:val="16"/>
          <w:szCs w:val="16"/>
        </w:rPr>
        <w:t>Values are ORs (95% CIs). The very high PEF–very high grip group was the reference. Primary Model 3 adjusted for age, sex, education, marital status, residence, smoking, drinking, body mass index, hypertension, diabetes, cancer, lung disease, heart disease, stroke, arthritis, dyslipidemia, kidney disease, and depression score. Extended adjustment and multiple imputation additionally included log-transformed household income and self-rated health; 20 imputed datasets were combined using Rubin's rules. The lung-disease exclusion analysis omitted participants with baseline lung disease and removed lung disease from the model. Mortality analyses included participants confirmed alive in 2015 and followed through 2018. PEF, peak expiratory flow; ADL, activities of daily living; IADL, instrumental activities of daily living; CI, confidence interval; OR, odds ratio.</w:t>
      </w:r>
    </w:p>
    <w:p w14:paraId="17BF6552">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p>
    <w:p w14:paraId="6FCF8E0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right="0" w:firstLine="0" w:firstLineChars="0"/>
        <w:jc w:val="left"/>
        <w:textAlignment w:val="auto"/>
        <w:rPr>
          <w:rFonts w:hint="default" w:ascii="Arial" w:hAnsi="Arial" w:cs="Arial"/>
          <w:sz w:val="16"/>
          <w:szCs w:val="16"/>
        </w:rPr>
      </w:pPr>
      <w:r>
        <w:rPr>
          <w:rFonts w:hint="default" w:ascii="Arial" w:hAnsi="Arial" w:cs="Arial"/>
          <w:b/>
          <w:i w:val="0"/>
          <w:color w:val="000000"/>
          <w:sz w:val="16"/>
          <w:szCs w:val="16"/>
          <w:u w:val="none"/>
        </w:rPr>
        <w:t>Supplementary Table S5. Interactions between PEF–grip joint trajectory groups and sex for adverse outcomes</w:t>
      </w:r>
    </w:p>
    <w:tbl>
      <w:tblPr>
        <w:tblStyle w:val="8"/>
        <w:tblW w:w="4999" w:type="pct"/>
        <w:jc w:val="center"/>
        <w:tblLayout w:type="autofit"/>
        <w:tblCellMar>
          <w:top w:w="0" w:type="dxa"/>
          <w:left w:w="108" w:type="dxa"/>
          <w:bottom w:w="0" w:type="dxa"/>
          <w:right w:w="108" w:type="dxa"/>
        </w:tblCellMar>
      </w:tblPr>
      <w:tblGrid>
        <w:gridCol w:w="5557"/>
        <w:gridCol w:w="1571"/>
        <w:gridCol w:w="1571"/>
        <w:gridCol w:w="3054"/>
        <w:gridCol w:w="1296"/>
        <w:gridCol w:w="2778"/>
      </w:tblGrid>
      <w:tr w14:paraId="0DBFD82B">
        <w:tblPrEx>
          <w:tblCellMar>
            <w:top w:w="0" w:type="dxa"/>
            <w:left w:w="108" w:type="dxa"/>
            <w:bottom w:w="0" w:type="dxa"/>
            <w:right w:w="108" w:type="dxa"/>
          </w:tblCellMar>
        </w:tblPrEx>
        <w:trPr>
          <w:cantSplit/>
          <w:trHeight w:val="0" w:hRule="atLeast"/>
          <w:tblHeader/>
          <w:jc w:val="center"/>
        </w:trPr>
        <w:tc>
          <w:tcPr>
            <w:tcW w:w="175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6C7E30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i w:val="0"/>
                <w:strike w:val="0"/>
                <w:color w:val="000000"/>
                <w:sz w:val="16"/>
                <w:szCs w:val="16"/>
                <w:u w:val="none"/>
              </w:rPr>
            </w:pPr>
            <w:r>
              <w:rPr>
                <w:rFonts w:hint="default" w:ascii="Arial" w:hAnsi="Arial" w:eastAsia="Times New Roman" w:cs="Arial"/>
                <w:b/>
                <w:i w:val="0"/>
                <w:strike w:val="0"/>
                <w:color w:val="000000"/>
                <w:sz w:val="16"/>
                <w:szCs w:val="16"/>
                <w:u w:val="none"/>
              </w:rPr>
              <w:t>Outcome</w:t>
            </w:r>
          </w:p>
        </w:tc>
        <w:tc>
          <w:tcPr>
            <w:tcW w:w="49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D90538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i w:val="0"/>
                <w:strike w:val="0"/>
                <w:color w:val="000000"/>
                <w:sz w:val="16"/>
                <w:szCs w:val="16"/>
                <w:u w:val="none"/>
              </w:rPr>
            </w:pPr>
            <w:r>
              <w:rPr>
                <w:rFonts w:hint="default" w:ascii="Arial" w:hAnsi="Arial" w:eastAsia="Times New Roman" w:cs="Arial"/>
                <w:b/>
                <w:i w:val="0"/>
                <w:strike w:val="0"/>
                <w:color w:val="000000"/>
                <w:sz w:val="16"/>
                <w:szCs w:val="16"/>
                <w:u w:val="none"/>
              </w:rPr>
              <w:t>N</w:t>
            </w:r>
          </w:p>
        </w:tc>
        <w:tc>
          <w:tcPr>
            <w:tcW w:w="49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32B55A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i w:val="0"/>
                <w:strike w:val="0"/>
                <w:color w:val="000000"/>
                <w:sz w:val="16"/>
                <w:szCs w:val="16"/>
                <w:u w:val="none"/>
              </w:rPr>
            </w:pPr>
            <w:r>
              <w:rPr>
                <w:rFonts w:hint="default" w:ascii="Arial" w:hAnsi="Arial" w:eastAsia="Times New Roman" w:cs="Arial"/>
                <w:b/>
                <w:i w:val="0"/>
                <w:strike w:val="0"/>
                <w:color w:val="000000"/>
                <w:sz w:val="16"/>
                <w:szCs w:val="16"/>
                <w:u w:val="none"/>
              </w:rPr>
              <w:t>Events</w:t>
            </w:r>
          </w:p>
        </w:tc>
        <w:tc>
          <w:tcPr>
            <w:tcW w:w="96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0C6417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i w:val="0"/>
                <w:strike w:val="0"/>
                <w:color w:val="000000"/>
                <w:sz w:val="16"/>
                <w:szCs w:val="16"/>
                <w:u w:val="none"/>
              </w:rPr>
            </w:pPr>
            <w:r>
              <w:rPr>
                <w:rFonts w:hint="default" w:ascii="Arial" w:hAnsi="Arial" w:eastAsia="Times New Roman" w:cs="Arial"/>
                <w:b/>
                <w:i w:val="0"/>
                <w:strike w:val="0"/>
                <w:color w:val="000000"/>
                <w:sz w:val="16"/>
                <w:szCs w:val="16"/>
                <w:u w:val="none"/>
              </w:rPr>
              <w:t>Likelihood-ratio chi-square statistic</w:t>
            </w:r>
          </w:p>
        </w:tc>
        <w:tc>
          <w:tcPr>
            <w:tcW w:w="409"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5AD761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i w:val="0"/>
                <w:strike w:val="0"/>
                <w:color w:val="000000"/>
                <w:sz w:val="16"/>
                <w:szCs w:val="16"/>
                <w:u w:val="none"/>
              </w:rPr>
            </w:pPr>
            <w:r>
              <w:rPr>
                <w:rFonts w:hint="default" w:ascii="Arial" w:hAnsi="Arial" w:eastAsia="Times New Roman" w:cs="Arial"/>
                <w:b/>
                <w:i w:val="0"/>
                <w:strike w:val="0"/>
                <w:color w:val="000000"/>
                <w:sz w:val="16"/>
                <w:szCs w:val="16"/>
                <w:u w:val="none"/>
              </w:rPr>
              <w:t>df</w:t>
            </w:r>
          </w:p>
        </w:tc>
        <w:tc>
          <w:tcPr>
            <w:tcW w:w="87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5869D9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i w:val="0"/>
                <w:strike w:val="0"/>
                <w:color w:val="000000"/>
                <w:sz w:val="16"/>
                <w:szCs w:val="16"/>
                <w:u w:val="none"/>
              </w:rPr>
            </w:pPr>
            <w:r>
              <w:rPr>
                <w:rFonts w:hint="default" w:ascii="Arial" w:hAnsi="Arial" w:eastAsia="Times New Roman" w:cs="Arial"/>
                <w:b/>
                <w:i w:val="0"/>
                <w:strike w:val="0"/>
                <w:color w:val="000000"/>
                <w:sz w:val="16"/>
                <w:szCs w:val="16"/>
                <w:u w:val="none"/>
              </w:rPr>
              <w:t>P for interaction</w:t>
            </w:r>
          </w:p>
        </w:tc>
      </w:tr>
      <w:tr w14:paraId="094FEBE4">
        <w:tblPrEx>
          <w:tblCellMar>
            <w:top w:w="0" w:type="dxa"/>
            <w:left w:w="108" w:type="dxa"/>
            <w:bottom w:w="0" w:type="dxa"/>
            <w:right w:w="108" w:type="dxa"/>
          </w:tblCellMar>
        </w:tblPrEx>
        <w:trPr>
          <w:cantSplit/>
          <w:trHeight w:val="0" w:hRule="atLeast"/>
          <w:jc w:val="center"/>
        </w:trPr>
        <w:tc>
          <w:tcPr>
            <w:tcW w:w="175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43A8BC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Incident ADL disability</w:t>
            </w:r>
          </w:p>
        </w:tc>
        <w:tc>
          <w:tcPr>
            <w:tcW w:w="49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B32AA4A">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6,443</w:t>
            </w:r>
          </w:p>
        </w:tc>
        <w:tc>
          <w:tcPr>
            <w:tcW w:w="49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62C1467">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882</w:t>
            </w:r>
          </w:p>
        </w:tc>
        <w:tc>
          <w:tcPr>
            <w:tcW w:w="96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558EDA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7.279</w:t>
            </w:r>
          </w:p>
        </w:tc>
        <w:tc>
          <w:tcPr>
            <w:tcW w:w="409"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D64F10C">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4</w:t>
            </w:r>
          </w:p>
        </w:tc>
        <w:tc>
          <w:tcPr>
            <w:tcW w:w="87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480587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0.122</w:t>
            </w:r>
          </w:p>
        </w:tc>
      </w:tr>
      <w:tr w14:paraId="7D7D68F5">
        <w:tblPrEx>
          <w:tblCellMar>
            <w:top w:w="0" w:type="dxa"/>
            <w:left w:w="108" w:type="dxa"/>
            <w:bottom w:w="0" w:type="dxa"/>
            <w:right w:w="108" w:type="dxa"/>
          </w:tblCellMar>
        </w:tblPrEx>
        <w:trPr>
          <w:cantSplit/>
          <w:trHeight w:val="0" w:hRule="atLeast"/>
          <w:jc w:val="center"/>
        </w:trPr>
        <w:tc>
          <w:tcPr>
            <w:tcW w:w="1754" w:type="pct"/>
            <w:tcBorders>
              <w:top w:val="nil"/>
              <w:left w:val="nil"/>
              <w:bottom w:val="nil"/>
              <w:right w:val="nil"/>
            </w:tcBorders>
            <w:shd w:val="clear" w:color="auto" w:fill="FFFFFF"/>
            <w:tcMar>
              <w:top w:w="0" w:type="dxa"/>
              <w:left w:w="0" w:type="dxa"/>
              <w:bottom w:w="0" w:type="dxa"/>
              <w:right w:w="0" w:type="dxa"/>
            </w:tcMar>
            <w:vAlign w:val="center"/>
          </w:tcPr>
          <w:p w14:paraId="595F7D48">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Incident IADL disability</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14:paraId="23E28CF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6,096</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14:paraId="25855CF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1,103</w:t>
            </w:r>
          </w:p>
        </w:tc>
        <w:tc>
          <w:tcPr>
            <w:tcW w:w="964" w:type="pct"/>
            <w:tcBorders>
              <w:top w:val="nil"/>
              <w:left w:val="nil"/>
              <w:bottom w:val="nil"/>
              <w:right w:val="nil"/>
            </w:tcBorders>
            <w:shd w:val="clear" w:color="auto" w:fill="FFFFFF"/>
            <w:tcMar>
              <w:top w:w="0" w:type="dxa"/>
              <w:left w:w="0" w:type="dxa"/>
              <w:bottom w:w="0" w:type="dxa"/>
              <w:right w:w="0" w:type="dxa"/>
            </w:tcMar>
            <w:vAlign w:val="center"/>
          </w:tcPr>
          <w:p w14:paraId="0BDAFE6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2.351</w:t>
            </w:r>
          </w:p>
        </w:tc>
        <w:tc>
          <w:tcPr>
            <w:tcW w:w="409" w:type="pct"/>
            <w:tcBorders>
              <w:top w:val="nil"/>
              <w:left w:val="nil"/>
              <w:bottom w:val="nil"/>
              <w:right w:val="nil"/>
            </w:tcBorders>
            <w:shd w:val="clear" w:color="auto" w:fill="FFFFFF"/>
            <w:tcMar>
              <w:top w:w="0" w:type="dxa"/>
              <w:left w:w="0" w:type="dxa"/>
              <w:bottom w:w="0" w:type="dxa"/>
              <w:right w:w="0" w:type="dxa"/>
            </w:tcMar>
            <w:vAlign w:val="center"/>
          </w:tcPr>
          <w:p w14:paraId="7A64678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4</w:t>
            </w:r>
          </w:p>
        </w:tc>
        <w:tc>
          <w:tcPr>
            <w:tcW w:w="877" w:type="pct"/>
            <w:tcBorders>
              <w:top w:val="nil"/>
              <w:left w:val="nil"/>
              <w:bottom w:val="nil"/>
              <w:right w:val="nil"/>
            </w:tcBorders>
            <w:shd w:val="clear" w:color="auto" w:fill="FFFFFF"/>
            <w:tcMar>
              <w:top w:w="0" w:type="dxa"/>
              <w:left w:w="0" w:type="dxa"/>
              <w:bottom w:w="0" w:type="dxa"/>
              <w:right w:w="0" w:type="dxa"/>
            </w:tcMar>
            <w:vAlign w:val="center"/>
          </w:tcPr>
          <w:p w14:paraId="3DE8B78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0.671</w:t>
            </w:r>
          </w:p>
        </w:tc>
      </w:tr>
      <w:tr w14:paraId="12022EA7">
        <w:tblPrEx>
          <w:tblCellMar>
            <w:top w:w="0" w:type="dxa"/>
            <w:left w:w="108" w:type="dxa"/>
            <w:bottom w:w="0" w:type="dxa"/>
            <w:right w:w="108" w:type="dxa"/>
          </w:tblCellMar>
        </w:tblPrEx>
        <w:trPr>
          <w:cantSplit/>
          <w:trHeight w:val="0" w:hRule="atLeast"/>
          <w:jc w:val="center"/>
        </w:trPr>
        <w:tc>
          <w:tcPr>
            <w:tcW w:w="1754" w:type="pct"/>
            <w:tcBorders>
              <w:top w:val="nil"/>
              <w:left w:val="nil"/>
              <w:bottom w:val="nil"/>
              <w:right w:val="nil"/>
            </w:tcBorders>
            <w:shd w:val="clear" w:color="auto" w:fill="FFFFFF"/>
            <w:tcMar>
              <w:top w:w="0" w:type="dxa"/>
              <w:left w:w="0" w:type="dxa"/>
              <w:bottom w:w="0" w:type="dxa"/>
              <w:right w:w="0" w:type="dxa"/>
            </w:tcMar>
            <w:vAlign w:val="center"/>
          </w:tcPr>
          <w:p w14:paraId="3A852A8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Any incident ADL/IADL disability</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14:paraId="42B0590D">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5,346</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14:paraId="6783ACB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1,144</w:t>
            </w:r>
          </w:p>
        </w:tc>
        <w:tc>
          <w:tcPr>
            <w:tcW w:w="964" w:type="pct"/>
            <w:tcBorders>
              <w:top w:val="nil"/>
              <w:left w:val="nil"/>
              <w:bottom w:val="nil"/>
              <w:right w:val="nil"/>
            </w:tcBorders>
            <w:shd w:val="clear" w:color="auto" w:fill="FFFFFF"/>
            <w:tcMar>
              <w:top w:w="0" w:type="dxa"/>
              <w:left w:w="0" w:type="dxa"/>
              <w:bottom w:w="0" w:type="dxa"/>
              <w:right w:w="0" w:type="dxa"/>
            </w:tcMar>
            <w:vAlign w:val="center"/>
          </w:tcPr>
          <w:p w14:paraId="701628C2">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1.794</w:t>
            </w:r>
          </w:p>
        </w:tc>
        <w:tc>
          <w:tcPr>
            <w:tcW w:w="409" w:type="pct"/>
            <w:tcBorders>
              <w:top w:val="nil"/>
              <w:left w:val="nil"/>
              <w:bottom w:val="nil"/>
              <w:right w:val="nil"/>
            </w:tcBorders>
            <w:shd w:val="clear" w:color="auto" w:fill="FFFFFF"/>
            <w:tcMar>
              <w:top w:w="0" w:type="dxa"/>
              <w:left w:w="0" w:type="dxa"/>
              <w:bottom w:w="0" w:type="dxa"/>
              <w:right w:w="0" w:type="dxa"/>
            </w:tcMar>
            <w:vAlign w:val="center"/>
          </w:tcPr>
          <w:p w14:paraId="64D7292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4</w:t>
            </w:r>
          </w:p>
        </w:tc>
        <w:tc>
          <w:tcPr>
            <w:tcW w:w="877" w:type="pct"/>
            <w:tcBorders>
              <w:top w:val="nil"/>
              <w:left w:val="nil"/>
              <w:bottom w:val="nil"/>
              <w:right w:val="nil"/>
            </w:tcBorders>
            <w:shd w:val="clear" w:color="auto" w:fill="FFFFFF"/>
            <w:tcMar>
              <w:top w:w="0" w:type="dxa"/>
              <w:left w:w="0" w:type="dxa"/>
              <w:bottom w:w="0" w:type="dxa"/>
              <w:right w:w="0" w:type="dxa"/>
            </w:tcMar>
            <w:vAlign w:val="center"/>
          </w:tcPr>
          <w:p w14:paraId="78B990AF">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0.774</w:t>
            </w:r>
          </w:p>
        </w:tc>
      </w:tr>
      <w:tr w14:paraId="53872D7D">
        <w:tblPrEx>
          <w:tblCellMar>
            <w:top w:w="0" w:type="dxa"/>
            <w:left w:w="108" w:type="dxa"/>
            <w:bottom w:w="0" w:type="dxa"/>
            <w:right w:w="108" w:type="dxa"/>
          </w:tblCellMar>
        </w:tblPrEx>
        <w:trPr>
          <w:cantSplit/>
          <w:trHeight w:val="0" w:hRule="atLeast"/>
          <w:jc w:val="center"/>
        </w:trPr>
        <w:tc>
          <w:tcPr>
            <w:tcW w:w="1754" w:type="pct"/>
            <w:tcBorders>
              <w:top w:val="nil"/>
              <w:left w:val="nil"/>
              <w:bottom w:val="nil"/>
              <w:right w:val="nil"/>
            </w:tcBorders>
            <w:shd w:val="clear" w:color="auto" w:fill="FFFFFF"/>
            <w:tcMar>
              <w:top w:w="0" w:type="dxa"/>
              <w:left w:w="0" w:type="dxa"/>
              <w:bottom w:w="0" w:type="dxa"/>
              <w:right w:w="0" w:type="dxa"/>
            </w:tcMar>
            <w:vAlign w:val="center"/>
          </w:tcPr>
          <w:p w14:paraId="1B97806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left"/>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Incident frailty</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14:paraId="27562DE0">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6,582</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14:paraId="249ECFDB">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1,007</w:t>
            </w:r>
          </w:p>
        </w:tc>
        <w:tc>
          <w:tcPr>
            <w:tcW w:w="964" w:type="pct"/>
            <w:tcBorders>
              <w:top w:val="nil"/>
              <w:left w:val="nil"/>
              <w:bottom w:val="nil"/>
              <w:right w:val="nil"/>
            </w:tcBorders>
            <w:shd w:val="clear" w:color="auto" w:fill="FFFFFF"/>
            <w:tcMar>
              <w:top w:w="0" w:type="dxa"/>
              <w:left w:w="0" w:type="dxa"/>
              <w:bottom w:w="0" w:type="dxa"/>
              <w:right w:w="0" w:type="dxa"/>
            </w:tcMar>
            <w:vAlign w:val="center"/>
          </w:tcPr>
          <w:p w14:paraId="7C529531">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2.131</w:t>
            </w:r>
          </w:p>
        </w:tc>
        <w:tc>
          <w:tcPr>
            <w:tcW w:w="409" w:type="pct"/>
            <w:tcBorders>
              <w:top w:val="nil"/>
              <w:left w:val="nil"/>
              <w:bottom w:val="nil"/>
              <w:right w:val="nil"/>
            </w:tcBorders>
            <w:shd w:val="clear" w:color="auto" w:fill="FFFFFF"/>
            <w:tcMar>
              <w:top w:w="0" w:type="dxa"/>
              <w:left w:w="0" w:type="dxa"/>
              <w:bottom w:w="0" w:type="dxa"/>
              <w:right w:w="0" w:type="dxa"/>
            </w:tcMar>
            <w:vAlign w:val="center"/>
          </w:tcPr>
          <w:p w14:paraId="01B71513">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4</w:t>
            </w:r>
          </w:p>
        </w:tc>
        <w:tc>
          <w:tcPr>
            <w:tcW w:w="877" w:type="pct"/>
            <w:tcBorders>
              <w:top w:val="nil"/>
              <w:left w:val="nil"/>
              <w:bottom w:val="nil"/>
              <w:right w:val="nil"/>
            </w:tcBorders>
            <w:shd w:val="clear" w:color="auto" w:fill="FFFFFF"/>
            <w:tcMar>
              <w:top w:w="0" w:type="dxa"/>
              <w:left w:w="0" w:type="dxa"/>
              <w:bottom w:w="0" w:type="dxa"/>
              <w:right w:w="0" w:type="dxa"/>
            </w:tcMar>
            <w:vAlign w:val="center"/>
          </w:tcPr>
          <w:p w14:paraId="6B729779">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80" w:after="80" w:line="400" w:lineRule="exact"/>
              <w:ind w:left="80" w:right="80" w:firstLine="0" w:firstLineChars="0"/>
              <w:jc w:val="center"/>
              <w:textAlignment w:val="auto"/>
              <w:rPr>
                <w:rFonts w:hint="default" w:ascii="Arial" w:hAnsi="Arial" w:eastAsia="Arial" w:cs="Arial"/>
                <w:b w:val="0"/>
                <w:i w:val="0"/>
                <w:strike w:val="0"/>
                <w:color w:val="000000"/>
                <w:sz w:val="16"/>
                <w:szCs w:val="16"/>
                <w:u w:val="none"/>
              </w:rPr>
            </w:pPr>
            <w:r>
              <w:rPr>
                <w:rFonts w:hint="default" w:ascii="Arial" w:hAnsi="Arial" w:eastAsia="Times New Roman" w:cs="Arial"/>
                <w:b w:val="0"/>
                <w:i w:val="0"/>
                <w:strike w:val="0"/>
                <w:color w:val="000000"/>
                <w:sz w:val="16"/>
                <w:szCs w:val="16"/>
                <w:u w:val="none"/>
              </w:rPr>
              <w:t>0.712</w:t>
            </w:r>
          </w:p>
        </w:tc>
      </w:tr>
      <w:tr w14:paraId="1CCE9DB7">
        <w:tblPrEx>
          <w:tblCellMar>
            <w:top w:w="0" w:type="dxa"/>
            <w:left w:w="108" w:type="dxa"/>
            <w:bottom w:w="0" w:type="dxa"/>
            <w:right w:w="108" w:type="dxa"/>
          </w:tblCellMar>
        </w:tblPrEx>
        <w:trPr>
          <w:cantSplit/>
          <w:trHeight w:val="0" w:hRule="atLeast"/>
          <w:jc w:val="center"/>
        </w:trPr>
        <w:tc>
          <w:tcPr>
            <w:tcW w:w="175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8191B46">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default" w:ascii="Arial" w:hAnsi="Arial" w:cs="Arial"/>
                <w:sz w:val="16"/>
                <w:szCs w:val="16"/>
              </w:rPr>
              <w:t>All-cause mortality</w:t>
            </w:r>
          </w:p>
        </w:tc>
        <w:tc>
          <w:tcPr>
            <w:tcW w:w="49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9B5AE33">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9,434</w:t>
            </w:r>
          </w:p>
        </w:tc>
        <w:tc>
          <w:tcPr>
            <w:tcW w:w="49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86FB8E7">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406</w:t>
            </w:r>
          </w:p>
        </w:tc>
        <w:tc>
          <w:tcPr>
            <w:tcW w:w="96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31FCED8">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7.777</w:t>
            </w:r>
          </w:p>
        </w:tc>
        <w:tc>
          <w:tcPr>
            <w:tcW w:w="409"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7D4F919">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4</w:t>
            </w:r>
          </w:p>
        </w:tc>
        <w:tc>
          <w:tcPr>
            <w:tcW w:w="87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EC07228">
            <w:pPr>
              <w:widowControl/>
              <w:kinsoku/>
              <w:wordWrap/>
              <w:overflowPunct/>
              <w:topLinePunct w:val="0"/>
              <w:autoSpaceDE/>
              <w:autoSpaceDN/>
              <w:bidi w:val="0"/>
              <w:adjustRightInd/>
              <w:snapToGrid/>
              <w:spacing w:line="400" w:lineRule="exact"/>
              <w:jc w:val="center"/>
              <w:textAlignment w:val="auto"/>
              <w:rPr>
                <w:rFonts w:hint="default" w:ascii="Arial" w:hAnsi="Arial" w:cs="Arial"/>
                <w:sz w:val="16"/>
                <w:szCs w:val="16"/>
              </w:rPr>
            </w:pPr>
            <w:r>
              <w:rPr>
                <w:rFonts w:hint="default" w:ascii="Arial" w:hAnsi="Arial" w:eastAsia="Times New Roman" w:cs="Arial"/>
                <w:sz w:val="16"/>
                <w:szCs w:val="16"/>
              </w:rPr>
              <w:t>0.100</w:t>
            </w:r>
          </w:p>
        </w:tc>
      </w:tr>
    </w:tbl>
    <w:p w14:paraId="516E91AE">
      <w:pPr>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right="0" w:firstLine="0" w:firstLineChars="0"/>
        <w:jc w:val="left"/>
        <w:textAlignment w:val="auto"/>
        <w:rPr>
          <w:rFonts w:hint="default" w:ascii="Arial" w:hAnsi="Arial" w:cs="Arial"/>
          <w:sz w:val="16"/>
          <w:szCs w:val="16"/>
        </w:rPr>
      </w:pPr>
      <w:r>
        <w:rPr>
          <w:rFonts w:hint="eastAsia" w:ascii="Arial" w:hAnsi="Arial" w:eastAsia="宋体" w:cs="Arial"/>
          <w:b/>
          <w:bCs/>
          <w:sz w:val="16"/>
          <w:szCs w:val="16"/>
          <w:lang w:val="en-US" w:eastAsia="zh-CN"/>
        </w:rPr>
        <w:t xml:space="preserve">Notes: </w:t>
      </w:r>
      <w:r>
        <w:rPr>
          <w:rFonts w:hint="default" w:ascii="Arial" w:hAnsi="Arial" w:eastAsia="Arial" w:cs="Arial"/>
          <w:b w:val="0"/>
          <w:i w:val="0"/>
          <w:strike w:val="0"/>
          <w:color w:val="000000"/>
          <w:sz w:val="16"/>
          <w:szCs w:val="16"/>
          <w:u w:val="none"/>
        </w:rPr>
        <w:t>P values for interaction were obtained using likelihood-ratio tests comparing fully adjusted logistic regression models with and without joint trajectory group-by-sex interaction terms. All models were adjusted for age, education, marital status, residence, smoking status, drinking status, body mass index, hypertension, diabetes, cancer, lung disease, heart disease, stroke, arthritis, dyslipidemia, kidney disease, and depression score, with sex and trajectory group included as main effects. Each analysis used the same outcome-specific complete-case sample as Primary Model 3. Sex-specific odds ratios are not presented because several trajectory-by-sex cells contained very small sample or event counts. PEF, peak expiratory flow; ADL, activities of daily living; IADL, instrumental activities of daily living.</w:t>
      </w:r>
    </w:p>
    <w:p w14:paraId="4F0835CA">
      <w:pPr>
        <w:widowControl/>
        <w:kinsoku/>
        <w:wordWrap/>
        <w:overflowPunct/>
        <w:topLinePunct w:val="0"/>
        <w:autoSpaceDE/>
        <w:autoSpaceDN/>
        <w:bidi w:val="0"/>
        <w:adjustRightInd/>
        <w:snapToGrid/>
        <w:spacing w:line="400" w:lineRule="exact"/>
        <w:textAlignment w:val="auto"/>
        <w:rPr>
          <w:rFonts w:hint="default" w:ascii="Arial" w:hAnsi="Arial" w:cs="Arial"/>
          <w:b/>
          <w:sz w:val="16"/>
          <w:szCs w:val="16"/>
        </w:rPr>
      </w:pPr>
    </w:p>
    <w:p w14:paraId="1785FF45">
      <w:pPr>
        <w:widowControl/>
        <w:kinsoku/>
        <w:wordWrap/>
        <w:overflowPunct/>
        <w:topLinePunct w:val="0"/>
        <w:autoSpaceDE/>
        <w:autoSpaceDN/>
        <w:bidi w:val="0"/>
        <w:adjustRightInd/>
        <w:snapToGrid/>
        <w:spacing w:line="240" w:lineRule="auto"/>
        <w:textAlignment w:val="auto"/>
        <w:rPr>
          <w:rFonts w:hint="default" w:ascii="Arial" w:hAnsi="Arial" w:cs="Arial"/>
          <w:sz w:val="16"/>
          <w:szCs w:val="16"/>
        </w:rPr>
      </w:pPr>
      <w:r>
        <w:rPr>
          <w:rFonts w:hint="default" w:ascii="Arial" w:hAnsi="Arial" w:cs="Arial"/>
          <w:b/>
          <w:sz w:val="16"/>
          <w:szCs w:val="16"/>
        </w:rPr>
        <w:t>Supplementary Table S6. Sensitivity analyses of the all-cause mortality endpoint</w:t>
      </w:r>
    </w:p>
    <w:tbl>
      <w:tblPr>
        <w:tblStyle w:val="8"/>
        <w:tblpPr w:leftFromText="180" w:rightFromText="180" w:vertAnchor="text" w:horzAnchor="page" w:tblpX="599" w:tblpY="397"/>
        <w:tblOverlap w:val="never"/>
        <w:tblW w:w="0" w:type="auto"/>
        <w:tblInd w:w="0" w:type="dxa"/>
        <w:tblLayout w:type="autofit"/>
        <w:tblCellMar>
          <w:top w:w="0" w:type="dxa"/>
          <w:left w:w="108" w:type="dxa"/>
          <w:bottom w:w="0" w:type="dxa"/>
          <w:right w:w="108" w:type="dxa"/>
        </w:tblCellMar>
      </w:tblPr>
      <w:tblGrid>
        <w:gridCol w:w="2638"/>
        <w:gridCol w:w="2638"/>
        <w:gridCol w:w="2638"/>
        <w:gridCol w:w="2638"/>
        <w:gridCol w:w="2638"/>
        <w:gridCol w:w="2638"/>
      </w:tblGrid>
      <w:tr w14:paraId="4394A9DA">
        <w:tblPrEx>
          <w:tblCellMar>
            <w:top w:w="0" w:type="dxa"/>
            <w:left w:w="108" w:type="dxa"/>
            <w:bottom w:w="0" w:type="dxa"/>
            <w:right w:w="108" w:type="dxa"/>
          </w:tblCellMar>
        </w:tblPrEx>
        <w:tc>
          <w:tcPr>
            <w:tcW w:w="2638" w:type="dxa"/>
            <w:tcBorders>
              <w:top w:val="single" w:color="000000" w:sz="12" w:space="0"/>
              <w:left w:val="nil"/>
              <w:bottom w:val="single" w:color="000000" w:sz="4" w:space="0"/>
              <w:right w:val="nil"/>
              <w:tl2br w:val="nil"/>
            </w:tcBorders>
            <w:shd w:val="clear" w:color="auto" w:fill="FFFFFF"/>
            <w:vAlign w:val="center"/>
          </w:tcPr>
          <w:p w14:paraId="1A9C797D">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Analysis</w:t>
            </w:r>
          </w:p>
        </w:tc>
        <w:tc>
          <w:tcPr>
            <w:tcW w:w="2638" w:type="dxa"/>
            <w:tcBorders>
              <w:top w:val="single" w:color="000000" w:sz="12" w:space="0"/>
              <w:left w:val="nil"/>
              <w:bottom w:val="single" w:color="000000" w:sz="4" w:space="0"/>
              <w:right w:val="nil"/>
            </w:tcBorders>
            <w:shd w:val="clear" w:color="auto" w:fill="FFFFFF"/>
            <w:vAlign w:val="center"/>
          </w:tcPr>
          <w:p w14:paraId="70D2CAB7">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N; events</w:t>
            </w:r>
          </w:p>
        </w:tc>
        <w:tc>
          <w:tcPr>
            <w:tcW w:w="2638" w:type="dxa"/>
            <w:tcBorders>
              <w:top w:val="single" w:color="000000" w:sz="12" w:space="0"/>
              <w:left w:val="nil"/>
              <w:bottom w:val="single" w:color="000000" w:sz="4" w:space="0"/>
              <w:right w:val="nil"/>
            </w:tcBorders>
            <w:shd w:val="clear" w:color="auto" w:fill="FFFFFF"/>
            <w:vAlign w:val="center"/>
          </w:tcPr>
          <w:p w14:paraId="0978F2AE">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High PEF–high grip declining</w:t>
            </w:r>
          </w:p>
        </w:tc>
        <w:tc>
          <w:tcPr>
            <w:tcW w:w="2638" w:type="dxa"/>
            <w:tcBorders>
              <w:top w:val="single" w:color="000000" w:sz="12" w:space="0"/>
              <w:left w:val="nil"/>
              <w:bottom w:val="single" w:color="000000" w:sz="4" w:space="0"/>
              <w:right w:val="nil"/>
            </w:tcBorders>
            <w:shd w:val="clear" w:color="auto" w:fill="FFFFFF"/>
            <w:vAlign w:val="center"/>
          </w:tcPr>
          <w:p w14:paraId="41A9929F">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Average PEF–average grip declining</w:t>
            </w:r>
          </w:p>
        </w:tc>
        <w:tc>
          <w:tcPr>
            <w:tcW w:w="2638" w:type="dxa"/>
            <w:tcBorders>
              <w:top w:val="single" w:color="000000" w:sz="12" w:space="0"/>
              <w:left w:val="nil"/>
              <w:bottom w:val="single" w:color="000000" w:sz="4" w:space="0"/>
              <w:right w:val="nil"/>
            </w:tcBorders>
            <w:shd w:val="clear" w:color="auto" w:fill="FFFFFF"/>
            <w:vAlign w:val="center"/>
          </w:tcPr>
          <w:p w14:paraId="1A8C58AC">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Low PEF–moderate grip declining</w:t>
            </w:r>
          </w:p>
        </w:tc>
        <w:tc>
          <w:tcPr>
            <w:tcW w:w="2638" w:type="dxa"/>
            <w:tcBorders>
              <w:top w:val="single" w:color="000000" w:sz="12" w:space="0"/>
              <w:left w:val="nil"/>
              <w:bottom w:val="single" w:color="000000" w:sz="4" w:space="0"/>
              <w:right w:val="nil"/>
            </w:tcBorders>
            <w:shd w:val="clear" w:color="auto" w:fill="FFFFFF"/>
            <w:vAlign w:val="center"/>
          </w:tcPr>
          <w:p w14:paraId="60601330">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Low PEF–low grip declining</w:t>
            </w:r>
          </w:p>
        </w:tc>
      </w:tr>
      <w:tr w14:paraId="70FB8A85">
        <w:tblPrEx>
          <w:tblCellMar>
            <w:top w:w="0" w:type="dxa"/>
            <w:left w:w="108" w:type="dxa"/>
            <w:bottom w:w="0" w:type="dxa"/>
            <w:right w:w="108" w:type="dxa"/>
          </w:tblCellMar>
        </w:tblPrEx>
        <w:tc>
          <w:tcPr>
            <w:tcW w:w="2638" w:type="dxa"/>
            <w:tcBorders>
              <w:top w:val="single" w:color="000000" w:sz="4" w:space="0"/>
              <w:left w:val="nil"/>
              <w:bottom w:val="nil"/>
              <w:right w:val="nil"/>
            </w:tcBorders>
            <w:shd w:val="clear" w:color="auto" w:fill="FFFFFF"/>
            <w:vAlign w:val="center"/>
          </w:tcPr>
          <w:p w14:paraId="65B8FAAB">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Broader wave-4 status definition</w:t>
            </w:r>
          </w:p>
        </w:tc>
        <w:tc>
          <w:tcPr>
            <w:tcW w:w="2638" w:type="dxa"/>
            <w:tcBorders>
              <w:top w:val="single" w:color="000000" w:sz="4" w:space="0"/>
              <w:left w:val="nil"/>
              <w:bottom w:val="nil"/>
              <w:right w:val="nil"/>
            </w:tcBorders>
            <w:shd w:val="clear" w:color="auto" w:fill="FFFFFF"/>
            <w:vAlign w:val="center"/>
          </w:tcPr>
          <w:p w14:paraId="54F86060">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N = 9,434; events = 406</w:t>
            </w:r>
          </w:p>
        </w:tc>
        <w:tc>
          <w:tcPr>
            <w:tcW w:w="2638" w:type="dxa"/>
            <w:tcBorders>
              <w:top w:val="single" w:color="000000" w:sz="4" w:space="0"/>
              <w:left w:val="nil"/>
              <w:bottom w:val="nil"/>
              <w:right w:val="nil"/>
            </w:tcBorders>
            <w:shd w:val="clear" w:color="auto" w:fill="FFFFFF"/>
            <w:vAlign w:val="center"/>
          </w:tcPr>
          <w:p w14:paraId="599243C5">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2.04 (1.07, 3.87); P = 0.030</w:t>
            </w:r>
          </w:p>
        </w:tc>
        <w:tc>
          <w:tcPr>
            <w:tcW w:w="2638" w:type="dxa"/>
            <w:tcBorders>
              <w:top w:val="single" w:color="000000" w:sz="4" w:space="0"/>
              <w:left w:val="nil"/>
              <w:bottom w:val="nil"/>
              <w:right w:val="nil"/>
            </w:tcBorders>
            <w:shd w:val="clear" w:color="auto" w:fill="FFFFFF"/>
            <w:vAlign w:val="center"/>
          </w:tcPr>
          <w:p w14:paraId="1B28D3E8">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1.91 (0.98, 3.73); P = 0.057</w:t>
            </w:r>
          </w:p>
        </w:tc>
        <w:tc>
          <w:tcPr>
            <w:tcW w:w="2638" w:type="dxa"/>
            <w:tcBorders>
              <w:top w:val="single" w:color="000000" w:sz="4" w:space="0"/>
              <w:left w:val="nil"/>
              <w:bottom w:val="nil"/>
              <w:right w:val="nil"/>
            </w:tcBorders>
            <w:shd w:val="clear" w:color="auto" w:fill="FFFFFF"/>
            <w:vAlign w:val="center"/>
          </w:tcPr>
          <w:p w14:paraId="1ED7040B">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3.14 (1.56, 6.32); P = 0.001</w:t>
            </w:r>
          </w:p>
        </w:tc>
        <w:tc>
          <w:tcPr>
            <w:tcW w:w="2638" w:type="dxa"/>
            <w:tcBorders>
              <w:top w:val="single" w:color="000000" w:sz="4" w:space="0"/>
              <w:left w:val="nil"/>
              <w:bottom w:val="nil"/>
              <w:right w:val="nil"/>
            </w:tcBorders>
            <w:shd w:val="clear" w:color="auto" w:fill="FFFFFF"/>
            <w:vAlign w:val="center"/>
          </w:tcPr>
          <w:p w14:paraId="68036BDF">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3.49 (1.71, 7.11); P &lt; 0.001</w:t>
            </w:r>
          </w:p>
        </w:tc>
      </w:tr>
      <w:tr w14:paraId="104827E2">
        <w:tblPrEx>
          <w:tblCellMar>
            <w:top w:w="0" w:type="dxa"/>
            <w:left w:w="108" w:type="dxa"/>
            <w:bottom w:w="0" w:type="dxa"/>
            <w:right w:w="108" w:type="dxa"/>
          </w:tblCellMar>
        </w:tblPrEx>
        <w:tc>
          <w:tcPr>
            <w:tcW w:w="2638" w:type="dxa"/>
            <w:tcBorders>
              <w:top w:val="nil"/>
              <w:left w:val="nil"/>
              <w:bottom w:val="single" w:color="000000" w:sz="12" w:space="0"/>
              <w:right w:val="nil"/>
            </w:tcBorders>
            <w:shd w:val="clear" w:color="auto" w:fill="FFFFFF"/>
            <w:vAlign w:val="center"/>
          </w:tcPr>
          <w:p w14:paraId="6ED5691D">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Wave-3 respondents only</w:t>
            </w:r>
          </w:p>
        </w:tc>
        <w:tc>
          <w:tcPr>
            <w:tcW w:w="2638" w:type="dxa"/>
            <w:tcBorders>
              <w:top w:val="nil"/>
              <w:left w:val="nil"/>
              <w:bottom w:val="single" w:color="000000" w:sz="12" w:space="0"/>
              <w:right w:val="nil"/>
            </w:tcBorders>
            <w:shd w:val="clear" w:color="auto" w:fill="FFFFFF"/>
            <w:vAlign w:val="center"/>
          </w:tcPr>
          <w:p w14:paraId="5B11BF95">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N = 9,102; events = 388</w:t>
            </w:r>
          </w:p>
        </w:tc>
        <w:tc>
          <w:tcPr>
            <w:tcW w:w="2638" w:type="dxa"/>
            <w:tcBorders>
              <w:top w:val="nil"/>
              <w:left w:val="nil"/>
              <w:bottom w:val="single" w:color="000000" w:sz="12" w:space="0"/>
              <w:right w:val="nil"/>
            </w:tcBorders>
            <w:shd w:val="clear" w:color="auto" w:fill="FFFFFF"/>
            <w:vAlign w:val="center"/>
          </w:tcPr>
          <w:p w14:paraId="5C0A45D9">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1.92 (1.01, 3.66); P = 0.047</w:t>
            </w:r>
          </w:p>
        </w:tc>
        <w:tc>
          <w:tcPr>
            <w:tcW w:w="2638" w:type="dxa"/>
            <w:tcBorders>
              <w:top w:val="nil"/>
              <w:left w:val="nil"/>
              <w:bottom w:val="single" w:color="000000" w:sz="12" w:space="0"/>
              <w:right w:val="nil"/>
            </w:tcBorders>
            <w:shd w:val="clear" w:color="auto" w:fill="FFFFFF"/>
            <w:vAlign w:val="center"/>
          </w:tcPr>
          <w:p w14:paraId="4938ED5E">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1.79 (0.91, 3.51); P = 0.089</w:t>
            </w:r>
          </w:p>
        </w:tc>
        <w:tc>
          <w:tcPr>
            <w:tcW w:w="2638" w:type="dxa"/>
            <w:tcBorders>
              <w:top w:val="nil"/>
              <w:left w:val="nil"/>
              <w:bottom w:val="single" w:color="000000" w:sz="12" w:space="0"/>
              <w:right w:val="nil"/>
            </w:tcBorders>
            <w:shd w:val="clear" w:color="auto" w:fill="FFFFFF"/>
            <w:vAlign w:val="center"/>
          </w:tcPr>
          <w:p w14:paraId="384909A3">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2.93 (1.45, 5.94); P = 0.003</w:t>
            </w:r>
          </w:p>
        </w:tc>
        <w:tc>
          <w:tcPr>
            <w:tcW w:w="2638" w:type="dxa"/>
            <w:tcBorders>
              <w:top w:val="nil"/>
              <w:left w:val="nil"/>
              <w:bottom w:val="single" w:color="000000" w:sz="12" w:space="0"/>
              <w:right w:val="nil"/>
            </w:tcBorders>
            <w:shd w:val="clear" w:color="auto" w:fill="FFFFFF"/>
            <w:vAlign w:val="center"/>
          </w:tcPr>
          <w:p w14:paraId="622538C7">
            <w:pPr>
              <w:widowControl/>
              <w:kinsoku/>
              <w:wordWrap/>
              <w:overflowPunct/>
              <w:topLinePunct w:val="0"/>
              <w:autoSpaceDE/>
              <w:autoSpaceDN/>
              <w:bidi w:val="0"/>
              <w:adjustRightInd/>
              <w:snapToGrid/>
              <w:spacing w:line="400" w:lineRule="exact"/>
              <w:textAlignment w:val="auto"/>
              <w:rPr>
                <w:rFonts w:hint="default" w:ascii="Arial" w:hAnsi="Arial" w:cs="Arial"/>
                <w:b w:val="0"/>
                <w:color w:val="000000"/>
                <w:sz w:val="16"/>
                <w:szCs w:val="16"/>
              </w:rPr>
            </w:pPr>
            <w:r>
              <w:rPr>
                <w:rFonts w:hint="default" w:ascii="Arial" w:hAnsi="Arial" w:eastAsia="Times New Roman" w:cs="Arial"/>
                <w:b w:val="0"/>
                <w:color w:val="000000"/>
                <w:sz w:val="16"/>
                <w:szCs w:val="16"/>
              </w:rPr>
              <w:t>3.32 (1.62, 6.82); P = 0.001</w:t>
            </w:r>
          </w:p>
        </w:tc>
      </w:tr>
    </w:tbl>
    <w:p w14:paraId="514E075D">
      <w:pPr>
        <w:widowControl/>
        <w:kinsoku/>
        <w:wordWrap/>
        <w:overflowPunct/>
        <w:topLinePunct w:val="0"/>
        <w:autoSpaceDE/>
        <w:autoSpaceDN/>
        <w:bidi w:val="0"/>
        <w:adjustRightInd/>
        <w:snapToGrid/>
        <w:spacing w:line="400" w:lineRule="exact"/>
        <w:textAlignment w:val="auto"/>
        <w:rPr>
          <w:rFonts w:hint="default" w:ascii="Arial" w:hAnsi="Arial" w:cs="Arial"/>
          <w:b/>
          <w:sz w:val="16"/>
          <w:szCs w:val="16"/>
        </w:rPr>
      </w:pPr>
      <w:r>
        <w:rPr>
          <w:rFonts w:hint="eastAsia" w:ascii="Arial" w:hAnsi="Arial" w:eastAsia="宋体" w:cs="Arial"/>
          <w:b/>
          <w:bCs/>
          <w:sz w:val="16"/>
          <w:szCs w:val="16"/>
          <w:lang w:val="en-US" w:eastAsia="zh-CN"/>
        </w:rPr>
        <w:t xml:space="preserve">Notes: </w:t>
      </w:r>
      <w:r>
        <w:rPr>
          <w:rFonts w:hint="default" w:ascii="Arial" w:hAnsi="Arial" w:eastAsia="Times New Roman" w:cs="Arial"/>
          <w:sz w:val="16"/>
          <w:szCs w:val="16"/>
        </w:rPr>
        <w:t>Values are ORs (95% CIs) from fully adjusted Model 3 logistic regression; P values follow semicolons. The very high PEF–very high grip group was the reference. The broader definition additionally classified wave-4 code 6 as death among participants recorded alive at wave 3; no additional deaths were identified, so estimates were unchanged. The wave-3 respondent analysis was restricted to participants with R3IWSTAT code 1. PEF, peak expiratory flow; CI, confidence interval; OR, odds ratio.</w:t>
      </w:r>
    </w:p>
    <w:p w14:paraId="45B99187">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p>
    <w:p w14:paraId="7C3FC316">
      <w:pPr>
        <w:pageBreakBefore/>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default" w:ascii="Arial" w:hAnsi="Arial" w:cs="Arial"/>
          <w:b/>
          <w:sz w:val="16"/>
          <w:szCs w:val="16"/>
        </w:rPr>
        <w:t>Supplementary Table S7. Construction and scoring of the 32-deficit Frailty Index in CHARLS</w:t>
      </w:r>
    </w:p>
    <w:tbl>
      <w:tblPr>
        <w:tblStyle w:val="8"/>
        <w:tblW w:w="0" w:type="auto"/>
        <w:tblInd w:w="0" w:type="dxa"/>
        <w:tblLayout w:type="fixed"/>
        <w:tblCellMar>
          <w:top w:w="0" w:type="dxa"/>
          <w:left w:w="108" w:type="dxa"/>
          <w:bottom w:w="0" w:type="dxa"/>
          <w:right w:w="108" w:type="dxa"/>
        </w:tblCellMar>
      </w:tblPr>
      <w:tblGrid>
        <w:gridCol w:w="2638"/>
        <w:gridCol w:w="2638"/>
        <w:gridCol w:w="2638"/>
        <w:gridCol w:w="2638"/>
        <w:gridCol w:w="2638"/>
        <w:gridCol w:w="2638"/>
      </w:tblGrid>
      <w:tr w14:paraId="0AC61900">
        <w:trPr>
          <w:tblHeader/>
        </w:trPr>
        <w:tc>
          <w:tcPr>
            <w:tcW w:w="1656" w:type="dxa"/>
            <w:tcBorders>
              <w:top w:val="single" w:color="666666" w:sz="12" w:space="0"/>
              <w:left w:val="nil"/>
              <w:bottom w:val="single" w:color="666666" w:sz="12" w:space="0"/>
              <w:right w:val="nil"/>
            </w:tcBorders>
            <w:vAlign w:val="center"/>
          </w:tcPr>
          <w:p w14:paraId="46BB3BC2">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b/>
                <w:sz w:val="16"/>
                <w:szCs w:val="16"/>
              </w:rPr>
              <w:t>Domain</w:t>
            </w:r>
          </w:p>
        </w:tc>
        <w:tc>
          <w:tcPr>
            <w:tcW w:w="936" w:type="dxa"/>
            <w:tcBorders>
              <w:top w:val="single" w:color="666666" w:sz="12" w:space="0"/>
              <w:left w:val="nil"/>
              <w:bottom w:val="single" w:color="666666" w:sz="12" w:space="0"/>
              <w:right w:val="nil"/>
            </w:tcBorders>
            <w:vAlign w:val="center"/>
          </w:tcPr>
          <w:p w14:paraId="0C4CB272">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b/>
                <w:sz w:val="16"/>
                <w:szCs w:val="16"/>
              </w:rPr>
              <w:t>Deficit units</w:t>
            </w:r>
          </w:p>
        </w:tc>
        <w:tc>
          <w:tcPr>
            <w:tcW w:w="3168" w:type="dxa"/>
            <w:tcBorders>
              <w:top w:val="single" w:color="666666" w:sz="12" w:space="0"/>
              <w:left w:val="nil"/>
              <w:bottom w:val="single" w:color="666666" w:sz="12" w:space="0"/>
              <w:right w:val="nil"/>
            </w:tcBorders>
            <w:vAlign w:val="center"/>
          </w:tcPr>
          <w:p w14:paraId="28C2F54C">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b/>
                <w:sz w:val="16"/>
                <w:szCs w:val="16"/>
              </w:rPr>
              <w:t>2015 source variable(s)</w:t>
            </w:r>
          </w:p>
        </w:tc>
        <w:tc>
          <w:tcPr>
            <w:tcW w:w="3168" w:type="dxa"/>
            <w:tcBorders>
              <w:top w:val="single" w:color="666666" w:sz="12" w:space="0"/>
              <w:left w:val="nil"/>
              <w:bottom w:val="single" w:color="666666" w:sz="12" w:space="0"/>
              <w:right w:val="nil"/>
            </w:tcBorders>
            <w:vAlign w:val="center"/>
          </w:tcPr>
          <w:p w14:paraId="245E955B">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b/>
                <w:sz w:val="16"/>
                <w:szCs w:val="16"/>
              </w:rPr>
              <w:t>2018 source variable(s)</w:t>
            </w:r>
          </w:p>
        </w:tc>
        <w:tc>
          <w:tcPr>
            <w:tcW w:w="4536" w:type="dxa"/>
            <w:tcBorders>
              <w:top w:val="single" w:color="666666" w:sz="12" w:space="0"/>
              <w:left w:val="nil"/>
              <w:bottom w:val="single" w:color="666666" w:sz="12" w:space="0"/>
              <w:right w:val="nil"/>
            </w:tcBorders>
            <w:vAlign w:val="center"/>
          </w:tcPr>
          <w:p w14:paraId="6B6F5F2B">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b/>
                <w:sz w:val="16"/>
                <w:szCs w:val="16"/>
              </w:rPr>
              <w:t>Deficit coding</w:t>
            </w:r>
          </w:p>
        </w:tc>
        <w:tc>
          <w:tcPr>
            <w:tcW w:w="1080" w:type="dxa"/>
            <w:tcBorders>
              <w:top w:val="single" w:color="666666" w:sz="12" w:space="0"/>
              <w:left w:val="nil"/>
              <w:bottom w:val="single" w:color="666666" w:sz="12" w:space="0"/>
              <w:right w:val="nil"/>
            </w:tcBorders>
            <w:vAlign w:val="center"/>
          </w:tcPr>
          <w:p w14:paraId="680E8FC3">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b/>
                <w:sz w:val="16"/>
                <w:szCs w:val="16"/>
              </w:rPr>
              <w:t>Units in FI denominator</w:t>
            </w:r>
          </w:p>
        </w:tc>
      </w:tr>
      <w:tr w14:paraId="75AB1D5E">
        <w:tblPrEx>
          <w:tblCellMar>
            <w:top w:w="0" w:type="dxa"/>
            <w:left w:w="108" w:type="dxa"/>
            <w:bottom w:w="0" w:type="dxa"/>
            <w:right w:w="108" w:type="dxa"/>
          </w:tblCellMar>
        </w:tblPrEx>
        <w:tc>
          <w:tcPr>
            <w:tcW w:w="1656" w:type="dxa"/>
            <w:tcBorders>
              <w:top w:val="nil"/>
              <w:left w:val="nil"/>
              <w:bottom w:val="nil"/>
              <w:right w:val="nil"/>
            </w:tcBorders>
            <w:vAlign w:val="center"/>
          </w:tcPr>
          <w:p w14:paraId="0A1B1920">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Chronic conditions</w:t>
            </w:r>
          </w:p>
        </w:tc>
        <w:tc>
          <w:tcPr>
            <w:tcW w:w="936" w:type="dxa"/>
            <w:tcBorders>
              <w:top w:val="nil"/>
              <w:left w:val="nil"/>
              <w:bottom w:val="nil"/>
              <w:right w:val="nil"/>
            </w:tcBorders>
            <w:vAlign w:val="center"/>
          </w:tcPr>
          <w:p w14:paraId="6741D967">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10</w:t>
            </w:r>
          </w:p>
        </w:tc>
        <w:tc>
          <w:tcPr>
            <w:tcW w:w="3168" w:type="dxa"/>
            <w:tcBorders>
              <w:top w:val="nil"/>
              <w:left w:val="nil"/>
              <w:bottom w:val="nil"/>
              <w:right w:val="nil"/>
            </w:tcBorders>
            <w:vAlign w:val="center"/>
          </w:tcPr>
          <w:p w14:paraId="182CB03C">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R3HIBPE, R3DIABE, R3CANCRE, R3LUNGE, R3HEARTE, R3STROKE, R3ARTHRE, R3ASTHMAE, R3PSYCHE, R3MEMRYE</w:t>
            </w:r>
          </w:p>
        </w:tc>
        <w:tc>
          <w:tcPr>
            <w:tcW w:w="3168" w:type="dxa"/>
            <w:tcBorders>
              <w:top w:val="nil"/>
              <w:left w:val="nil"/>
              <w:bottom w:val="nil"/>
              <w:right w:val="nil"/>
            </w:tcBorders>
            <w:vAlign w:val="center"/>
          </w:tcPr>
          <w:p w14:paraId="2372F50C">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R4HIBPE, R4DIABE, R4CANCRE, R4LUNGE, R4HEARTE, R4STROKE, R4ARTHRE, R4ASTHMAE, R4PSYCHE, R4MEMRYE</w:t>
            </w:r>
          </w:p>
        </w:tc>
        <w:tc>
          <w:tcPr>
            <w:tcW w:w="4536" w:type="dxa"/>
            <w:tcBorders>
              <w:top w:val="nil"/>
              <w:left w:val="nil"/>
              <w:bottom w:val="nil"/>
              <w:right w:val="nil"/>
            </w:tcBorders>
            <w:vAlign w:val="center"/>
          </w:tcPr>
          <w:p w14:paraId="2082F9D7">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Each condition: present = 1; absent = 0</w:t>
            </w:r>
          </w:p>
        </w:tc>
        <w:tc>
          <w:tcPr>
            <w:tcW w:w="1080" w:type="dxa"/>
            <w:tcBorders>
              <w:top w:val="nil"/>
              <w:left w:val="nil"/>
              <w:bottom w:val="nil"/>
              <w:right w:val="nil"/>
            </w:tcBorders>
            <w:vAlign w:val="center"/>
          </w:tcPr>
          <w:p w14:paraId="77255029">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10</w:t>
            </w:r>
          </w:p>
        </w:tc>
      </w:tr>
      <w:tr w14:paraId="43443E54">
        <w:tblPrEx>
          <w:tblCellMar>
            <w:top w:w="0" w:type="dxa"/>
            <w:left w:w="108" w:type="dxa"/>
            <w:bottom w:w="0" w:type="dxa"/>
            <w:right w:w="108" w:type="dxa"/>
          </w:tblCellMar>
        </w:tblPrEx>
        <w:tc>
          <w:tcPr>
            <w:tcW w:w="1656" w:type="dxa"/>
            <w:tcBorders>
              <w:top w:val="nil"/>
              <w:left w:val="nil"/>
              <w:bottom w:val="nil"/>
              <w:right w:val="nil"/>
            </w:tcBorders>
            <w:vAlign w:val="center"/>
          </w:tcPr>
          <w:p w14:paraId="6009E699">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Sensory function</w:t>
            </w:r>
          </w:p>
        </w:tc>
        <w:tc>
          <w:tcPr>
            <w:tcW w:w="936" w:type="dxa"/>
            <w:tcBorders>
              <w:top w:val="nil"/>
              <w:left w:val="nil"/>
              <w:bottom w:val="nil"/>
              <w:right w:val="nil"/>
            </w:tcBorders>
            <w:vAlign w:val="center"/>
          </w:tcPr>
          <w:p w14:paraId="526EEFDB">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2</w:t>
            </w:r>
          </w:p>
        </w:tc>
        <w:tc>
          <w:tcPr>
            <w:tcW w:w="3168" w:type="dxa"/>
            <w:tcBorders>
              <w:top w:val="nil"/>
              <w:left w:val="nil"/>
              <w:bottom w:val="nil"/>
              <w:right w:val="nil"/>
            </w:tcBorders>
            <w:vAlign w:val="center"/>
          </w:tcPr>
          <w:p w14:paraId="70A4B509">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da005_4_ (hearing); da005_3_ (vision)</w:t>
            </w:r>
          </w:p>
        </w:tc>
        <w:tc>
          <w:tcPr>
            <w:tcW w:w="3168" w:type="dxa"/>
            <w:tcBorders>
              <w:top w:val="nil"/>
              <w:left w:val="nil"/>
              <w:bottom w:val="nil"/>
              <w:right w:val="nil"/>
            </w:tcBorders>
            <w:vAlign w:val="center"/>
          </w:tcPr>
          <w:p w14:paraId="6A01EF60">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da005_4_ (hearing); da005_3_ (vision)</w:t>
            </w:r>
          </w:p>
        </w:tc>
        <w:tc>
          <w:tcPr>
            <w:tcW w:w="4536" w:type="dxa"/>
            <w:tcBorders>
              <w:top w:val="nil"/>
              <w:left w:val="nil"/>
              <w:bottom w:val="nil"/>
              <w:right w:val="nil"/>
            </w:tcBorders>
            <w:vAlign w:val="center"/>
          </w:tcPr>
          <w:p w14:paraId="3A2D74CC">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Each deficit: yes = 1; no = 0</w:t>
            </w:r>
          </w:p>
        </w:tc>
        <w:tc>
          <w:tcPr>
            <w:tcW w:w="1080" w:type="dxa"/>
            <w:tcBorders>
              <w:top w:val="nil"/>
              <w:left w:val="nil"/>
              <w:bottom w:val="nil"/>
              <w:right w:val="nil"/>
            </w:tcBorders>
            <w:vAlign w:val="center"/>
          </w:tcPr>
          <w:p w14:paraId="741FB3C1">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2</w:t>
            </w:r>
          </w:p>
        </w:tc>
      </w:tr>
      <w:tr w14:paraId="44B7D2F5">
        <w:tblPrEx>
          <w:tblCellMar>
            <w:top w:w="0" w:type="dxa"/>
            <w:left w:w="108" w:type="dxa"/>
            <w:bottom w:w="0" w:type="dxa"/>
            <w:right w:w="108" w:type="dxa"/>
          </w:tblCellMar>
        </w:tblPrEx>
        <w:tc>
          <w:tcPr>
            <w:tcW w:w="1656" w:type="dxa"/>
            <w:tcBorders>
              <w:top w:val="nil"/>
              <w:left w:val="nil"/>
              <w:bottom w:val="nil"/>
              <w:right w:val="nil"/>
            </w:tcBorders>
            <w:vAlign w:val="center"/>
          </w:tcPr>
          <w:p w14:paraId="1B0AA654">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ADL limitations</w:t>
            </w:r>
          </w:p>
        </w:tc>
        <w:tc>
          <w:tcPr>
            <w:tcW w:w="936" w:type="dxa"/>
            <w:tcBorders>
              <w:top w:val="nil"/>
              <w:left w:val="nil"/>
              <w:bottom w:val="nil"/>
              <w:right w:val="nil"/>
            </w:tcBorders>
            <w:vAlign w:val="center"/>
          </w:tcPr>
          <w:p w14:paraId="67FF783F">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5</w:t>
            </w:r>
          </w:p>
        </w:tc>
        <w:tc>
          <w:tcPr>
            <w:tcW w:w="3168" w:type="dxa"/>
            <w:tcBorders>
              <w:top w:val="nil"/>
              <w:left w:val="nil"/>
              <w:bottom w:val="nil"/>
              <w:right w:val="nil"/>
            </w:tcBorders>
            <w:vAlign w:val="center"/>
          </w:tcPr>
          <w:p w14:paraId="00772BEE">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R3ADLFIVE (0-5)</w:t>
            </w:r>
          </w:p>
        </w:tc>
        <w:tc>
          <w:tcPr>
            <w:tcW w:w="3168" w:type="dxa"/>
            <w:tcBorders>
              <w:top w:val="nil"/>
              <w:left w:val="nil"/>
              <w:bottom w:val="nil"/>
              <w:right w:val="nil"/>
            </w:tcBorders>
            <w:vAlign w:val="center"/>
          </w:tcPr>
          <w:p w14:paraId="136F6E89">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R4ADLFIVE (0-5)</w:t>
            </w:r>
          </w:p>
        </w:tc>
        <w:tc>
          <w:tcPr>
            <w:tcW w:w="4536" w:type="dxa"/>
            <w:tcBorders>
              <w:top w:val="nil"/>
              <w:left w:val="nil"/>
              <w:bottom w:val="nil"/>
              <w:right w:val="nil"/>
            </w:tcBorders>
            <w:vAlign w:val="center"/>
          </w:tcPr>
          <w:p w14:paraId="4972CD68">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Summary count retained on a 0-5 scale</w:t>
            </w:r>
          </w:p>
        </w:tc>
        <w:tc>
          <w:tcPr>
            <w:tcW w:w="1080" w:type="dxa"/>
            <w:tcBorders>
              <w:top w:val="nil"/>
              <w:left w:val="nil"/>
              <w:bottom w:val="nil"/>
              <w:right w:val="nil"/>
            </w:tcBorders>
            <w:vAlign w:val="center"/>
          </w:tcPr>
          <w:p w14:paraId="76DDB87A">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5</w:t>
            </w:r>
          </w:p>
        </w:tc>
      </w:tr>
      <w:tr w14:paraId="2304719D">
        <w:tblPrEx>
          <w:tblCellMar>
            <w:top w:w="0" w:type="dxa"/>
            <w:left w:w="108" w:type="dxa"/>
            <w:bottom w:w="0" w:type="dxa"/>
            <w:right w:w="108" w:type="dxa"/>
          </w:tblCellMar>
        </w:tblPrEx>
        <w:tc>
          <w:tcPr>
            <w:tcW w:w="1656" w:type="dxa"/>
            <w:tcBorders>
              <w:top w:val="nil"/>
              <w:left w:val="nil"/>
              <w:bottom w:val="nil"/>
              <w:right w:val="nil"/>
            </w:tcBorders>
            <w:vAlign w:val="center"/>
          </w:tcPr>
          <w:p w14:paraId="104F43FC">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IADL limitations</w:t>
            </w:r>
          </w:p>
        </w:tc>
        <w:tc>
          <w:tcPr>
            <w:tcW w:w="936" w:type="dxa"/>
            <w:tcBorders>
              <w:top w:val="nil"/>
              <w:left w:val="nil"/>
              <w:bottom w:val="nil"/>
              <w:right w:val="nil"/>
            </w:tcBorders>
            <w:vAlign w:val="center"/>
          </w:tcPr>
          <w:p w14:paraId="7A04AD09">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5</w:t>
            </w:r>
          </w:p>
        </w:tc>
        <w:tc>
          <w:tcPr>
            <w:tcW w:w="3168" w:type="dxa"/>
            <w:tcBorders>
              <w:top w:val="nil"/>
              <w:left w:val="nil"/>
              <w:bottom w:val="nil"/>
              <w:right w:val="nil"/>
            </w:tcBorders>
            <w:vAlign w:val="center"/>
          </w:tcPr>
          <w:p w14:paraId="50635467">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R3MONEYA, R3MEDSA, R3SHOPA, R3MEALSA, R3HOUSEWKA</w:t>
            </w:r>
          </w:p>
        </w:tc>
        <w:tc>
          <w:tcPr>
            <w:tcW w:w="3168" w:type="dxa"/>
            <w:tcBorders>
              <w:top w:val="nil"/>
              <w:left w:val="nil"/>
              <w:bottom w:val="nil"/>
              <w:right w:val="nil"/>
            </w:tcBorders>
            <w:vAlign w:val="center"/>
          </w:tcPr>
          <w:p w14:paraId="5B9B3F99">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R4MONEYA, R4MEDSA, R4SHOPA, R4MEALSA, R4HOUSEWKA</w:t>
            </w:r>
          </w:p>
        </w:tc>
        <w:tc>
          <w:tcPr>
            <w:tcW w:w="4536" w:type="dxa"/>
            <w:tcBorders>
              <w:top w:val="nil"/>
              <w:left w:val="nil"/>
              <w:bottom w:val="nil"/>
              <w:right w:val="nil"/>
            </w:tcBorders>
            <w:vAlign w:val="center"/>
          </w:tcPr>
          <w:p w14:paraId="14B536B8">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Each limitation: 1; no limitation: 0</w:t>
            </w:r>
          </w:p>
        </w:tc>
        <w:tc>
          <w:tcPr>
            <w:tcW w:w="1080" w:type="dxa"/>
            <w:tcBorders>
              <w:top w:val="nil"/>
              <w:left w:val="nil"/>
              <w:bottom w:val="nil"/>
              <w:right w:val="nil"/>
            </w:tcBorders>
            <w:vAlign w:val="center"/>
          </w:tcPr>
          <w:p w14:paraId="56BA3E2C">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5</w:t>
            </w:r>
          </w:p>
        </w:tc>
      </w:tr>
      <w:tr w14:paraId="5B6BB452">
        <w:tblPrEx>
          <w:tblCellMar>
            <w:top w:w="0" w:type="dxa"/>
            <w:left w:w="108" w:type="dxa"/>
            <w:bottom w:w="0" w:type="dxa"/>
            <w:right w:w="108" w:type="dxa"/>
          </w:tblCellMar>
        </w:tblPrEx>
        <w:tc>
          <w:tcPr>
            <w:tcW w:w="1656" w:type="dxa"/>
            <w:tcBorders>
              <w:top w:val="nil"/>
              <w:left w:val="nil"/>
              <w:bottom w:val="nil"/>
              <w:right w:val="nil"/>
            </w:tcBorders>
            <w:vAlign w:val="center"/>
          </w:tcPr>
          <w:p w14:paraId="769D999E">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Mobility limitations</w:t>
            </w:r>
          </w:p>
        </w:tc>
        <w:tc>
          <w:tcPr>
            <w:tcW w:w="936" w:type="dxa"/>
            <w:tcBorders>
              <w:top w:val="nil"/>
              <w:left w:val="nil"/>
              <w:bottom w:val="nil"/>
              <w:right w:val="nil"/>
            </w:tcBorders>
            <w:vAlign w:val="center"/>
          </w:tcPr>
          <w:p w14:paraId="3D8A493B">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7</w:t>
            </w:r>
          </w:p>
        </w:tc>
        <w:tc>
          <w:tcPr>
            <w:tcW w:w="3168" w:type="dxa"/>
            <w:tcBorders>
              <w:top w:val="nil"/>
              <w:left w:val="nil"/>
              <w:bottom w:val="nil"/>
              <w:right w:val="nil"/>
            </w:tcBorders>
            <w:vAlign w:val="center"/>
          </w:tcPr>
          <w:p w14:paraId="2FF5C4A7">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R3MOBILSEV (0-7)</w:t>
            </w:r>
          </w:p>
        </w:tc>
        <w:tc>
          <w:tcPr>
            <w:tcW w:w="3168" w:type="dxa"/>
            <w:tcBorders>
              <w:top w:val="nil"/>
              <w:left w:val="nil"/>
              <w:bottom w:val="nil"/>
              <w:right w:val="nil"/>
            </w:tcBorders>
            <w:vAlign w:val="center"/>
          </w:tcPr>
          <w:p w14:paraId="3429A551">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R4MOBILSEV (0-7)</w:t>
            </w:r>
          </w:p>
        </w:tc>
        <w:tc>
          <w:tcPr>
            <w:tcW w:w="4536" w:type="dxa"/>
            <w:tcBorders>
              <w:top w:val="nil"/>
              <w:left w:val="nil"/>
              <w:bottom w:val="nil"/>
              <w:right w:val="nil"/>
            </w:tcBorders>
            <w:vAlign w:val="center"/>
          </w:tcPr>
          <w:p w14:paraId="0B30F6A4">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Summary count retained on a 0-7 scale</w:t>
            </w:r>
          </w:p>
        </w:tc>
        <w:tc>
          <w:tcPr>
            <w:tcW w:w="1080" w:type="dxa"/>
            <w:tcBorders>
              <w:top w:val="nil"/>
              <w:left w:val="nil"/>
              <w:bottom w:val="nil"/>
              <w:right w:val="nil"/>
            </w:tcBorders>
            <w:vAlign w:val="center"/>
          </w:tcPr>
          <w:p w14:paraId="3B3ED0B6">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7</w:t>
            </w:r>
          </w:p>
        </w:tc>
      </w:tr>
      <w:tr w14:paraId="67E252AF">
        <w:tblPrEx>
          <w:tblCellMar>
            <w:top w:w="0" w:type="dxa"/>
            <w:left w:w="108" w:type="dxa"/>
            <w:bottom w:w="0" w:type="dxa"/>
            <w:right w:w="108" w:type="dxa"/>
          </w:tblCellMar>
        </w:tblPrEx>
        <w:tc>
          <w:tcPr>
            <w:tcW w:w="1656" w:type="dxa"/>
            <w:tcBorders>
              <w:top w:val="nil"/>
              <w:left w:val="nil"/>
              <w:bottom w:val="nil"/>
              <w:right w:val="nil"/>
            </w:tcBorders>
            <w:vAlign w:val="center"/>
          </w:tcPr>
          <w:p w14:paraId="12554901">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Self-rated health</w:t>
            </w:r>
          </w:p>
        </w:tc>
        <w:tc>
          <w:tcPr>
            <w:tcW w:w="936" w:type="dxa"/>
            <w:tcBorders>
              <w:top w:val="nil"/>
              <w:left w:val="nil"/>
              <w:bottom w:val="nil"/>
              <w:right w:val="nil"/>
            </w:tcBorders>
            <w:vAlign w:val="center"/>
          </w:tcPr>
          <w:p w14:paraId="502C3FA8">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1</w:t>
            </w:r>
          </w:p>
        </w:tc>
        <w:tc>
          <w:tcPr>
            <w:tcW w:w="3168" w:type="dxa"/>
            <w:tcBorders>
              <w:top w:val="nil"/>
              <w:left w:val="nil"/>
              <w:bottom w:val="nil"/>
              <w:right w:val="nil"/>
            </w:tcBorders>
            <w:vAlign w:val="center"/>
          </w:tcPr>
          <w:p w14:paraId="392ABB16">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R3SHLT</w:t>
            </w:r>
          </w:p>
        </w:tc>
        <w:tc>
          <w:tcPr>
            <w:tcW w:w="3168" w:type="dxa"/>
            <w:tcBorders>
              <w:top w:val="nil"/>
              <w:left w:val="nil"/>
              <w:bottom w:val="nil"/>
              <w:right w:val="nil"/>
            </w:tcBorders>
            <w:vAlign w:val="center"/>
          </w:tcPr>
          <w:p w14:paraId="37DD3CF9">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Raw wave-4 variable da002</w:t>
            </w:r>
          </w:p>
        </w:tc>
        <w:tc>
          <w:tcPr>
            <w:tcW w:w="4536" w:type="dxa"/>
            <w:tcBorders>
              <w:top w:val="nil"/>
              <w:left w:val="nil"/>
              <w:bottom w:val="nil"/>
              <w:right w:val="nil"/>
            </w:tcBorders>
            <w:vAlign w:val="center"/>
          </w:tcPr>
          <w:p w14:paraId="7DECFBE5">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2015: codes 4/5 = 1; otherwise 0. 2018: codes 3/4/5 = 1; otherwise 0</w:t>
            </w:r>
          </w:p>
        </w:tc>
        <w:tc>
          <w:tcPr>
            <w:tcW w:w="1080" w:type="dxa"/>
            <w:tcBorders>
              <w:top w:val="nil"/>
              <w:left w:val="nil"/>
              <w:bottom w:val="nil"/>
              <w:right w:val="nil"/>
            </w:tcBorders>
            <w:vAlign w:val="center"/>
          </w:tcPr>
          <w:p w14:paraId="79EA578F">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1</w:t>
            </w:r>
          </w:p>
        </w:tc>
      </w:tr>
      <w:tr w14:paraId="64D331D3">
        <w:tblPrEx>
          <w:tblCellMar>
            <w:top w:w="0" w:type="dxa"/>
            <w:left w:w="108" w:type="dxa"/>
            <w:bottom w:w="0" w:type="dxa"/>
            <w:right w:w="108" w:type="dxa"/>
          </w:tblCellMar>
        </w:tblPrEx>
        <w:tc>
          <w:tcPr>
            <w:tcW w:w="1656" w:type="dxa"/>
            <w:tcBorders>
              <w:top w:val="nil"/>
              <w:left w:val="nil"/>
              <w:bottom w:val="nil"/>
              <w:right w:val="nil"/>
            </w:tcBorders>
            <w:vAlign w:val="center"/>
          </w:tcPr>
          <w:p w14:paraId="6C0C40B6">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Depressive symptoms</w:t>
            </w:r>
          </w:p>
        </w:tc>
        <w:tc>
          <w:tcPr>
            <w:tcW w:w="936" w:type="dxa"/>
            <w:tcBorders>
              <w:top w:val="nil"/>
              <w:left w:val="nil"/>
              <w:bottom w:val="nil"/>
              <w:right w:val="nil"/>
            </w:tcBorders>
            <w:vAlign w:val="center"/>
          </w:tcPr>
          <w:p w14:paraId="0804FAA6">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1</w:t>
            </w:r>
          </w:p>
        </w:tc>
        <w:tc>
          <w:tcPr>
            <w:tcW w:w="3168" w:type="dxa"/>
            <w:tcBorders>
              <w:top w:val="nil"/>
              <w:left w:val="nil"/>
              <w:bottom w:val="nil"/>
              <w:right w:val="nil"/>
            </w:tcBorders>
            <w:vAlign w:val="center"/>
          </w:tcPr>
          <w:p w14:paraId="273BEDB5">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R3CESD10</w:t>
            </w:r>
          </w:p>
        </w:tc>
        <w:tc>
          <w:tcPr>
            <w:tcW w:w="3168" w:type="dxa"/>
            <w:tcBorders>
              <w:top w:val="nil"/>
              <w:left w:val="nil"/>
              <w:bottom w:val="nil"/>
              <w:right w:val="nil"/>
            </w:tcBorders>
            <w:vAlign w:val="center"/>
          </w:tcPr>
          <w:p w14:paraId="5319CC76">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R4CESD10</w:t>
            </w:r>
          </w:p>
        </w:tc>
        <w:tc>
          <w:tcPr>
            <w:tcW w:w="4536" w:type="dxa"/>
            <w:tcBorders>
              <w:top w:val="nil"/>
              <w:left w:val="nil"/>
              <w:bottom w:val="nil"/>
              <w:right w:val="nil"/>
            </w:tcBorders>
            <w:vAlign w:val="center"/>
          </w:tcPr>
          <w:p w14:paraId="2780EDEB">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CES-D-10 score &gt;10 = 1; score ≤10 = 0</w:t>
            </w:r>
          </w:p>
        </w:tc>
        <w:tc>
          <w:tcPr>
            <w:tcW w:w="1080" w:type="dxa"/>
            <w:tcBorders>
              <w:top w:val="nil"/>
              <w:left w:val="nil"/>
              <w:bottom w:val="nil"/>
              <w:right w:val="nil"/>
            </w:tcBorders>
            <w:vAlign w:val="center"/>
          </w:tcPr>
          <w:p w14:paraId="65AA03DC">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1</w:t>
            </w:r>
          </w:p>
        </w:tc>
      </w:tr>
      <w:tr w14:paraId="60363922">
        <w:tblPrEx>
          <w:tblCellMar>
            <w:top w:w="0" w:type="dxa"/>
            <w:left w:w="108" w:type="dxa"/>
            <w:bottom w:w="0" w:type="dxa"/>
            <w:right w:w="108" w:type="dxa"/>
          </w:tblCellMar>
        </w:tblPrEx>
        <w:tc>
          <w:tcPr>
            <w:tcW w:w="1656" w:type="dxa"/>
            <w:tcBorders>
              <w:top w:val="nil"/>
              <w:left w:val="nil"/>
              <w:bottom w:val="single" w:color="666666" w:sz="12" w:space="0"/>
              <w:right w:val="nil"/>
            </w:tcBorders>
            <w:vAlign w:val="center"/>
          </w:tcPr>
          <w:p w14:paraId="07F01E71">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Cognition</w:t>
            </w:r>
          </w:p>
        </w:tc>
        <w:tc>
          <w:tcPr>
            <w:tcW w:w="936" w:type="dxa"/>
            <w:tcBorders>
              <w:top w:val="nil"/>
              <w:left w:val="nil"/>
              <w:bottom w:val="single" w:color="666666" w:sz="12" w:space="0"/>
              <w:right w:val="nil"/>
            </w:tcBorders>
            <w:vAlign w:val="center"/>
          </w:tcPr>
          <w:p w14:paraId="4F581230">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1</w:t>
            </w:r>
          </w:p>
        </w:tc>
        <w:tc>
          <w:tcPr>
            <w:tcW w:w="3168" w:type="dxa"/>
            <w:tcBorders>
              <w:top w:val="nil"/>
              <w:left w:val="nil"/>
              <w:bottom w:val="single" w:color="666666" w:sz="12" w:space="0"/>
              <w:right w:val="nil"/>
            </w:tcBorders>
            <w:vAlign w:val="center"/>
          </w:tcPr>
          <w:p w14:paraId="4CF9C9FA">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R3TR20 and R3ORIENT</w:t>
            </w:r>
          </w:p>
        </w:tc>
        <w:tc>
          <w:tcPr>
            <w:tcW w:w="3168" w:type="dxa"/>
            <w:tcBorders>
              <w:top w:val="nil"/>
              <w:left w:val="nil"/>
              <w:bottom w:val="single" w:color="666666" w:sz="12" w:space="0"/>
              <w:right w:val="nil"/>
            </w:tcBorders>
            <w:vAlign w:val="center"/>
          </w:tcPr>
          <w:p w14:paraId="36FB3034">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R4TR20 and R4ORIENT</w:t>
            </w:r>
          </w:p>
        </w:tc>
        <w:tc>
          <w:tcPr>
            <w:tcW w:w="4536" w:type="dxa"/>
            <w:tcBorders>
              <w:top w:val="nil"/>
              <w:left w:val="nil"/>
              <w:bottom w:val="single" w:color="666666" w:sz="12" w:space="0"/>
              <w:right w:val="nil"/>
            </w:tcBorders>
            <w:vAlign w:val="center"/>
          </w:tcPr>
          <w:p w14:paraId="046DAFD9">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Continuous deficit = 1 - [(TR20/2 + ORIENT)/14]</w:t>
            </w:r>
          </w:p>
        </w:tc>
        <w:tc>
          <w:tcPr>
            <w:tcW w:w="1080" w:type="dxa"/>
            <w:tcBorders>
              <w:top w:val="nil"/>
              <w:left w:val="nil"/>
              <w:bottom w:val="single" w:color="666666" w:sz="12" w:space="0"/>
              <w:right w:val="nil"/>
            </w:tcBorders>
            <w:vAlign w:val="center"/>
          </w:tcPr>
          <w:p w14:paraId="7623309C">
            <w:pPr>
              <w:widowControl/>
              <w:kinsoku/>
              <w:wordWrap/>
              <w:overflowPunct/>
              <w:topLinePunct w:val="0"/>
              <w:autoSpaceDE/>
              <w:autoSpaceDN/>
              <w:bidi w:val="0"/>
              <w:adjustRightInd/>
              <w:snapToGrid/>
              <w:spacing w:before="0" w:after="0" w:line="400" w:lineRule="exact"/>
              <w:textAlignment w:val="auto"/>
              <w:rPr>
                <w:rFonts w:hint="default" w:ascii="Arial" w:hAnsi="Arial" w:cs="Arial"/>
                <w:sz w:val="16"/>
                <w:szCs w:val="16"/>
              </w:rPr>
            </w:pPr>
            <w:r>
              <w:rPr>
                <w:rFonts w:hint="default" w:ascii="Arial" w:hAnsi="Arial" w:cs="Arial"/>
                <w:sz w:val="16"/>
                <w:szCs w:val="16"/>
              </w:rPr>
              <w:t>1</w:t>
            </w:r>
          </w:p>
        </w:tc>
      </w:tr>
    </w:tbl>
    <w:p w14:paraId="023DCDB7">
      <w:pPr>
        <w:widowControl/>
        <w:kinsoku/>
        <w:wordWrap/>
        <w:overflowPunct/>
        <w:topLinePunct w:val="0"/>
        <w:autoSpaceDE/>
        <w:autoSpaceDN/>
        <w:bidi w:val="0"/>
        <w:adjustRightInd/>
        <w:snapToGrid/>
        <w:spacing w:line="400" w:lineRule="exact"/>
        <w:textAlignment w:val="auto"/>
        <w:rPr>
          <w:rFonts w:hint="default" w:ascii="Arial" w:hAnsi="Arial" w:cs="Arial"/>
          <w:sz w:val="16"/>
          <w:szCs w:val="16"/>
        </w:rPr>
      </w:pPr>
      <w:r>
        <w:rPr>
          <w:rFonts w:hint="eastAsia" w:ascii="Arial" w:hAnsi="Arial" w:eastAsia="宋体" w:cs="Arial"/>
          <w:b/>
          <w:bCs/>
          <w:sz w:val="16"/>
          <w:szCs w:val="16"/>
          <w:lang w:val="en-US" w:eastAsia="zh-CN"/>
        </w:rPr>
        <w:t xml:space="preserve">Notes: </w:t>
      </w:r>
      <w:r>
        <w:rPr>
          <w:rFonts w:hint="default" w:ascii="Arial" w:hAnsi="Arial" w:cs="Arial"/>
          <w:sz w:val="16"/>
          <w:szCs w:val="16"/>
        </w:rPr>
        <w:t>FI was calculated as the sum of observed deficit scores divided by the number of observed deficit units. A value was calculated only when at least 26 of 32 units were observed (no more than 6 missing units); otherwise, the FI was set to missing. ADLFIVE and MOBILSEV are summary counts representing 5 and 7 deficit units, respectively; when available, they contributed 5 and 7 units to the denominator. FI ≥0.25 indicated frailty. CHARLS, China Health and Retirement Longitudinal St</w:t>
      </w:r>
      <w:bookmarkStart w:id="0" w:name="_GoBack"/>
      <w:bookmarkEnd w:id="0"/>
      <w:r>
        <w:rPr>
          <w:rFonts w:hint="default" w:ascii="Arial" w:hAnsi="Arial" w:cs="Arial"/>
          <w:sz w:val="16"/>
          <w:szCs w:val="16"/>
        </w:rPr>
        <w:t>udy; ADL, activities of daily living; IADL, instrumental activities of daily living; CES-D-10, 10-item Center for Epidemiologic Studies Depression Scale; FI, frailty index.</w:t>
      </w:r>
    </w:p>
    <w:sectPr>
      <w:type w:val="continuous"/>
      <w:pgSz w:w="16838" w:h="11906" w:orient="landscape"/>
      <w:pgMar w:top="720" w:right="504" w:bottom="720" w:left="504" w:header="708" w:footer="7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Lucida Grande">
    <w:altName w:val="Courier New"/>
    <w:panose1 w:val="020B0600040502020204"/>
    <w:charset w:val="00"/>
    <w:family w:val="auto"/>
    <w:pitch w:val="default"/>
    <w:sig w:usb0="00000000" w:usb1="00000000"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925FD"/>
    <w:multiLevelType w:val="multilevel"/>
    <w:tmpl w:val="07E925FD"/>
    <w:lvl w:ilvl="0" w:tentative="0">
      <w:start w:val="1"/>
      <w:numFmt w:val="decimal"/>
      <w:pStyle w:val="2"/>
      <w:lvlText w:val="%1."/>
      <w:lvlJc w:val="left"/>
      <w:pPr>
        <w:ind w:left="360" w:hanging="360"/>
      </w:pPr>
    </w:lvl>
    <w:lvl w:ilvl="1" w:tentative="0">
      <w:start w:val="1"/>
      <w:numFmt w:val="decimal"/>
      <w:pStyle w:val="3"/>
      <w:lvlText w:val="%1.%2."/>
      <w:lvlJc w:val="left"/>
      <w:pPr>
        <w:ind w:left="792" w:hanging="432"/>
      </w:pPr>
    </w:lvl>
    <w:lvl w:ilvl="2" w:tentative="0">
      <w:start w:val="1"/>
      <w:numFmt w:val="decimal"/>
      <w:pStyle w:val="4"/>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hyphenationZone w:val="425"/>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docVars>
    <w:docVar w:name="KY_MEDREF_DOCUID" w:val="{E7B8683C-0649-4D89-BC3E-74951F5938EF}"/>
    <w:docVar w:name="KY_MEDREF_VERSION" w:val="3"/>
  </w:docVars>
  <w:rsids>
    <w:rsidRoot w:val="00000000"/>
    <w:rsid w:val="05807B19"/>
    <w:rsid w:val="0B656F79"/>
    <w:rsid w:val="0D2904C6"/>
    <w:rsid w:val="15EA310E"/>
    <w:rsid w:val="1E1430E7"/>
    <w:rsid w:val="1EE4504C"/>
    <w:rsid w:val="2426102C"/>
    <w:rsid w:val="28561BB3"/>
    <w:rsid w:val="2C931228"/>
    <w:rsid w:val="2D825525"/>
    <w:rsid w:val="2DD761B4"/>
    <w:rsid w:val="43957F31"/>
    <w:rsid w:val="4B38326F"/>
    <w:rsid w:val="572F6536"/>
    <w:rsid w:val="5C0C4CFD"/>
    <w:rsid w:val="5E407A66"/>
    <w:rsid w:val="63936688"/>
    <w:rsid w:val="765E15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qFormat="1"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link w:val="15"/>
    <w:qFormat/>
    <w:uiPriority w:val="9"/>
    <w:pPr>
      <w:keepNext/>
      <w:keepLines/>
      <w:numPr>
        <w:ilvl w:val="0"/>
        <w:numId w:val="1"/>
      </w:numPr>
      <w:pBdr>
        <w:bottom w:val="single" w:color="auto" w:sz="4" w:space="1"/>
      </w:pBdr>
      <w:spacing w:before="480"/>
      <w:outlineLvl w:val="0"/>
    </w:pPr>
    <w:rPr>
      <w:rFonts w:asciiTheme="majorHAnsi" w:hAnsiTheme="majorHAnsi" w:eastAsiaTheme="majorEastAsia" w:cstheme="majorBidi"/>
      <w:b/>
      <w:bCs/>
      <w:sz w:val="32"/>
      <w:szCs w:val="32"/>
    </w:rPr>
  </w:style>
  <w:style w:type="paragraph" w:styleId="3">
    <w:name w:val="heading 2"/>
    <w:basedOn w:val="1"/>
    <w:next w:val="1"/>
    <w:link w:val="16"/>
    <w:semiHidden/>
    <w:unhideWhenUsed/>
    <w:qFormat/>
    <w:uiPriority w:val="9"/>
    <w:pPr>
      <w:keepNext/>
      <w:keepLines/>
      <w:numPr>
        <w:ilvl w:val="1"/>
        <w:numId w:val="1"/>
      </w:num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17"/>
    <w:semiHidden/>
    <w:unhideWhenUsed/>
    <w:qFormat/>
    <w:uiPriority w:val="9"/>
    <w:pPr>
      <w:keepNext/>
      <w:keepLines/>
      <w:numPr>
        <w:ilvl w:val="2"/>
        <w:numId w:val="1"/>
      </w:numPr>
      <w:spacing w:before="200"/>
      <w:outlineLvl w:val="2"/>
    </w:pPr>
    <w:rPr>
      <w:rFonts w:asciiTheme="majorHAnsi" w:hAnsiTheme="majorHAnsi" w:eastAsiaTheme="majorEastAsia" w:cstheme="majorBidi"/>
      <w:b/>
      <w:bCs/>
    </w:rPr>
  </w:style>
  <w:style w:type="character" w:default="1" w:styleId="11">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0"/>
    <w:semiHidden/>
    <w:unhideWhenUsed/>
    <w:qFormat/>
    <w:uiPriority w:val="99"/>
    <w:rPr>
      <w:rFonts w:ascii="Lucida Grande" w:hAnsi="Lucida Grande"/>
      <w:sz w:val="18"/>
      <w:szCs w:val="18"/>
    </w:rPr>
  </w:style>
  <w:style w:type="paragraph" w:styleId="6">
    <w:name w:val="toc 1"/>
    <w:basedOn w:val="1"/>
    <w:next w:val="1"/>
    <w:autoRedefine/>
    <w:unhideWhenUsed/>
    <w:qFormat/>
    <w:uiPriority w:val="39"/>
    <w:pPr>
      <w:spacing w:after="100"/>
    </w:pPr>
  </w:style>
  <w:style w:type="paragraph" w:styleId="7">
    <w:name w:val="toc 2"/>
    <w:basedOn w:val="1"/>
    <w:next w:val="1"/>
    <w:autoRedefine/>
    <w:unhideWhenUsed/>
    <w:qFormat/>
    <w:uiPriority w:val="39"/>
    <w:pPr>
      <w:spacing w:after="100"/>
      <w:ind w:left="240"/>
    </w:pPr>
  </w:style>
  <w:style w:type="table" w:styleId="9">
    <w:name w:val="Table Professional"/>
    <w:basedOn w:val="8"/>
    <w:semiHidden/>
    <w:unhideWhenUsed/>
    <w:qFormat/>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shd w:val="solid" w:color="000000" w:fill="FFFFFF"/>
      </w:tcPr>
    </w:tblStylePr>
  </w:style>
  <w:style w:type="table" w:styleId="10">
    <w:name w:val="Light List Accent 2"/>
    <w:basedOn w:val="8"/>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character" w:customStyle="1" w:styleId="12">
    <w:name w:val="strong"/>
    <w:basedOn w:val="11"/>
    <w:qFormat/>
    <w:uiPriority w:val="1"/>
    <w:rPr>
      <w:b/>
    </w:rPr>
  </w:style>
  <w:style w:type="paragraph" w:customStyle="1" w:styleId="13">
    <w:name w:val="centered"/>
    <w:basedOn w:val="1"/>
    <w:qFormat/>
    <w:uiPriority w:val="0"/>
    <w:pPr>
      <w:jc w:val="center"/>
    </w:pPr>
  </w:style>
  <w:style w:type="table" w:customStyle="1" w:styleId="14">
    <w:name w:val="table_template"/>
    <w:basedOn w:val="8"/>
    <w:qFormat/>
    <w:uiPriority w:val="59"/>
    <w:pPr>
      <w:jc w:val="right"/>
    </w:pPr>
    <w:tblPr>
      <w:jc w:val="center"/>
      <w:tblBorders>
        <w:top w:val="single" w:color="auto" w:sz="8" w:space="0"/>
        <w:bottom w:val="single" w:color="auto" w:sz="8" w:space="0"/>
        <w:insideH w:val="single" w:color="auto" w:sz="8" w:space="0"/>
      </w:tblBorders>
    </w:tblPr>
    <w:trPr>
      <w:jc w:val="center"/>
    </w:trPr>
    <w:tblStylePr w:type="firstRow">
      <w:rPr>
        <w:b/>
      </w:rPr>
      <w:tcPr>
        <w:tcBorders>
          <w:top w:val="nil"/>
          <w:left w:val="nil"/>
          <w:bottom w:val="single" w:color="auto" w:sz="18" w:space="0"/>
          <w:right w:val="nil"/>
          <w:insideH w:val="nil"/>
          <w:insideV w:val="nil"/>
          <w:tl2br w:val="nil"/>
          <w:tr2bl w:val="nil"/>
        </w:tcBorders>
      </w:tcPr>
    </w:tblStylePr>
  </w:style>
  <w:style w:type="character" w:customStyle="1" w:styleId="15">
    <w:name w:val="Titre 1 Car"/>
    <w:basedOn w:val="11"/>
    <w:link w:val="2"/>
    <w:qFormat/>
    <w:uiPriority w:val="9"/>
    <w:rPr>
      <w:rFonts w:asciiTheme="majorHAnsi" w:hAnsiTheme="majorHAnsi" w:eastAsiaTheme="majorEastAsia" w:cstheme="majorBidi"/>
      <w:b/>
      <w:bCs/>
      <w:sz w:val="32"/>
      <w:szCs w:val="32"/>
    </w:rPr>
  </w:style>
  <w:style w:type="character" w:customStyle="1" w:styleId="16">
    <w:name w:val="Titre 2 Car"/>
    <w:basedOn w:val="11"/>
    <w:link w:val="3"/>
    <w:semiHidden/>
    <w:qFormat/>
    <w:uiPriority w:val="9"/>
    <w:rPr>
      <w:rFonts w:asciiTheme="majorHAnsi" w:hAnsiTheme="majorHAnsi" w:eastAsiaTheme="majorEastAsia" w:cstheme="majorBidi"/>
      <w:b/>
      <w:bCs/>
      <w:sz w:val="26"/>
      <w:szCs w:val="26"/>
    </w:rPr>
  </w:style>
  <w:style w:type="character" w:customStyle="1" w:styleId="17">
    <w:name w:val="Titre 3 Car"/>
    <w:basedOn w:val="11"/>
    <w:link w:val="4"/>
    <w:semiHidden/>
    <w:qFormat/>
    <w:uiPriority w:val="9"/>
    <w:rPr>
      <w:rFonts w:asciiTheme="majorHAnsi" w:hAnsiTheme="majorHAnsi" w:eastAsiaTheme="majorEastAsia" w:cstheme="majorBidi"/>
      <w:b/>
      <w:bCs/>
    </w:rPr>
  </w:style>
  <w:style w:type="paragraph" w:customStyle="1" w:styleId="18">
    <w:name w:val="Image Caption"/>
    <w:basedOn w:val="1"/>
    <w:qFormat/>
    <w:uiPriority w:val="0"/>
    <w:pPr>
      <w:jc w:val="center"/>
    </w:pPr>
    <w:rPr>
      <w:b/>
      <w:i/>
    </w:rPr>
  </w:style>
  <w:style w:type="paragraph" w:customStyle="1" w:styleId="19">
    <w:name w:val="Table Caption"/>
    <w:basedOn w:val="18"/>
    <w:qFormat/>
    <w:uiPriority w:val="0"/>
  </w:style>
  <w:style w:type="character" w:customStyle="1" w:styleId="20">
    <w:name w:val="Texte de bulles Car"/>
    <w:basedOn w:val="11"/>
    <w:link w:val="5"/>
    <w:semiHidden/>
    <w:qFormat/>
    <w:uiPriority w:val="99"/>
    <w:rPr>
      <w:rFonts w:ascii="Lucida Grande" w:hAnsi="Lucida Grande"/>
      <w:sz w:val="18"/>
      <w:szCs w:val="18"/>
    </w:rPr>
  </w:style>
  <w:style w:type="character" w:customStyle="1" w:styleId="21">
    <w:name w:val="reference_id"/>
    <w:basedOn w:val="11"/>
    <w:qFormat/>
    <w:uiPriority w:val="1"/>
    <w:rPr>
      <w:vertAlign w:val="superscript"/>
    </w:rPr>
  </w:style>
  <w:style w:type="paragraph" w:customStyle="1" w:styleId="22">
    <w:name w:val="graphic title"/>
    <w:basedOn w:val="18"/>
    <w:next w:val="1"/>
    <w:qFormat/>
    <w:uiPriority w:val="0"/>
  </w:style>
  <w:style w:type="paragraph" w:customStyle="1" w:styleId="23">
    <w:name w:val="table title"/>
    <w:basedOn w:val="19"/>
    <w:next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7</Pages>
  <Words>414</Words>
  <Characters>2352</Characters>
  <Lines>0</Lines>
  <Paragraphs>0</Paragraphs>
  <TotalTime>3</TotalTime>
  <ScaleCrop>false</ScaleCrop>
  <LinksUpToDate>false</LinksUpToDate>
  <CharactersWithSpaces>2575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2017-02-28T11:18:00Z</dcterms:created>
  <dc:creator>h</dc:creator>
  <cp:lastModifiedBy>h</cp:lastModifiedBy>
  <dcterms:modified xsi:type="dcterms:W3CDTF">2026-08-04T06:23:30Z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5EABF7290BC347F1A42D8F0B8489DAA1_13</vt:lpwstr>
  </property>
  <property fmtid="{D5CDD505-2E9C-101B-9397-08002B2CF9AE}" pid="4" name="KSOTemplateDocerSaveRecord">
    <vt:lpwstr>eyJoZGlkIjoiN2ZhZjM2NjkxMGE5MWNkYjk4Mjc1YmY1OTQ0MDA1NmMiLCJ1c2VySWQiOiIyNTM0OTIzNjAifQ==</vt:lpwstr>
  </property>
</Properties>
</file>