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8B0EAE" w14:textId="77777777" w:rsidR="00111FE8" w:rsidRDefault="005D51CF">
      <w:r>
        <w:rPr>
          <w:rFonts w:ascii="Arial" w:hAnsi="Arial"/>
          <w:b/>
        </w:rPr>
        <w:t>Supplementary Figure 1. Exploratory cross-outcome visualisation of adjusted associations between participant sociodemographic characteristics and PrEP-related outcomes.</w:t>
      </w:r>
    </w:p>
    <w:p w14:paraId="55BEEC7F" w14:textId="77777777" w:rsidR="00111FE8" w:rsidRDefault="005D51CF">
      <w:pPr>
        <w:jc w:val="center"/>
      </w:pPr>
      <w:r>
        <w:rPr>
          <w:noProof/>
        </w:rPr>
        <w:drawing>
          <wp:inline distT="0" distB="0" distL="0" distR="0" wp14:anchorId="58652A61" wp14:editId="4FAA6EB0">
            <wp:extent cx="6634022" cy="674238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1_correcte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0752" cy="676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3A253" w14:textId="77777777" w:rsidR="00111FE8" w:rsidRDefault="005D51CF" w:rsidP="00A75B3B">
      <w:pPr>
        <w:jc w:val="both"/>
      </w:pPr>
      <w:r>
        <w:rPr>
          <w:rFonts w:ascii="Arial" w:hAnsi="Arial"/>
          <w:sz w:val="17"/>
        </w:rPr>
        <w:t>Adjusted odds ratios (aORs) and 95% confidence intervals are shown for current/past PrEP use, reported prior awareness that PrEP can prevent HIV, interest in seeking PrEP information, and support for obtaining PrEP from a local pharmacy. Estimates are from the multivariable logistic regression models reported in the main manuscript, adjusted for age, gender, ethnicity, educational attainment, sexual orientation and relationship status. Model-specific analytic denominators were n=14,007, n=14,218, n=14,199 a</w:t>
      </w:r>
      <w:r>
        <w:rPr>
          <w:rFonts w:ascii="Arial" w:hAnsi="Arial"/>
          <w:sz w:val="17"/>
        </w:rPr>
        <w:t>nd n=13,904, respectively. Pharmacy support was coded as agree/strongly agree versus neither agree nor disagree/disagree/strongly disagree; missing responses were excluded. The x-axis uses a common logarithmic scale and the vertical reference line denotes aOR=1. This display is descriptive and exploratory and does not represent an additional inferential model.</w:t>
      </w:r>
    </w:p>
    <w:sectPr w:rsidR="00111FE8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005435">
    <w:abstractNumId w:val="8"/>
  </w:num>
  <w:num w:numId="2" w16cid:durableId="1662614061">
    <w:abstractNumId w:val="6"/>
  </w:num>
  <w:num w:numId="3" w16cid:durableId="1829707234">
    <w:abstractNumId w:val="5"/>
  </w:num>
  <w:num w:numId="4" w16cid:durableId="925266905">
    <w:abstractNumId w:val="4"/>
  </w:num>
  <w:num w:numId="5" w16cid:durableId="894703703">
    <w:abstractNumId w:val="7"/>
  </w:num>
  <w:num w:numId="6" w16cid:durableId="759718912">
    <w:abstractNumId w:val="3"/>
  </w:num>
  <w:num w:numId="7" w16cid:durableId="1050886729">
    <w:abstractNumId w:val="2"/>
  </w:num>
  <w:num w:numId="8" w16cid:durableId="1513687911">
    <w:abstractNumId w:val="1"/>
  </w:num>
  <w:num w:numId="9" w16cid:durableId="12768662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FE8"/>
    <w:rsid w:val="0015074B"/>
    <w:rsid w:val="0029639D"/>
    <w:rsid w:val="00326F90"/>
    <w:rsid w:val="00542558"/>
    <w:rsid w:val="005D51CF"/>
    <w:rsid w:val="00A75B3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675008A-F92E-FA45-82DA-3C1E364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2</cp:revision>
  <dcterms:created xsi:type="dcterms:W3CDTF">2013-12-23T23:15:00Z</dcterms:created>
  <dcterms:modified xsi:type="dcterms:W3CDTF">2026-08-24T11:10:00Z</dcterms:modified>
  <cp:category/>
</cp:coreProperties>
</file>