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2A391A7D" w14:textId="77777777" w:rsidR="00E832C0" w:rsidRDefault="00314AE8">
      <w:r>
        <w:rPr>
          <w:rFonts w:ascii="Arial" w:hAnsi="Arial"/>
          <w:b/>
        </w:rPr>
        <w:t>Supplementary Figure 2. Exploratory joint correspondence analysis of participant sociodemographic characteristics.</w:t>
      </w:r>
    </w:p>
    <w:p w14:paraId="46214B20" w14:textId="77777777" w:rsidR="004148CC" w:rsidRDefault="00314AE8" w:rsidP="004148CC">
      <w:pPr>
        <w:jc w:val="center"/>
      </w:pPr>
      <w:r>
        <w:rPr>
          <w:noProof/>
        </w:rPr>
        <w:drawing>
          <wp:inline distT="0" distB="0" distL="0" distR="0" wp14:anchorId="1B537B8B" wp14:editId="5EA2819E">
            <wp:extent cx="7142290" cy="5256946"/>
            <wp:effectExtent l="0" t="0" r="0" b="127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upplementary_Figure_2_corrected.png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7167326" cy="527537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AB2140D" w14:textId="7BFA2318" w:rsidR="00E832C0" w:rsidRDefault="00314AE8" w:rsidP="004148CC">
      <w:pPr>
        <w:jc w:val="both"/>
      </w:pPr>
      <w:r>
        <w:rPr>
          <w:rFonts w:ascii="Arial" w:hAnsi="Arial"/>
          <w:sz w:val="17"/>
        </w:rPr>
        <w:t>Joint correspondence plot showing category-level relationships across five categorical sociodemographic variables: gender, age group, ethnicity, sexual orientation and relationship status. The analysis used principal normalisation and complete cases for the five variables (n=14,282). Dimension 1 accounted for 59.1% of total inertia and Dimension 2 for 20.5%, together accounting for 79.6% of total inertia. Categories positioned more closely together have more similar multivariable category profiles within th</w:t>
      </w:r>
      <w:r>
        <w:rPr>
          <w:rFonts w:ascii="Arial" w:hAnsi="Arial"/>
          <w:sz w:val="17"/>
        </w:rPr>
        <w:t>e JCA geometry; greater separation indicates more distinct profiles. PrEP outcomes were not included in the JCA. The analysis was exploratory and descriptive and was not used for hypothesis testing or participant classification.</w:t>
      </w:r>
    </w:p>
    <w:sectPr w:rsidR="00E832C0" w:rsidSect="00034616">
      <w:pgSz w:w="15840" w:h="12240" w:orient="landscape"/>
      <w:pgMar w:top="792" w:right="792" w:bottom="792" w:left="79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956136537">
    <w:abstractNumId w:val="8"/>
  </w:num>
  <w:num w:numId="2" w16cid:durableId="941186680">
    <w:abstractNumId w:val="6"/>
  </w:num>
  <w:num w:numId="3" w16cid:durableId="1796947539">
    <w:abstractNumId w:val="5"/>
  </w:num>
  <w:num w:numId="4" w16cid:durableId="491455636">
    <w:abstractNumId w:val="4"/>
  </w:num>
  <w:num w:numId="5" w16cid:durableId="1253318360">
    <w:abstractNumId w:val="7"/>
  </w:num>
  <w:num w:numId="6" w16cid:durableId="1404598435">
    <w:abstractNumId w:val="3"/>
  </w:num>
  <w:num w:numId="7" w16cid:durableId="1036584655">
    <w:abstractNumId w:val="2"/>
  </w:num>
  <w:num w:numId="8" w16cid:durableId="1345787443">
    <w:abstractNumId w:val="1"/>
  </w:num>
  <w:num w:numId="9" w16cid:durableId="1052652112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241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29639D"/>
    <w:rsid w:val="00314AE8"/>
    <w:rsid w:val="00326F90"/>
    <w:rsid w:val="004148CC"/>
    <w:rsid w:val="00542558"/>
    <w:rsid w:val="00AA1D8D"/>
    <w:rsid w:val="00B47730"/>
    <w:rsid w:val="00CB0664"/>
    <w:rsid w:val="00E832C0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4062061"/>
  <w14:defaultImageDpi w14:val="300"/>
  <w15:docId w15:val="{C675008A-F92E-FA45-82DA-3C1E364208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u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Shading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Shading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u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urfulList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urfulList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urfulList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urfulList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urfulList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urfulList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u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urfulGrid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urfulGrid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urfulGrid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urfulGrid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urfulGrid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urfulGrid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128</Words>
  <Characters>730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857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EL-OSTA, Austen (IMPERIAL COLLEGE HEALTHCARE NHS TRUST)</cp:lastModifiedBy>
  <cp:revision>2</cp:revision>
  <dcterms:created xsi:type="dcterms:W3CDTF">2013-12-23T23:15:00Z</dcterms:created>
  <dcterms:modified xsi:type="dcterms:W3CDTF">2026-08-24T11:10:00Z</dcterms:modified>
  <cp:category/>
</cp:coreProperties>
</file>