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D4C0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82090" cy="2470785"/>
            <wp:effectExtent l="0" t="0" r="3810" b="5715"/>
            <wp:docPr id="1" name="图片 1" descr="Cha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ha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85900" cy="2477135"/>
            <wp:effectExtent l="0" t="0" r="0" b="8890"/>
            <wp:docPr id="3" name="图片 3" descr="10d2149c-15a0-4f7a-9a6f-2c081a5b58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0d2149c-15a0-4f7a-9a6f-2c081a5b58e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484630" cy="2474595"/>
            <wp:effectExtent l="0" t="0" r="1270" b="1905"/>
            <wp:docPr id="2" name="图片 2" descr="621ede47-cfbb-4ca2-af4e-896b0abf09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21ede47-cfbb-4ca2-af4e-896b0abf09d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32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Theme="majorEastAsia" w:hAnsiTheme="majorEastAsia" w:eastAsiaTheme="majorEastAsia" w:cstheme="majorEastAsia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</w:p>
    <w:p w14:paraId="0AD8C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1. Alpha diversity of oropharyngeal microbiota. (A) Chao1 index reflecting microbial richness, significantly lower in ICU staff (P = 0.0039). (B) Shannon index integrating richness and community evenness, significantly higher in ICU staff (P = 0.0021). (C) Simpson index representing overall community diversity, significantly higher in ICU staff (P = 0.0021).</w:t>
      </w:r>
    </w:p>
    <w:p w14:paraId="71154249">
      <w:pPr>
        <w:rPr>
          <w:rFonts w:hint="eastAsia" w:eastAsiaTheme="minorEastAsia"/>
          <w:lang w:eastAsia="zh-CN"/>
        </w:rPr>
      </w:pPr>
    </w:p>
    <w:p w14:paraId="14B91092">
      <w:pPr>
        <w:rPr>
          <w:rFonts w:hint="eastAsia" w:eastAsiaTheme="minorEastAsia"/>
          <w:lang w:eastAsia="zh-CN"/>
        </w:rPr>
      </w:pPr>
    </w:p>
    <w:p w14:paraId="73C66569">
      <w:pPr>
        <w:rPr>
          <w:rFonts w:hint="eastAsia" w:eastAsiaTheme="minorEastAsia"/>
          <w:lang w:eastAsia="zh-CN"/>
        </w:rPr>
      </w:pPr>
    </w:p>
    <w:p w14:paraId="5CCB0285">
      <w:pPr>
        <w:rPr>
          <w:rFonts w:hint="eastAsia" w:eastAsiaTheme="minorEastAsia"/>
          <w:lang w:eastAsia="zh-CN"/>
        </w:rPr>
      </w:pPr>
    </w:p>
    <w:p w14:paraId="68853F8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74595" cy="2061845"/>
            <wp:effectExtent l="0" t="0" r="1905" b="5080"/>
            <wp:docPr id="5" name="图片 5" descr="34916096-d8e5-4b6d-a027-cb7c3a7d23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4916096-d8e5-4b6d-a027-cb7c3a7d23a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4595" cy="206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458720" cy="2049145"/>
            <wp:effectExtent l="0" t="0" r="8255" b="8255"/>
            <wp:docPr id="6" name="图片 6" descr="717262f7-1c90-4b74-a42b-74593d58b0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17262f7-1c90-4b74-a42b-74593d58b01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872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47595" cy="1956435"/>
            <wp:effectExtent l="0" t="0" r="5080" b="5715"/>
            <wp:docPr id="4" name="图片 4" descr="2ec2d665-c48f-4b74-a104-e26e92aec9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ec2d665-c48f-4b74-a104-e26e92aec9d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7595" cy="195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045335" cy="2045335"/>
            <wp:effectExtent l="0" t="0" r="2540" b="2540"/>
            <wp:docPr id="8" name="图片 8" descr="cd981f50-2318-46aa-8cb5-3128cb34b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d981f50-2318-46aa-8cb5-3128cb34be6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5335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0E123">
      <w:pPr>
        <w:rPr>
          <w:rFonts w:hint="eastAsia" w:eastAsiaTheme="minorEastAsia"/>
          <w:lang w:eastAsia="zh-CN"/>
        </w:rPr>
      </w:pPr>
    </w:p>
    <w:p w14:paraId="7320C3B6">
      <w:pPr>
        <w:rPr>
          <w:rFonts w:hint="eastAsia" w:eastAsiaTheme="minorEastAsia"/>
          <w:lang w:eastAsia="zh-CN"/>
        </w:rPr>
      </w:pPr>
    </w:p>
    <w:p w14:paraId="26EE6D38">
      <w:pPr>
        <w:rPr>
          <w:rFonts w:hint="eastAsia" w:eastAsiaTheme="minorEastAsia"/>
          <w:lang w:eastAsia="zh-CN"/>
        </w:rPr>
      </w:pPr>
    </w:p>
    <w:p w14:paraId="6CB03A03">
      <w:pPr>
        <w:rPr>
          <w:rFonts w:hint="eastAsia" w:eastAsiaTheme="minorEastAsia"/>
          <w:lang w:eastAsia="zh-CN"/>
        </w:rPr>
      </w:pPr>
    </w:p>
    <w:p w14:paraId="2E07B6B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42135" cy="1842135"/>
            <wp:effectExtent l="0" t="0" r="5715" b="5715"/>
            <wp:docPr id="7" name="图片 7" descr="d8b984ce-f962-4348-9862-2b71f25f9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8b984ce-f962-4348-9862-2b71f25f9e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2135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94710" cy="1566545"/>
            <wp:effectExtent l="0" t="0" r="5715" b="5080"/>
            <wp:docPr id="9" name="图片 9" descr="b62e96c4-c3f1-418a-8897-f48964eadb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62e96c4-c3f1-418a-8897-f48964eadb7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156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65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2. Beta diversity and differentially enriched genera. (A) Principal component analysis (PCA)</w:t>
      </w:r>
      <w:r>
        <w:rPr>
          <w:rFonts w:hint="eastAsia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showing distinct separation between groups</w:t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. (B) Principal coordinate analysis (PCoA)</w:t>
      </w:r>
      <w:r>
        <w:rPr>
          <w:rFonts w:hint="eastAsia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showing distinct separation between groups</w:t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. (C) Non-metric multidimensional scaling (NMDS) with stress = 0.1032, showing clear separation between groups. (D–E) PERMANOVA results for Jaccard distance (R² = 0.1951, P = 0.001) and Bray-Curtis distance (R² = 0.2612, P = 0.001) with 999 permutations. (F) Differentially enriched genera identified by LEfSe (LDA score &gt; 3.0, P &lt; 0.05), with oral commensal genera enriched in controls and potential pathogenic genera enriched in ICU staff.</w:t>
      </w:r>
    </w:p>
    <w:p w14:paraId="761D78C0">
      <w:pPr>
        <w:rPr>
          <w:rFonts w:hint="eastAsia" w:eastAsiaTheme="minorEastAsia"/>
          <w:lang w:eastAsia="zh-CN"/>
        </w:rPr>
      </w:pPr>
    </w:p>
    <w:p w14:paraId="25941EE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5783580"/>
            <wp:effectExtent l="0" t="0" r="3175" b="7620"/>
            <wp:docPr id="12" name="图片 12" descr="KEGG比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KEGG比较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78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Figure 3. </w:t>
      </w:r>
      <w:r>
        <w:rPr>
          <w:rFonts w:hint="eastAsia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</w:t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unctional enrichment patterns of the oropharyngeal microbiome between ICU staff and non-medical controls. ns: not significant, * P&lt; 0.05, **P &lt; 0.01, ***P&lt; 0.001.</w:t>
      </w:r>
    </w:p>
    <w:p w14:paraId="190D6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031990"/>
            <wp:effectExtent l="0" t="0" r="3175" b="6985"/>
            <wp:docPr id="11" name="图片 11" descr="毒力因子比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毒力因子比较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4. Differentially enriched virulence factors between the two groups. ns: not significant, * P&lt; 0.05, **P &lt; 0.01.</w:t>
      </w:r>
    </w:p>
    <w:p w14:paraId="17262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5268595"/>
            <wp:effectExtent l="0" t="0" r="8255" b="8255"/>
            <wp:docPr id="10" name="图片 10" descr="耐药基因的比较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耐药基因的比较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64E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ajorEastAsia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Figure 5. Abundance distribution of oropharyngeal antibiotic resistance genes between the two groups. ns: not significant, * P&lt; 0.05, **P &lt; 0.01.</w:t>
      </w:r>
    </w:p>
    <w:p w14:paraId="30B1CE69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3A4D11C-E625-4460-BE70-22EF028204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8F0237"/>
    <w:rsid w:val="0CFB767D"/>
    <w:rsid w:val="178F0237"/>
    <w:rsid w:val="419329F4"/>
    <w:rsid w:val="5C675762"/>
    <w:rsid w:val="5D0F163A"/>
    <w:rsid w:val="64835103"/>
    <w:rsid w:val="65077AE2"/>
    <w:rsid w:val="76522B87"/>
    <w:rsid w:val="7B58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265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2026-08-29T09:44:00Z</dcterms:created>
  <dc:creator>樊则琴</dc:creator>
  <cp:lastModifiedBy>樊则琴</cp:lastModifiedBy>
  <dcterms:modified xsi:type="dcterms:W3CDTF">2026-08-29T14:45:12Z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0F93660F7D9441589A25AB4E3CD365AD_11</vt:lpwstr>
  </property>
  <property fmtid="{D5CDD505-2E9C-101B-9397-08002B2CF9AE}" pid="4" name="KSOTemplateDocerSaveRecord">
    <vt:lpwstr>eyJoZGlkIjoiZWIzYmQ1MDNhN2I3N2U4YjQ3NWQwNTZkZTkzNjA2MDMiLCJ1c2VySWQiOiIxNzQzMTgyNjY5In0=</vt:lpwstr>
  </property>
</Properties>
</file>