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C72F4" w14:textId="4486239C" w:rsidR="00EB40E9" w:rsidRDefault="00EB40E9">
      <w:pPr>
        <w:spacing w:after="160" w:line="278" w:lineRule="auto"/>
        <w:rPr>
          <w:lang w:val="en-US"/>
        </w:rPr>
      </w:pPr>
    </w:p>
    <w:p w14:paraId="32461E5D" w14:textId="62619D85" w:rsidR="006C5E68" w:rsidRDefault="000C50EA">
      <w:pPr>
        <w:rPr>
          <w:b/>
          <w:bCs/>
          <w:lang w:val="en-US"/>
        </w:rPr>
      </w:pPr>
      <w:r>
        <w:rPr>
          <w:b/>
          <w:bCs/>
          <w:noProof/>
          <w:lang w:val="en-US"/>
          <w14:ligatures w14:val="standardContextual"/>
        </w:rPr>
        <w:drawing>
          <wp:inline distT="0" distB="0" distL="0" distR="0" wp14:anchorId="55E4E96E" wp14:editId="7E1788C5">
            <wp:extent cx="5731510" cy="3545840"/>
            <wp:effectExtent l="0" t="0" r="2540" b="0"/>
            <wp:docPr id="21458702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70264" name="Obrázek 21458702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72732" w14:textId="77777777" w:rsidR="000C50EA" w:rsidRDefault="000C50EA">
      <w:pPr>
        <w:rPr>
          <w:b/>
          <w:bCs/>
          <w:lang w:val="en-US"/>
        </w:rPr>
      </w:pPr>
    </w:p>
    <w:p w14:paraId="584A286C" w14:textId="668A6386" w:rsidR="00B5230D" w:rsidRPr="0094271D" w:rsidRDefault="00F900BC" w:rsidP="00B5230D">
      <w:pPr>
        <w:spacing w:line="360" w:lineRule="auto"/>
        <w:jc w:val="both"/>
        <w:rPr>
          <w:lang w:val="en-US"/>
        </w:rPr>
      </w:pPr>
      <w:r>
        <w:rPr>
          <w:b/>
          <w:color w:val="000000" w:themeColor="text1"/>
          <w:lang w:val="en-US"/>
        </w:rPr>
        <w:t>Additional file 6</w:t>
      </w:r>
      <w:r w:rsidR="00B5230D" w:rsidRPr="00CB79F5">
        <w:rPr>
          <w:b/>
          <w:bCs/>
          <w:color w:val="000000" w:themeColor="text1"/>
          <w:lang w:val="en-US"/>
        </w:rPr>
        <w:t xml:space="preserve"> Transcriptional </w:t>
      </w:r>
      <w:r w:rsidR="00B5230D" w:rsidRPr="0094271D">
        <w:rPr>
          <w:b/>
          <w:bCs/>
          <w:lang w:val="en-US"/>
        </w:rPr>
        <w:t xml:space="preserve">response of SDR genes to flubendazole (FLU) treatment in </w:t>
      </w:r>
      <w:r w:rsidR="00D94236">
        <w:rPr>
          <w:b/>
          <w:bCs/>
          <w:lang w:val="en-US"/>
        </w:rPr>
        <w:t>juvenile stages</w:t>
      </w:r>
      <w:r w:rsidR="00B5230D" w:rsidRPr="0094271D">
        <w:rPr>
          <w:b/>
          <w:bCs/>
          <w:lang w:val="en-US"/>
        </w:rPr>
        <w:t xml:space="preserve"> from the </w:t>
      </w:r>
      <w:r w:rsidR="00B5230D">
        <w:rPr>
          <w:b/>
          <w:bCs/>
          <w:lang w:val="en-US"/>
        </w:rPr>
        <w:t>drug-</w:t>
      </w:r>
      <w:r w:rsidR="00B5230D" w:rsidRPr="0094271D">
        <w:rPr>
          <w:b/>
          <w:bCs/>
          <w:lang w:val="en-US"/>
        </w:rPr>
        <w:t xml:space="preserve">sensitive (ISE) strain of </w:t>
      </w:r>
      <w:r w:rsidR="00B5230D" w:rsidRPr="0094271D">
        <w:rPr>
          <w:b/>
          <w:bCs/>
          <w:i/>
          <w:iCs/>
          <w:lang w:val="en-US"/>
        </w:rPr>
        <w:t xml:space="preserve">H. </w:t>
      </w:r>
      <w:bookmarkStart w:id="0" w:name="OLE_LINK2"/>
      <w:r w:rsidR="00B5230D" w:rsidRPr="0094271D">
        <w:rPr>
          <w:b/>
          <w:bCs/>
          <w:i/>
          <w:iCs/>
          <w:lang w:val="en-US"/>
        </w:rPr>
        <w:t>contortus</w:t>
      </w:r>
      <w:r w:rsidR="00B5230D" w:rsidRPr="0094271D">
        <w:rPr>
          <w:b/>
          <w:bCs/>
          <w:lang w:val="en-US"/>
        </w:rPr>
        <w:t xml:space="preserve">. </w:t>
      </w:r>
      <w:r w:rsidR="00B5230D" w:rsidRPr="0094271D">
        <w:rPr>
          <w:lang w:val="en-US"/>
        </w:rPr>
        <w:t xml:space="preserve">Relative mRNA expression </w:t>
      </w:r>
      <w:r w:rsidR="00B5230D">
        <w:rPr>
          <w:lang w:val="en-US"/>
        </w:rPr>
        <w:t xml:space="preserve">levels </w:t>
      </w:r>
      <w:r w:rsidR="00B5230D" w:rsidRPr="0094271D">
        <w:rPr>
          <w:lang w:val="en-US"/>
        </w:rPr>
        <w:t>of</w:t>
      </w:r>
      <w:r w:rsidR="00B5230D">
        <w:rPr>
          <w:lang w:val="en-US"/>
        </w:rPr>
        <w:t xml:space="preserve"> 23</w:t>
      </w:r>
      <w:r w:rsidR="00B5230D" w:rsidRPr="0094271D">
        <w:rPr>
          <w:lang w:val="en-US"/>
        </w:rPr>
        <w:t xml:space="preserve"> SDRs </w:t>
      </w:r>
      <w:r w:rsidR="00B5230D">
        <w:rPr>
          <w:lang w:val="en-US"/>
        </w:rPr>
        <w:t xml:space="preserve">were measured </w:t>
      </w:r>
      <w:r w:rsidR="00B5230D" w:rsidRPr="0094271D">
        <w:rPr>
          <w:lang w:val="en-US"/>
        </w:rPr>
        <w:t xml:space="preserve">in </w:t>
      </w:r>
      <w:r w:rsidR="00F3372C">
        <w:rPr>
          <w:lang w:val="en-US"/>
        </w:rPr>
        <w:t>eggs</w:t>
      </w:r>
      <w:r w:rsidR="00B5230D" w:rsidRPr="0094271D">
        <w:rPr>
          <w:lang w:val="en-US"/>
        </w:rPr>
        <w:t xml:space="preserve"> (A)</w:t>
      </w:r>
      <w:r w:rsidR="00F3372C">
        <w:rPr>
          <w:lang w:val="en-US"/>
        </w:rPr>
        <w:t xml:space="preserve">, </w:t>
      </w:r>
      <w:r w:rsidR="00512305">
        <w:rPr>
          <w:lang w:val="en-US"/>
        </w:rPr>
        <w:t>L1 (B), L3 (C) and</w:t>
      </w:r>
      <w:r w:rsidR="005A3ABF">
        <w:rPr>
          <w:lang w:val="en-US"/>
        </w:rPr>
        <w:t xml:space="preserve"> xL3 (D)</w:t>
      </w:r>
      <w:r w:rsidR="00BF641D">
        <w:rPr>
          <w:lang w:val="en-US"/>
        </w:rPr>
        <w:t xml:space="preserve"> </w:t>
      </w:r>
      <w:r w:rsidR="00B5230D" w:rsidRPr="0094271D">
        <w:rPr>
          <w:lang w:val="en-US"/>
        </w:rPr>
        <w:t>after 12</w:t>
      </w:r>
      <w:r w:rsidR="00B5230D">
        <w:rPr>
          <w:lang w:val="en-US"/>
        </w:rPr>
        <w:t xml:space="preserve"> </w:t>
      </w:r>
      <w:r w:rsidR="00B5230D" w:rsidRPr="0094271D">
        <w:rPr>
          <w:lang w:val="en-US"/>
        </w:rPr>
        <w:t>h</w:t>
      </w:r>
      <w:r w:rsidR="00B5230D">
        <w:rPr>
          <w:lang w:val="en-US"/>
        </w:rPr>
        <w:t xml:space="preserve"> of</w:t>
      </w:r>
      <w:r w:rsidR="00B5230D" w:rsidRPr="0094271D">
        <w:rPr>
          <w:lang w:val="en-US"/>
        </w:rPr>
        <w:t xml:space="preserve"> incubation. </w:t>
      </w:r>
      <w:r w:rsidR="00B5230D">
        <w:rPr>
          <w:lang w:val="en-US"/>
        </w:rPr>
        <w:t xml:space="preserve">Gene expression is presented as the mean </w:t>
      </w:r>
      <w:r w:rsidR="00B5230D" w:rsidRPr="00800FF3">
        <w:rPr>
          <w:color w:val="000000"/>
          <w:lang w:val="en-US"/>
        </w:rPr>
        <w:t>ΔΔC</w:t>
      </w:r>
      <w:r w:rsidR="00B5230D">
        <w:rPr>
          <w:color w:val="000000"/>
          <w:lang w:val="en-US"/>
        </w:rPr>
        <w:t>t fold change (</w:t>
      </w:r>
      <w:r w:rsidR="00B5230D" w:rsidRPr="007C142B">
        <w:rPr>
          <w:lang w:val="en-US"/>
        </w:rPr>
        <w:t xml:space="preserve">n = </w:t>
      </w:r>
      <w:r w:rsidR="00B5230D">
        <w:rPr>
          <w:lang w:val="en-US"/>
        </w:rPr>
        <w:t>2-</w:t>
      </w:r>
      <w:r w:rsidR="00B5230D" w:rsidRPr="007C142B">
        <w:rPr>
          <w:lang w:val="en-US"/>
        </w:rPr>
        <w:t>4</w:t>
      </w:r>
      <w:r w:rsidR="00B5230D">
        <w:rPr>
          <w:lang w:val="en-US"/>
        </w:rPr>
        <w:t>)</w:t>
      </w:r>
      <w:r w:rsidR="00B5230D">
        <w:rPr>
          <w:color w:val="000000"/>
          <w:lang w:val="en-US"/>
        </w:rPr>
        <w:t xml:space="preserve">. Error bars indicate standard deviation. </w:t>
      </w:r>
      <w:r w:rsidR="00B5230D">
        <w:rPr>
          <w:lang w:val="en-US"/>
        </w:rPr>
        <w:t>A</w:t>
      </w:r>
      <w:r w:rsidR="00B5230D" w:rsidRPr="0094271D">
        <w:rPr>
          <w:lang w:val="en-US"/>
        </w:rPr>
        <w:t>sterisk</w:t>
      </w:r>
      <w:r w:rsidR="00B5230D">
        <w:rPr>
          <w:lang w:val="en-US"/>
        </w:rPr>
        <w:t>s</w:t>
      </w:r>
      <w:r w:rsidR="00B5230D" w:rsidRPr="0094271D">
        <w:rPr>
          <w:lang w:val="en-US"/>
        </w:rPr>
        <w:t xml:space="preserve"> </w:t>
      </w:r>
      <w:r w:rsidR="00B5230D">
        <w:rPr>
          <w:lang w:val="en-US"/>
        </w:rPr>
        <w:t>denote</w:t>
      </w:r>
      <w:r w:rsidR="00B5230D" w:rsidRPr="0094271D">
        <w:rPr>
          <w:lang w:val="en-US"/>
        </w:rPr>
        <w:t xml:space="preserve"> significant difference</w:t>
      </w:r>
      <w:r w:rsidR="00B5230D">
        <w:rPr>
          <w:lang w:val="en-US"/>
        </w:rPr>
        <w:t>s</w:t>
      </w:r>
      <w:r w:rsidR="00B5230D" w:rsidRPr="0094271D">
        <w:rPr>
          <w:lang w:val="en-US"/>
        </w:rPr>
        <w:t xml:space="preserve"> between</w:t>
      </w:r>
      <w:r w:rsidR="00B5230D">
        <w:rPr>
          <w:lang w:val="en-US"/>
        </w:rPr>
        <w:t xml:space="preserve"> treated and untreated </w:t>
      </w:r>
      <w:r w:rsidR="00B5230D" w:rsidRPr="0094271D">
        <w:rPr>
          <w:lang w:val="en-US"/>
        </w:rPr>
        <w:t>sample</w:t>
      </w:r>
      <w:r w:rsidR="00B5230D">
        <w:rPr>
          <w:lang w:val="en-US"/>
        </w:rPr>
        <w:t xml:space="preserve">s </w:t>
      </w:r>
      <w:r w:rsidR="00B5230D" w:rsidRPr="007C142B">
        <w:rPr>
          <w:lang w:val="en-US"/>
        </w:rPr>
        <w:t xml:space="preserve">(adjusted </w:t>
      </w:r>
      <w:r w:rsidR="00B5230D" w:rsidRPr="007C142B">
        <w:rPr>
          <w:i/>
          <w:iCs/>
          <w:lang w:val="en-US"/>
        </w:rPr>
        <w:t xml:space="preserve">p </w:t>
      </w:r>
      <w:r w:rsidR="00B5230D" w:rsidRPr="00A13853">
        <w:rPr>
          <w:lang w:val="en-US"/>
        </w:rPr>
        <w:t xml:space="preserve">&lt; </w:t>
      </w:r>
      <w:r w:rsidR="00B5230D" w:rsidRPr="007C142B">
        <w:rPr>
          <w:lang w:val="en-US"/>
        </w:rPr>
        <w:t>0.05</w:t>
      </w:r>
      <w:r w:rsidR="00B5230D">
        <w:rPr>
          <w:lang w:val="en-US"/>
        </w:rPr>
        <w:t>).</w:t>
      </w:r>
      <w:r w:rsidR="00B5230D" w:rsidRPr="007C142B">
        <w:rPr>
          <w:lang w:val="en-US"/>
        </w:rPr>
        <w:t xml:space="preserve"> </w:t>
      </w:r>
      <w:r w:rsidR="00B5230D">
        <w:rPr>
          <w:lang w:val="en-US"/>
        </w:rPr>
        <w:t xml:space="preserve"> Statistical analysis was performed</w:t>
      </w:r>
      <w:r w:rsidR="00B5230D" w:rsidRPr="0094271D">
        <w:rPr>
          <w:lang w:val="en-US"/>
        </w:rPr>
        <w:t xml:space="preserve"> </w:t>
      </w:r>
      <w:r w:rsidR="00B5230D">
        <w:rPr>
          <w:lang w:val="en-US"/>
        </w:rPr>
        <w:t>using</w:t>
      </w:r>
      <w:r w:rsidR="00B5230D" w:rsidRPr="0094271D">
        <w:rPr>
          <w:lang w:val="en-US"/>
        </w:rPr>
        <w:t xml:space="preserve"> </w:t>
      </w:r>
      <w:r w:rsidR="00B5230D">
        <w:rPr>
          <w:lang w:val="en-US"/>
        </w:rPr>
        <w:t xml:space="preserve">two-way </w:t>
      </w:r>
      <w:r w:rsidR="00B5230D" w:rsidRPr="0094271D">
        <w:rPr>
          <w:lang w:val="en-US"/>
        </w:rPr>
        <w:t xml:space="preserve">ANOVA </w:t>
      </w:r>
      <w:r w:rsidR="00B5230D">
        <w:rPr>
          <w:lang w:val="en-US"/>
        </w:rPr>
        <w:t>followed by a</w:t>
      </w:r>
      <w:r w:rsidR="00B5230D" w:rsidRPr="0094271D">
        <w:rPr>
          <w:lang w:val="en-US"/>
        </w:rPr>
        <w:t xml:space="preserve"> </w:t>
      </w:r>
      <w:r w:rsidR="00B5230D" w:rsidRPr="0094271D">
        <w:rPr>
          <w:i/>
          <w:iCs/>
          <w:lang w:val="en-US"/>
        </w:rPr>
        <w:t>post-hoc</w:t>
      </w:r>
      <w:r w:rsidR="00B5230D" w:rsidRPr="0094271D">
        <w:rPr>
          <w:lang w:val="en-US"/>
        </w:rPr>
        <w:t xml:space="preserve"> </w:t>
      </w:r>
      <w:r w:rsidR="00B5230D">
        <w:rPr>
          <w:lang w:val="en-US"/>
        </w:rPr>
        <w:t>Dunnet’s</w:t>
      </w:r>
      <w:r w:rsidR="00B5230D" w:rsidRPr="0094271D">
        <w:rPr>
          <w:lang w:val="en-US"/>
        </w:rPr>
        <w:t xml:space="preserve"> test</w:t>
      </w:r>
      <w:r w:rsidR="00B5230D">
        <w:rPr>
          <w:lang w:val="en-US"/>
        </w:rPr>
        <w:t>.</w:t>
      </w:r>
      <w:bookmarkEnd w:id="0"/>
    </w:p>
    <w:p w14:paraId="39E9C57D" w14:textId="77777777" w:rsidR="00B5230D" w:rsidRPr="00D922A1" w:rsidRDefault="00B5230D">
      <w:pPr>
        <w:rPr>
          <w:lang w:val="en-US"/>
        </w:rPr>
      </w:pPr>
    </w:p>
    <w:sectPr w:rsidR="00B5230D" w:rsidRPr="00D92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02A"/>
    <w:multiLevelType w:val="multilevel"/>
    <w:tmpl w:val="F808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999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F7"/>
    <w:rsid w:val="00072657"/>
    <w:rsid w:val="000C50EA"/>
    <w:rsid w:val="0011623F"/>
    <w:rsid w:val="00337932"/>
    <w:rsid w:val="003D55E2"/>
    <w:rsid w:val="00416E04"/>
    <w:rsid w:val="004316A3"/>
    <w:rsid w:val="004E5E0A"/>
    <w:rsid w:val="00512305"/>
    <w:rsid w:val="005A3ABF"/>
    <w:rsid w:val="006C5E68"/>
    <w:rsid w:val="008D03D2"/>
    <w:rsid w:val="009C2025"/>
    <w:rsid w:val="00B5230D"/>
    <w:rsid w:val="00BD6ADB"/>
    <w:rsid w:val="00BF641D"/>
    <w:rsid w:val="00C34807"/>
    <w:rsid w:val="00C636C9"/>
    <w:rsid w:val="00CD696C"/>
    <w:rsid w:val="00D2757D"/>
    <w:rsid w:val="00D922A1"/>
    <w:rsid w:val="00D94236"/>
    <w:rsid w:val="00DC62F7"/>
    <w:rsid w:val="00EA0BED"/>
    <w:rsid w:val="00EA3060"/>
    <w:rsid w:val="00EB40E9"/>
    <w:rsid w:val="00F3372C"/>
    <w:rsid w:val="00F3693B"/>
    <w:rsid w:val="00F9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A8DF"/>
  <w15:chartTrackingRefBased/>
  <w15:docId w15:val="{B8F51DCE-776E-514E-9E51-2957686B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2025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C6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6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C62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62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6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62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62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62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62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62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62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DC62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62F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62F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62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62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62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62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6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6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6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6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6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62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62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62F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62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62F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62F7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Standardnpsmoodstavce"/>
    <w:rsid w:val="009C2025"/>
  </w:style>
  <w:style w:type="paragraph" w:styleId="Normlnweb">
    <w:name w:val="Normal (Web)"/>
    <w:basedOn w:val="Normln"/>
    <w:uiPriority w:val="99"/>
    <w:semiHidden/>
    <w:unhideWhenUsed/>
    <w:rsid w:val="009C2025"/>
    <w:pPr>
      <w:spacing w:before="100" w:beforeAutospacing="1" w:after="100" w:afterAutospacing="1"/>
    </w:pPr>
  </w:style>
  <w:style w:type="paragraph" w:customStyle="1" w:styleId="paragraph">
    <w:name w:val="paragraph"/>
    <w:basedOn w:val="Normln"/>
    <w:rsid w:val="009C2025"/>
    <w:pPr>
      <w:spacing w:before="100" w:beforeAutospacing="1" w:after="100" w:afterAutospacing="1"/>
    </w:pPr>
    <w:rPr>
      <w:lang w:val="sk-SK" w:eastAsia="sk-SK"/>
    </w:rPr>
  </w:style>
  <w:style w:type="character" w:customStyle="1" w:styleId="eop">
    <w:name w:val="eop"/>
    <w:basedOn w:val="Standardnpsmoodstavce"/>
    <w:rsid w:val="009C2025"/>
  </w:style>
  <w:style w:type="character" w:styleId="Odkaznakoment">
    <w:name w:val="annotation reference"/>
    <w:basedOn w:val="Standardnpsmoodstavce"/>
    <w:uiPriority w:val="99"/>
    <w:semiHidden/>
    <w:unhideWhenUsed/>
    <w:rsid w:val="00416E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16E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16E0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16E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16E04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416E04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16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e6d8910-1ec3-4ec6-85e4-deda9168a53e">
      <UserInfo>
        <DisplayName/>
        <AccountId xsi:nil="true"/>
        <AccountType/>
      </UserInfo>
    </SharedWithUsers>
    <lcf76f155ced4ddcb4097134ff3c332f xmlns="1d122643-8de0-414b-aa28-87b4d92657e6">
      <Terms xmlns="http://schemas.microsoft.com/office/infopath/2007/PartnerControls"/>
    </lcf76f155ced4ddcb4097134ff3c332f>
    <TaxCatchAll xmlns="ae6d8910-1ec3-4ec6-85e4-deda9168a5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54674AACC52E4382166568C7DB2E78" ma:contentTypeVersion="14" ma:contentTypeDescription="Vytvoří nový dokument" ma:contentTypeScope="" ma:versionID="8f0c1e4f12c8561b3c405c83e1b1deb7">
  <xsd:schema xmlns:xsd="http://www.w3.org/2001/XMLSchema" xmlns:xs="http://www.w3.org/2001/XMLSchema" xmlns:p="http://schemas.microsoft.com/office/2006/metadata/properties" xmlns:ns2="1d122643-8de0-414b-aa28-87b4d92657e6" xmlns:ns3="ae6d8910-1ec3-4ec6-85e4-deda9168a53e" targetNamespace="http://schemas.microsoft.com/office/2006/metadata/properties" ma:root="true" ma:fieldsID="eef456970c18b171d1148ac2f84d05e6" ns2:_="" ns3:_="">
    <xsd:import namespace="1d122643-8de0-414b-aa28-87b4d92657e6"/>
    <xsd:import namespace="ae6d8910-1ec3-4ec6-85e4-deda9168a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22643-8de0-414b-aa28-87b4d9265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318ae7-f238-4090-adea-ccebf67dcc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d8910-1ec3-4ec6-85e4-deda9168a5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abba8a-e4e1-4648-affc-c99b825abb68}" ma:internalName="TaxCatchAll" ma:showField="CatchAllData" ma:web="ae6d8910-1ec3-4ec6-85e4-deda9168a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9603B-B33D-4EC1-ABB1-AB8EDE8524FE}">
  <ds:schemaRefs>
    <ds:schemaRef ds:uri="http://schemas.microsoft.com/office/2006/metadata/properties"/>
    <ds:schemaRef ds:uri="http://schemas.microsoft.com/office/infopath/2007/PartnerControls"/>
    <ds:schemaRef ds:uri="ae6d8910-1ec3-4ec6-85e4-deda9168a53e"/>
    <ds:schemaRef ds:uri="1d122643-8de0-414b-aa28-87b4d92657e6"/>
  </ds:schemaRefs>
</ds:datastoreItem>
</file>

<file path=customXml/itemProps2.xml><?xml version="1.0" encoding="utf-8"?>
<ds:datastoreItem xmlns:ds="http://schemas.openxmlformats.org/officeDocument/2006/customXml" ds:itemID="{B1332F0B-07C9-4C7D-B305-7692B3721A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80CE78-8E7E-4184-B792-F66D15C8B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22643-8de0-414b-aa28-87b4d92657e6"/>
    <ds:schemaRef ds:uri="ae6d8910-1ec3-4ec6-85e4-deda9168a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Šadibolová</dc:creator>
  <cp:keywords/>
  <dc:description/>
  <cp:lastModifiedBy>Petra Matoušková</cp:lastModifiedBy>
  <cp:revision>3</cp:revision>
  <dcterms:created xsi:type="dcterms:W3CDTF">2026-08-06T10:41:00Z</dcterms:created>
  <dcterms:modified xsi:type="dcterms:W3CDTF">2026-08-06T10:42:00Z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0x0101003154674AACC52E4382166568C7DB2E78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