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B83C60" w14:textId="77777777" w:rsidR="00CC78B4" w:rsidRPr="00CC78B4" w:rsidRDefault="00CC78B4" w:rsidP="00ED7786">
      <w:pPr>
        <w:spacing w:after="0" w:line="240" w:lineRule="auto"/>
        <w:jc w:val="center"/>
        <w:outlineLvl w:val="0"/>
        <w:rPr>
          <w:rFonts w:ascii="Times New Roman" w:eastAsia="Times New Roman" w:hAnsi="Times New Roman" w:cs="Times New Roman"/>
          <w:b/>
          <w:bCs/>
          <w:kern w:val="36"/>
          <w:sz w:val="24"/>
          <w:szCs w:val="24"/>
        </w:rPr>
      </w:pPr>
      <w:r w:rsidRPr="00CC78B4">
        <w:rPr>
          <w:rFonts w:ascii="Times New Roman" w:eastAsia="Times New Roman" w:hAnsi="Times New Roman" w:cs="Times New Roman"/>
          <w:b/>
          <w:bCs/>
          <w:kern w:val="36"/>
          <w:sz w:val="24"/>
          <w:szCs w:val="24"/>
        </w:rPr>
        <w:t>SUPPLEMENTARY MATERIAL</w:t>
      </w:r>
    </w:p>
    <w:p w14:paraId="4B721FF2" w14:textId="5598C8A0" w:rsidR="00CC78B4" w:rsidRPr="00CC78B4" w:rsidRDefault="00CC78B4" w:rsidP="00ED7786">
      <w:pPr>
        <w:spacing w:after="0" w:line="240" w:lineRule="auto"/>
        <w:jc w:val="center"/>
        <w:outlineLvl w:val="1"/>
        <w:rPr>
          <w:rFonts w:ascii="Times New Roman" w:eastAsia="Times New Roman" w:hAnsi="Times New Roman" w:cs="Times New Roman"/>
          <w:b/>
          <w:bCs/>
          <w:sz w:val="24"/>
          <w:szCs w:val="24"/>
        </w:rPr>
      </w:pPr>
      <w:r w:rsidRPr="00CC78B4">
        <w:rPr>
          <w:rFonts w:ascii="Times New Roman" w:eastAsia="Times New Roman" w:hAnsi="Times New Roman" w:cs="Times New Roman"/>
          <w:b/>
          <w:bCs/>
          <w:sz w:val="24"/>
          <w:szCs w:val="24"/>
        </w:rPr>
        <w:t>Source Data and Methodological Documentation</w:t>
      </w:r>
      <w:r w:rsidRPr="00271C81">
        <w:rPr>
          <w:rFonts w:ascii="Times New Roman" w:eastAsia="Times New Roman" w:hAnsi="Times New Roman" w:cs="Times New Roman"/>
          <w:b/>
          <w:bCs/>
          <w:sz w:val="24"/>
          <w:szCs w:val="24"/>
        </w:rPr>
        <w:t xml:space="preserve"> </w:t>
      </w:r>
      <w:r w:rsidRPr="00271C81">
        <w:rPr>
          <w:rFonts w:ascii="Times New Roman" w:eastAsia="Times New Roman" w:hAnsi="Times New Roman" w:cs="Times New Roman"/>
          <w:sz w:val="24"/>
          <w:szCs w:val="24"/>
        </w:rPr>
        <w:t>f</w:t>
      </w:r>
      <w:r w:rsidRPr="00CC78B4">
        <w:rPr>
          <w:rFonts w:ascii="Times New Roman" w:eastAsia="Times New Roman" w:hAnsi="Times New Roman" w:cs="Times New Roman"/>
          <w:sz w:val="24"/>
          <w:szCs w:val="24"/>
        </w:rPr>
        <w:t>or the Article</w:t>
      </w:r>
      <w:r w:rsidRPr="00CC78B4">
        <w:rPr>
          <w:rFonts w:ascii="Times New Roman" w:eastAsia="Times New Roman" w:hAnsi="Times New Roman" w:cs="Times New Roman"/>
          <w:b/>
          <w:bCs/>
          <w:sz w:val="24"/>
          <w:szCs w:val="24"/>
        </w:rPr>
        <w:t>:</w:t>
      </w:r>
    </w:p>
    <w:p w14:paraId="74405A4E" w14:textId="2B08CBAF" w:rsidR="00CC78B4" w:rsidRPr="00CC78B4" w:rsidRDefault="00CC78B4" w:rsidP="00ED7786">
      <w:pPr>
        <w:spacing w:after="0" w:line="240" w:lineRule="auto"/>
        <w:jc w:val="center"/>
        <w:rPr>
          <w:rFonts w:ascii="Times New Roman" w:eastAsia="Times New Roman" w:hAnsi="Times New Roman" w:cs="Times New Roman"/>
          <w:sz w:val="24"/>
          <w:szCs w:val="24"/>
        </w:rPr>
      </w:pPr>
      <w:r w:rsidRPr="00CC78B4">
        <w:rPr>
          <w:rFonts w:ascii="Times New Roman" w:eastAsia="Times New Roman" w:hAnsi="Times New Roman" w:cs="Times New Roman"/>
          <w:b/>
          <w:bCs/>
          <w:sz w:val="24"/>
          <w:szCs w:val="24"/>
        </w:rPr>
        <w:t>Rethinking Ecosystems, Climate Change and Insecurity through Indigenous Knowledge Systems</w:t>
      </w:r>
    </w:p>
    <w:p w14:paraId="63D568E8" w14:textId="3C4FF8EE" w:rsidR="00CC78B4" w:rsidRPr="00CC78B4" w:rsidRDefault="00CC78B4" w:rsidP="00ED7786">
      <w:pPr>
        <w:spacing w:after="0" w:line="240" w:lineRule="auto"/>
        <w:jc w:val="both"/>
        <w:rPr>
          <w:rFonts w:ascii="Times New Roman" w:eastAsia="Times New Roman" w:hAnsi="Times New Roman" w:cs="Times New Roman"/>
          <w:sz w:val="24"/>
          <w:szCs w:val="24"/>
        </w:rPr>
      </w:pPr>
    </w:p>
    <w:p w14:paraId="0D266ED1" w14:textId="77777777" w:rsidR="00CC78B4" w:rsidRPr="00CC78B4" w:rsidRDefault="00CC78B4" w:rsidP="00ED7786">
      <w:pPr>
        <w:spacing w:after="0" w:line="240" w:lineRule="auto"/>
        <w:jc w:val="both"/>
        <w:outlineLvl w:val="1"/>
        <w:rPr>
          <w:rFonts w:ascii="Times New Roman" w:eastAsia="Times New Roman" w:hAnsi="Times New Roman" w:cs="Times New Roman"/>
          <w:b/>
          <w:bCs/>
          <w:sz w:val="24"/>
          <w:szCs w:val="24"/>
        </w:rPr>
      </w:pPr>
      <w:r w:rsidRPr="00CC78B4">
        <w:rPr>
          <w:rFonts w:ascii="Times New Roman" w:eastAsia="Times New Roman" w:hAnsi="Times New Roman" w:cs="Times New Roman"/>
          <w:b/>
          <w:bCs/>
          <w:sz w:val="24"/>
          <w:szCs w:val="24"/>
        </w:rPr>
        <w:t>1. Purpose of this Supplementary Material</w:t>
      </w:r>
    </w:p>
    <w:p w14:paraId="6951A5E2" w14:textId="77777777" w:rsidR="00ED7786" w:rsidRDefault="00ED7786" w:rsidP="00ED7786">
      <w:pPr>
        <w:spacing w:after="0" w:line="240" w:lineRule="auto"/>
        <w:jc w:val="both"/>
        <w:rPr>
          <w:rFonts w:ascii="Times New Roman" w:eastAsia="Times New Roman" w:hAnsi="Times New Roman" w:cs="Times New Roman"/>
          <w:sz w:val="24"/>
          <w:szCs w:val="24"/>
        </w:rPr>
      </w:pPr>
    </w:p>
    <w:p w14:paraId="1675F5EF" w14:textId="365B5827"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 xml:space="preserve">This supplementary document provides additional information on the documentary materials and source data underlying the empirical claims and tables presented in the article, </w:t>
      </w:r>
      <w:r w:rsidRPr="00CC78B4">
        <w:rPr>
          <w:rFonts w:ascii="Times New Roman" w:eastAsia="Times New Roman" w:hAnsi="Times New Roman" w:cs="Times New Roman"/>
          <w:i/>
          <w:iCs/>
          <w:sz w:val="24"/>
          <w:szCs w:val="24"/>
        </w:rPr>
        <w:t>“Rethinking Ecosystems, Climate Change and Insecurity through Indigenous Knowledge Systems.”</w:t>
      </w:r>
    </w:p>
    <w:p w14:paraId="46689988" w14:textId="77777777"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The study adopted a qualitative historical and documentary methodology. Its analysis was based on published scholarly literature, institutional reports, policy documents and documented case studies relating to Indigenous Knowledge Systems (IKS), ecosystem governance, climate change and environmental insecurity in Nigeria.</w:t>
      </w:r>
    </w:p>
    <w:p w14:paraId="4452C4F9" w14:textId="77777777" w:rsidR="00ED7786" w:rsidRDefault="00ED7786" w:rsidP="00ED7786">
      <w:pPr>
        <w:spacing w:after="0" w:line="240" w:lineRule="auto"/>
        <w:jc w:val="both"/>
        <w:rPr>
          <w:rFonts w:ascii="Times New Roman" w:eastAsia="Times New Roman" w:hAnsi="Times New Roman" w:cs="Times New Roman"/>
          <w:sz w:val="24"/>
          <w:szCs w:val="24"/>
        </w:rPr>
      </w:pPr>
    </w:p>
    <w:p w14:paraId="35D6C9BA" w14:textId="4034CABF"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No primary survey, experiment, statistical modelling or computational analysis was undertaken. Consequently, no statistical code, programming scripts or mathematical formulae were generated for the study. The numerical and descriptive information presented in the article was drawn from publicly available institutional reports and published sources, which are identified in the manuscript's reference list and further documented below.</w:t>
      </w:r>
    </w:p>
    <w:p w14:paraId="0C05BDD0" w14:textId="77777777"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The purpose of this supplementary material is therefore to enable editors and reviewers to trace the principal documentary sources used in compiling the tables and assessing the empirical evidence presented in the study.</w:t>
      </w:r>
    </w:p>
    <w:p w14:paraId="534F94DA" w14:textId="61557B5D" w:rsidR="00CC78B4" w:rsidRPr="00CC78B4" w:rsidRDefault="00CC78B4" w:rsidP="00ED7786">
      <w:pPr>
        <w:spacing w:after="0" w:line="240" w:lineRule="auto"/>
        <w:jc w:val="both"/>
        <w:rPr>
          <w:rFonts w:ascii="Times New Roman" w:eastAsia="Times New Roman" w:hAnsi="Times New Roman" w:cs="Times New Roman"/>
          <w:sz w:val="24"/>
          <w:szCs w:val="24"/>
        </w:rPr>
      </w:pPr>
    </w:p>
    <w:p w14:paraId="2F0E4331" w14:textId="77777777" w:rsidR="00CC78B4" w:rsidRPr="00CC78B4" w:rsidRDefault="00CC78B4" w:rsidP="00ED7786">
      <w:pPr>
        <w:spacing w:after="0" w:line="240" w:lineRule="auto"/>
        <w:jc w:val="both"/>
        <w:outlineLvl w:val="1"/>
        <w:rPr>
          <w:rFonts w:ascii="Times New Roman" w:eastAsia="Times New Roman" w:hAnsi="Times New Roman" w:cs="Times New Roman"/>
          <w:b/>
          <w:bCs/>
          <w:sz w:val="24"/>
          <w:szCs w:val="24"/>
        </w:rPr>
      </w:pPr>
      <w:r w:rsidRPr="00CC78B4">
        <w:rPr>
          <w:rFonts w:ascii="Times New Roman" w:eastAsia="Times New Roman" w:hAnsi="Times New Roman" w:cs="Times New Roman"/>
          <w:b/>
          <w:bCs/>
          <w:sz w:val="24"/>
          <w:szCs w:val="24"/>
        </w:rPr>
        <w:t>2. Documentation of Sources Used for Table 1</w:t>
      </w:r>
    </w:p>
    <w:p w14:paraId="51347A07" w14:textId="77777777" w:rsidR="00CC78B4" w:rsidRPr="00CC78B4" w:rsidRDefault="00CC78B4" w:rsidP="00ED7786">
      <w:pPr>
        <w:spacing w:after="0" w:line="240" w:lineRule="auto"/>
        <w:jc w:val="both"/>
        <w:outlineLvl w:val="2"/>
        <w:rPr>
          <w:rFonts w:ascii="Times New Roman" w:eastAsia="Times New Roman" w:hAnsi="Times New Roman" w:cs="Times New Roman"/>
          <w:b/>
          <w:bCs/>
          <w:sz w:val="24"/>
          <w:szCs w:val="24"/>
        </w:rPr>
      </w:pPr>
      <w:r w:rsidRPr="00CC78B4">
        <w:rPr>
          <w:rFonts w:ascii="Times New Roman" w:eastAsia="Times New Roman" w:hAnsi="Times New Roman" w:cs="Times New Roman"/>
          <w:b/>
          <w:bCs/>
          <w:sz w:val="24"/>
          <w:szCs w:val="24"/>
        </w:rPr>
        <w:t>Table 1: Selected Indigenous Ecosystem Governance Institutions in Nigeria</w:t>
      </w:r>
    </w:p>
    <w:p w14:paraId="01D3C276" w14:textId="77777777" w:rsidR="00ED7786" w:rsidRDefault="00ED7786" w:rsidP="00ED7786">
      <w:pPr>
        <w:spacing w:after="0" w:line="240" w:lineRule="auto"/>
        <w:jc w:val="both"/>
        <w:rPr>
          <w:rFonts w:ascii="Times New Roman" w:eastAsia="Times New Roman" w:hAnsi="Times New Roman" w:cs="Times New Roman"/>
          <w:sz w:val="24"/>
          <w:szCs w:val="24"/>
        </w:rPr>
      </w:pPr>
    </w:p>
    <w:p w14:paraId="1D51FF0F" w14:textId="015F5B1F" w:rsidR="00F86A3B" w:rsidRPr="00271C81"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Table 1 was compiled from published institutional documentation and scholarly sources examining indigenous approaches to environmental conservation and natural-resource management in Nigeria.</w:t>
      </w:r>
    </w:p>
    <w:p w14:paraId="79F476D3" w14:textId="327F6807" w:rsidR="00F86A3B" w:rsidRPr="00271C81" w:rsidRDefault="00F86A3B" w:rsidP="00ED7786">
      <w:pPr>
        <w:spacing w:after="0" w:line="240" w:lineRule="auto"/>
        <w:jc w:val="both"/>
        <w:rPr>
          <w:rFonts w:ascii="Times New Roman" w:eastAsia="Times New Roman" w:hAnsi="Times New Roman" w:cs="Times New Roman"/>
          <w:sz w:val="24"/>
          <w:szCs w:val="24"/>
        </w:rPr>
      </w:pPr>
    </w:p>
    <w:p w14:paraId="5CC69342" w14:textId="77777777" w:rsidR="00F86A3B" w:rsidRPr="00CC78B4" w:rsidRDefault="00F86A3B" w:rsidP="00ED7786">
      <w:pPr>
        <w:spacing w:after="0" w:line="240" w:lineRule="auto"/>
        <w:jc w:val="both"/>
        <w:rPr>
          <w:rFonts w:ascii="Times New Roman" w:eastAsia="Times New Roman" w:hAnsi="Times New Roman" w:cs="Times New Roman"/>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07"/>
        <w:gridCol w:w="1779"/>
        <w:gridCol w:w="2613"/>
        <w:gridCol w:w="2651"/>
      </w:tblGrid>
      <w:tr w:rsidR="00271C81" w:rsidRPr="00271C81" w14:paraId="355F4225" w14:textId="77777777" w:rsidTr="00F86A3B">
        <w:trPr>
          <w:tblHeader/>
          <w:tblCellSpacing w:w="15" w:type="dxa"/>
        </w:trPr>
        <w:tc>
          <w:tcPr>
            <w:tcW w:w="0" w:type="auto"/>
            <w:tcBorders>
              <w:top w:val="single" w:sz="4" w:space="0" w:color="auto"/>
              <w:left w:val="single" w:sz="4" w:space="0" w:color="auto"/>
              <w:bottom w:val="single" w:sz="4" w:space="0" w:color="auto"/>
            </w:tcBorders>
            <w:vAlign w:val="center"/>
            <w:hideMark/>
          </w:tcPr>
          <w:p w14:paraId="07AE40F7" w14:textId="77777777" w:rsidR="00CC78B4" w:rsidRPr="00CC78B4" w:rsidRDefault="00CC78B4" w:rsidP="00ED7786">
            <w:pPr>
              <w:spacing w:after="0" w:line="240" w:lineRule="auto"/>
              <w:jc w:val="both"/>
              <w:rPr>
                <w:rFonts w:ascii="Times New Roman" w:eastAsia="Times New Roman" w:hAnsi="Times New Roman" w:cs="Times New Roman"/>
                <w:b/>
                <w:bCs/>
                <w:sz w:val="24"/>
                <w:szCs w:val="24"/>
              </w:rPr>
            </w:pPr>
            <w:r w:rsidRPr="00CC78B4">
              <w:rPr>
                <w:rFonts w:ascii="Times New Roman" w:eastAsia="Times New Roman" w:hAnsi="Times New Roman" w:cs="Times New Roman"/>
                <w:b/>
                <w:bCs/>
                <w:sz w:val="24"/>
                <w:szCs w:val="24"/>
              </w:rPr>
              <w:t>Community/Region</w:t>
            </w:r>
          </w:p>
        </w:tc>
        <w:tc>
          <w:tcPr>
            <w:tcW w:w="0" w:type="auto"/>
            <w:tcBorders>
              <w:top w:val="single" w:sz="4" w:space="0" w:color="auto"/>
              <w:left w:val="single" w:sz="4" w:space="0" w:color="auto"/>
              <w:bottom w:val="single" w:sz="4" w:space="0" w:color="auto"/>
              <w:right w:val="single" w:sz="4" w:space="0" w:color="auto"/>
            </w:tcBorders>
            <w:vAlign w:val="center"/>
            <w:hideMark/>
          </w:tcPr>
          <w:p w14:paraId="42FEEF44" w14:textId="77777777" w:rsidR="00CC78B4" w:rsidRPr="00CC78B4" w:rsidRDefault="00CC78B4" w:rsidP="00ED7786">
            <w:pPr>
              <w:spacing w:after="0" w:line="240" w:lineRule="auto"/>
              <w:jc w:val="both"/>
              <w:rPr>
                <w:rFonts w:ascii="Times New Roman" w:eastAsia="Times New Roman" w:hAnsi="Times New Roman" w:cs="Times New Roman"/>
                <w:b/>
                <w:bCs/>
                <w:sz w:val="24"/>
                <w:szCs w:val="24"/>
              </w:rPr>
            </w:pPr>
            <w:r w:rsidRPr="00CC78B4">
              <w:rPr>
                <w:rFonts w:ascii="Times New Roman" w:eastAsia="Times New Roman" w:hAnsi="Times New Roman" w:cs="Times New Roman"/>
                <w:b/>
                <w:bCs/>
                <w:sz w:val="24"/>
                <w:szCs w:val="24"/>
              </w:rPr>
              <w:t>Indigenous Institution</w:t>
            </w:r>
          </w:p>
        </w:tc>
        <w:tc>
          <w:tcPr>
            <w:tcW w:w="0" w:type="auto"/>
            <w:tcBorders>
              <w:top w:val="single" w:sz="4" w:space="0" w:color="auto"/>
              <w:bottom w:val="single" w:sz="4" w:space="0" w:color="auto"/>
              <w:right w:val="single" w:sz="4" w:space="0" w:color="auto"/>
            </w:tcBorders>
            <w:vAlign w:val="center"/>
            <w:hideMark/>
          </w:tcPr>
          <w:p w14:paraId="492DCBA2" w14:textId="77777777" w:rsidR="00CC78B4" w:rsidRPr="00CC78B4" w:rsidRDefault="00CC78B4" w:rsidP="00ED7786">
            <w:pPr>
              <w:spacing w:after="0" w:line="240" w:lineRule="auto"/>
              <w:jc w:val="both"/>
              <w:rPr>
                <w:rFonts w:ascii="Times New Roman" w:eastAsia="Times New Roman" w:hAnsi="Times New Roman" w:cs="Times New Roman"/>
                <w:b/>
                <w:bCs/>
                <w:sz w:val="24"/>
                <w:szCs w:val="24"/>
              </w:rPr>
            </w:pPr>
            <w:r w:rsidRPr="00CC78B4">
              <w:rPr>
                <w:rFonts w:ascii="Times New Roman" w:eastAsia="Times New Roman" w:hAnsi="Times New Roman" w:cs="Times New Roman"/>
                <w:b/>
                <w:bCs/>
                <w:sz w:val="24"/>
                <w:szCs w:val="24"/>
              </w:rPr>
              <w:t>Information Used in the Study</w:t>
            </w:r>
          </w:p>
        </w:tc>
        <w:tc>
          <w:tcPr>
            <w:tcW w:w="0" w:type="auto"/>
            <w:tcBorders>
              <w:top w:val="single" w:sz="4" w:space="0" w:color="auto"/>
              <w:bottom w:val="single" w:sz="4" w:space="0" w:color="auto"/>
              <w:right w:val="single" w:sz="4" w:space="0" w:color="auto"/>
            </w:tcBorders>
            <w:vAlign w:val="center"/>
            <w:hideMark/>
          </w:tcPr>
          <w:p w14:paraId="7CE9EE13" w14:textId="77777777" w:rsidR="00CC78B4" w:rsidRPr="00CC78B4" w:rsidRDefault="00CC78B4" w:rsidP="00ED7786">
            <w:pPr>
              <w:spacing w:after="0" w:line="240" w:lineRule="auto"/>
              <w:jc w:val="both"/>
              <w:rPr>
                <w:rFonts w:ascii="Times New Roman" w:eastAsia="Times New Roman" w:hAnsi="Times New Roman" w:cs="Times New Roman"/>
                <w:b/>
                <w:bCs/>
                <w:sz w:val="24"/>
                <w:szCs w:val="24"/>
              </w:rPr>
            </w:pPr>
            <w:r w:rsidRPr="00CC78B4">
              <w:rPr>
                <w:rFonts w:ascii="Times New Roman" w:eastAsia="Times New Roman" w:hAnsi="Times New Roman" w:cs="Times New Roman"/>
                <w:b/>
                <w:bCs/>
                <w:sz w:val="24"/>
                <w:szCs w:val="24"/>
              </w:rPr>
              <w:t>Principal Source</w:t>
            </w:r>
          </w:p>
        </w:tc>
      </w:tr>
      <w:tr w:rsidR="00271C81" w:rsidRPr="00271C81" w14:paraId="04307CEE" w14:textId="77777777" w:rsidTr="00F86A3B">
        <w:trPr>
          <w:tblCellSpacing w:w="15" w:type="dxa"/>
        </w:trPr>
        <w:tc>
          <w:tcPr>
            <w:tcW w:w="0" w:type="auto"/>
            <w:tcBorders>
              <w:left w:val="single" w:sz="4" w:space="0" w:color="auto"/>
              <w:bottom w:val="single" w:sz="4" w:space="0" w:color="auto"/>
            </w:tcBorders>
            <w:vAlign w:val="center"/>
            <w:hideMark/>
          </w:tcPr>
          <w:p w14:paraId="22794701" w14:textId="77777777"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Yoruba, Osun State</w:t>
            </w:r>
          </w:p>
        </w:tc>
        <w:tc>
          <w:tcPr>
            <w:tcW w:w="0" w:type="auto"/>
            <w:tcBorders>
              <w:left w:val="single" w:sz="4" w:space="0" w:color="auto"/>
              <w:bottom w:val="single" w:sz="4" w:space="0" w:color="auto"/>
              <w:right w:val="single" w:sz="4" w:space="0" w:color="auto"/>
            </w:tcBorders>
            <w:vAlign w:val="center"/>
            <w:hideMark/>
          </w:tcPr>
          <w:p w14:paraId="21A5C8BB" w14:textId="77777777"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Osun-Osogbo Sacred Grove</w:t>
            </w:r>
          </w:p>
        </w:tc>
        <w:tc>
          <w:tcPr>
            <w:tcW w:w="0" w:type="auto"/>
            <w:tcBorders>
              <w:bottom w:val="single" w:sz="4" w:space="0" w:color="auto"/>
              <w:right w:val="single" w:sz="4" w:space="0" w:color="auto"/>
            </w:tcBorders>
            <w:vAlign w:val="center"/>
            <w:hideMark/>
          </w:tcPr>
          <w:p w14:paraId="70127FD4" w14:textId="77777777"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Customary restrictions on exploitation of flora and fauna; conservation value of the sacred grove; recognition as a UNESCO World Heritage Site in 2005</w:t>
            </w:r>
          </w:p>
        </w:tc>
        <w:tc>
          <w:tcPr>
            <w:tcW w:w="0" w:type="auto"/>
            <w:tcBorders>
              <w:bottom w:val="single" w:sz="4" w:space="0" w:color="auto"/>
              <w:right w:val="single" w:sz="4" w:space="0" w:color="auto"/>
            </w:tcBorders>
            <w:vAlign w:val="center"/>
            <w:hideMark/>
          </w:tcPr>
          <w:p w14:paraId="10BED650" w14:textId="77777777"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 xml:space="preserve">UNESCO, </w:t>
            </w:r>
            <w:r w:rsidRPr="00CC78B4">
              <w:rPr>
                <w:rFonts w:ascii="Times New Roman" w:eastAsia="Times New Roman" w:hAnsi="Times New Roman" w:cs="Times New Roman"/>
                <w:i/>
                <w:iCs/>
                <w:sz w:val="24"/>
                <w:szCs w:val="24"/>
              </w:rPr>
              <w:t>Osun-Osogbo Sacred Grove</w:t>
            </w:r>
          </w:p>
        </w:tc>
      </w:tr>
      <w:tr w:rsidR="00271C81" w:rsidRPr="00271C81" w14:paraId="47DDD0CD" w14:textId="77777777" w:rsidTr="00F86A3B">
        <w:trPr>
          <w:tblCellSpacing w:w="15" w:type="dxa"/>
        </w:trPr>
        <w:tc>
          <w:tcPr>
            <w:tcW w:w="0" w:type="auto"/>
            <w:tcBorders>
              <w:left w:val="single" w:sz="4" w:space="0" w:color="auto"/>
              <w:bottom w:val="single" w:sz="4" w:space="0" w:color="auto"/>
            </w:tcBorders>
            <w:vAlign w:val="center"/>
            <w:hideMark/>
          </w:tcPr>
          <w:p w14:paraId="53355CF9" w14:textId="77777777"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Igbo, Southeastern Nigeria</w:t>
            </w:r>
          </w:p>
        </w:tc>
        <w:tc>
          <w:tcPr>
            <w:tcW w:w="0" w:type="auto"/>
            <w:tcBorders>
              <w:left w:val="single" w:sz="4" w:space="0" w:color="auto"/>
              <w:bottom w:val="single" w:sz="4" w:space="0" w:color="auto"/>
              <w:right w:val="single" w:sz="4" w:space="0" w:color="auto"/>
            </w:tcBorders>
            <w:vAlign w:val="center"/>
            <w:hideMark/>
          </w:tcPr>
          <w:p w14:paraId="413CA43C" w14:textId="77777777"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 xml:space="preserve">Ohia </w:t>
            </w:r>
            <w:proofErr w:type="spellStart"/>
            <w:r w:rsidRPr="00CC78B4">
              <w:rPr>
                <w:rFonts w:ascii="Times New Roman" w:eastAsia="Times New Roman" w:hAnsi="Times New Roman" w:cs="Times New Roman"/>
                <w:sz w:val="24"/>
                <w:szCs w:val="24"/>
              </w:rPr>
              <w:t>Nso</w:t>
            </w:r>
            <w:proofErr w:type="spellEnd"/>
            <w:r w:rsidRPr="00CC78B4">
              <w:rPr>
                <w:rFonts w:ascii="Times New Roman" w:eastAsia="Times New Roman" w:hAnsi="Times New Roman" w:cs="Times New Roman"/>
                <w:sz w:val="24"/>
                <w:szCs w:val="24"/>
              </w:rPr>
              <w:t xml:space="preserve"> (Sacred Forests)</w:t>
            </w:r>
          </w:p>
        </w:tc>
        <w:tc>
          <w:tcPr>
            <w:tcW w:w="0" w:type="auto"/>
            <w:tcBorders>
              <w:bottom w:val="single" w:sz="4" w:space="0" w:color="auto"/>
              <w:right w:val="single" w:sz="4" w:space="0" w:color="auto"/>
            </w:tcBorders>
            <w:vAlign w:val="center"/>
            <w:hideMark/>
          </w:tcPr>
          <w:p w14:paraId="4E755B3A" w14:textId="77777777"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Traditional restrictions on timber extraction and wildlife exploitation; preservation of forest patches and biodiversity</w:t>
            </w:r>
          </w:p>
        </w:tc>
        <w:tc>
          <w:tcPr>
            <w:tcW w:w="0" w:type="auto"/>
            <w:tcBorders>
              <w:bottom w:val="single" w:sz="4" w:space="0" w:color="auto"/>
              <w:right w:val="single" w:sz="4" w:space="0" w:color="auto"/>
            </w:tcBorders>
            <w:vAlign w:val="center"/>
            <w:hideMark/>
          </w:tcPr>
          <w:p w14:paraId="07399A36" w14:textId="77777777" w:rsidR="00CC78B4" w:rsidRPr="00CC78B4" w:rsidRDefault="00CC78B4" w:rsidP="00ED7786">
            <w:pPr>
              <w:spacing w:after="0" w:line="240" w:lineRule="auto"/>
              <w:jc w:val="both"/>
              <w:rPr>
                <w:rFonts w:ascii="Times New Roman" w:eastAsia="Times New Roman" w:hAnsi="Times New Roman" w:cs="Times New Roman"/>
                <w:sz w:val="24"/>
                <w:szCs w:val="24"/>
              </w:rPr>
            </w:pPr>
            <w:proofErr w:type="spellStart"/>
            <w:r w:rsidRPr="00CC78B4">
              <w:rPr>
                <w:rFonts w:ascii="Times New Roman" w:eastAsia="Times New Roman" w:hAnsi="Times New Roman" w:cs="Times New Roman"/>
                <w:sz w:val="24"/>
                <w:szCs w:val="24"/>
              </w:rPr>
              <w:t>Anayo</w:t>
            </w:r>
            <w:proofErr w:type="spellEnd"/>
            <w:r w:rsidRPr="00CC78B4">
              <w:rPr>
                <w:rFonts w:ascii="Times New Roman" w:eastAsia="Times New Roman" w:hAnsi="Times New Roman" w:cs="Times New Roman"/>
                <w:sz w:val="24"/>
                <w:szCs w:val="24"/>
              </w:rPr>
              <w:t xml:space="preserve"> </w:t>
            </w:r>
            <w:proofErr w:type="spellStart"/>
            <w:r w:rsidRPr="00CC78B4">
              <w:rPr>
                <w:rFonts w:ascii="Times New Roman" w:eastAsia="Times New Roman" w:hAnsi="Times New Roman" w:cs="Times New Roman"/>
                <w:sz w:val="24"/>
                <w:szCs w:val="24"/>
              </w:rPr>
              <w:t>Ossai</w:t>
            </w:r>
            <w:proofErr w:type="spellEnd"/>
            <w:r w:rsidRPr="00CC78B4">
              <w:rPr>
                <w:rFonts w:ascii="Times New Roman" w:eastAsia="Times New Roman" w:hAnsi="Times New Roman" w:cs="Times New Roman"/>
                <w:sz w:val="24"/>
                <w:szCs w:val="24"/>
              </w:rPr>
              <w:t xml:space="preserve">, </w:t>
            </w:r>
            <w:r w:rsidRPr="00CC78B4">
              <w:rPr>
                <w:rFonts w:ascii="Times New Roman" w:eastAsia="Times New Roman" w:hAnsi="Times New Roman" w:cs="Times New Roman"/>
                <w:i/>
                <w:iCs/>
                <w:sz w:val="24"/>
                <w:szCs w:val="24"/>
              </w:rPr>
              <w:t xml:space="preserve">Traditional Religious Practices and Environmental Sustainability: Sacred Groves as Sanctuaries for </w:t>
            </w:r>
            <w:r w:rsidRPr="00CC78B4">
              <w:rPr>
                <w:rFonts w:ascii="Times New Roman" w:eastAsia="Times New Roman" w:hAnsi="Times New Roman" w:cs="Times New Roman"/>
                <w:i/>
                <w:iCs/>
                <w:sz w:val="24"/>
                <w:szCs w:val="24"/>
              </w:rPr>
              <w:lastRenderedPageBreak/>
              <w:t>Endangered Species in Igboland, Nigeria</w:t>
            </w:r>
          </w:p>
        </w:tc>
      </w:tr>
      <w:tr w:rsidR="00271C81" w:rsidRPr="00271C81" w14:paraId="3BE0609E" w14:textId="77777777" w:rsidTr="00F86A3B">
        <w:trPr>
          <w:tblCellSpacing w:w="15" w:type="dxa"/>
        </w:trPr>
        <w:tc>
          <w:tcPr>
            <w:tcW w:w="0" w:type="auto"/>
            <w:tcBorders>
              <w:left w:val="single" w:sz="4" w:space="0" w:color="auto"/>
            </w:tcBorders>
            <w:vAlign w:val="center"/>
            <w:hideMark/>
          </w:tcPr>
          <w:p w14:paraId="23A01161" w14:textId="77777777"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lastRenderedPageBreak/>
              <w:t xml:space="preserve">Old and New </w:t>
            </w:r>
            <w:proofErr w:type="spellStart"/>
            <w:r w:rsidRPr="00CC78B4">
              <w:rPr>
                <w:rFonts w:ascii="Times New Roman" w:eastAsia="Times New Roman" w:hAnsi="Times New Roman" w:cs="Times New Roman"/>
                <w:sz w:val="24"/>
                <w:szCs w:val="24"/>
              </w:rPr>
              <w:t>Ekuri</w:t>
            </w:r>
            <w:proofErr w:type="spellEnd"/>
            <w:r w:rsidRPr="00CC78B4">
              <w:rPr>
                <w:rFonts w:ascii="Times New Roman" w:eastAsia="Times New Roman" w:hAnsi="Times New Roman" w:cs="Times New Roman"/>
                <w:sz w:val="24"/>
                <w:szCs w:val="24"/>
              </w:rPr>
              <w:t>, Cross River State</w:t>
            </w:r>
          </w:p>
        </w:tc>
        <w:tc>
          <w:tcPr>
            <w:tcW w:w="0" w:type="auto"/>
            <w:tcBorders>
              <w:left w:val="single" w:sz="4" w:space="0" w:color="auto"/>
              <w:right w:val="single" w:sz="4" w:space="0" w:color="auto"/>
            </w:tcBorders>
            <w:vAlign w:val="center"/>
            <w:hideMark/>
          </w:tcPr>
          <w:p w14:paraId="4EC785F6" w14:textId="77777777" w:rsidR="00CC78B4" w:rsidRPr="00CC78B4" w:rsidRDefault="00CC78B4" w:rsidP="00ED7786">
            <w:pPr>
              <w:spacing w:after="0" w:line="240" w:lineRule="auto"/>
              <w:jc w:val="both"/>
              <w:rPr>
                <w:rFonts w:ascii="Times New Roman" w:eastAsia="Times New Roman" w:hAnsi="Times New Roman" w:cs="Times New Roman"/>
                <w:sz w:val="24"/>
                <w:szCs w:val="24"/>
              </w:rPr>
            </w:pPr>
            <w:proofErr w:type="spellStart"/>
            <w:r w:rsidRPr="00CC78B4">
              <w:rPr>
                <w:rFonts w:ascii="Times New Roman" w:eastAsia="Times New Roman" w:hAnsi="Times New Roman" w:cs="Times New Roman"/>
                <w:sz w:val="24"/>
                <w:szCs w:val="24"/>
              </w:rPr>
              <w:t>Ekuri</w:t>
            </w:r>
            <w:proofErr w:type="spellEnd"/>
            <w:r w:rsidRPr="00CC78B4">
              <w:rPr>
                <w:rFonts w:ascii="Times New Roman" w:eastAsia="Times New Roman" w:hAnsi="Times New Roman" w:cs="Times New Roman"/>
                <w:sz w:val="24"/>
                <w:szCs w:val="24"/>
              </w:rPr>
              <w:t xml:space="preserve"> Initiative</w:t>
            </w:r>
          </w:p>
        </w:tc>
        <w:tc>
          <w:tcPr>
            <w:tcW w:w="0" w:type="auto"/>
            <w:tcBorders>
              <w:right w:val="single" w:sz="4" w:space="0" w:color="auto"/>
            </w:tcBorders>
            <w:vAlign w:val="center"/>
            <w:hideMark/>
          </w:tcPr>
          <w:p w14:paraId="576B1265" w14:textId="7C1E62C7" w:rsidR="00CC78B4" w:rsidRPr="00CC78B4" w:rsidRDefault="00CC78B4" w:rsidP="00ED7786">
            <w:pPr>
              <w:spacing w:after="0" w:line="240" w:lineRule="auto"/>
              <w:jc w:val="both"/>
              <w:rPr>
                <w:rFonts w:ascii="Times New Roman" w:eastAsia="Times New Roman" w:hAnsi="Times New Roman" w:cs="Times New Roman"/>
                <w:sz w:val="24"/>
                <w:szCs w:val="24"/>
              </w:rPr>
            </w:pPr>
            <w:proofErr w:type="gramStart"/>
            <w:r w:rsidRPr="00CC78B4">
              <w:rPr>
                <w:rFonts w:ascii="Times New Roman" w:eastAsia="Times New Roman" w:hAnsi="Times New Roman" w:cs="Times New Roman"/>
                <w:sz w:val="24"/>
                <w:szCs w:val="24"/>
              </w:rPr>
              <w:t>Community</w:t>
            </w:r>
            <w:r w:rsidR="00271C81" w:rsidRPr="00271C81">
              <w:rPr>
                <w:rFonts w:ascii="Times New Roman" w:eastAsia="Times New Roman" w:hAnsi="Times New Roman" w:cs="Times New Roman"/>
                <w:sz w:val="24"/>
                <w:szCs w:val="24"/>
              </w:rPr>
              <w:t>-</w:t>
            </w:r>
            <w:r w:rsidRPr="00CC78B4">
              <w:rPr>
                <w:rFonts w:ascii="Times New Roman" w:eastAsia="Times New Roman" w:hAnsi="Times New Roman" w:cs="Times New Roman"/>
                <w:sz w:val="24"/>
                <w:szCs w:val="24"/>
              </w:rPr>
              <w:t>based</w:t>
            </w:r>
            <w:r w:rsidR="00ED7786">
              <w:rPr>
                <w:rFonts w:ascii="Times New Roman" w:eastAsia="Times New Roman" w:hAnsi="Times New Roman" w:cs="Times New Roman"/>
                <w:sz w:val="24"/>
                <w:szCs w:val="24"/>
              </w:rPr>
              <w:t xml:space="preserve"> </w:t>
            </w:r>
            <w:r w:rsidRPr="00CC78B4">
              <w:rPr>
                <w:rFonts w:ascii="Times New Roman" w:eastAsia="Times New Roman" w:hAnsi="Times New Roman" w:cs="Times New Roman"/>
                <w:sz w:val="24"/>
                <w:szCs w:val="24"/>
              </w:rPr>
              <w:t>forest</w:t>
            </w:r>
            <w:proofErr w:type="gramEnd"/>
            <w:r w:rsidRPr="00CC78B4">
              <w:rPr>
                <w:rFonts w:ascii="Times New Roman" w:eastAsia="Times New Roman" w:hAnsi="Times New Roman" w:cs="Times New Roman"/>
                <w:sz w:val="24"/>
                <w:szCs w:val="24"/>
              </w:rPr>
              <w:t xml:space="preserve"> management; rejection of commercial logging; management of approximately 33,600 hectares of rainforest; international recognition</w:t>
            </w:r>
          </w:p>
        </w:tc>
        <w:tc>
          <w:tcPr>
            <w:tcW w:w="0" w:type="auto"/>
            <w:tcBorders>
              <w:right w:val="single" w:sz="4" w:space="0" w:color="auto"/>
            </w:tcBorders>
            <w:vAlign w:val="center"/>
            <w:hideMark/>
          </w:tcPr>
          <w:p w14:paraId="41AD9956" w14:textId="77777777"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 xml:space="preserve">United Nations Development Programme, </w:t>
            </w:r>
            <w:proofErr w:type="spellStart"/>
            <w:r w:rsidRPr="00CC78B4">
              <w:rPr>
                <w:rFonts w:ascii="Times New Roman" w:eastAsia="Times New Roman" w:hAnsi="Times New Roman" w:cs="Times New Roman"/>
                <w:i/>
                <w:iCs/>
                <w:sz w:val="24"/>
                <w:szCs w:val="24"/>
              </w:rPr>
              <w:t>Ekuri</w:t>
            </w:r>
            <w:proofErr w:type="spellEnd"/>
            <w:r w:rsidRPr="00CC78B4">
              <w:rPr>
                <w:rFonts w:ascii="Times New Roman" w:eastAsia="Times New Roman" w:hAnsi="Times New Roman" w:cs="Times New Roman"/>
                <w:i/>
                <w:iCs/>
                <w:sz w:val="24"/>
                <w:szCs w:val="24"/>
              </w:rPr>
              <w:t xml:space="preserve"> Initiative, Nigeria</w:t>
            </w:r>
          </w:p>
        </w:tc>
      </w:tr>
      <w:tr w:rsidR="00271C81" w:rsidRPr="00271C81" w14:paraId="0514124D" w14:textId="77777777" w:rsidTr="00F86A3B">
        <w:trPr>
          <w:tblCellSpacing w:w="15" w:type="dxa"/>
        </w:trPr>
        <w:tc>
          <w:tcPr>
            <w:tcW w:w="0" w:type="auto"/>
            <w:tcBorders>
              <w:top w:val="single" w:sz="4" w:space="0" w:color="auto"/>
              <w:left w:val="single" w:sz="4" w:space="0" w:color="auto"/>
              <w:bottom w:val="single" w:sz="4" w:space="0" w:color="auto"/>
            </w:tcBorders>
            <w:vAlign w:val="center"/>
            <w:hideMark/>
          </w:tcPr>
          <w:p w14:paraId="29E76837" w14:textId="77777777"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Fulani pastoral communities, Northern Nigeria</w:t>
            </w:r>
          </w:p>
        </w:tc>
        <w:tc>
          <w:tcPr>
            <w:tcW w:w="0" w:type="auto"/>
            <w:tcBorders>
              <w:top w:val="single" w:sz="4" w:space="0" w:color="auto"/>
              <w:left w:val="single" w:sz="4" w:space="0" w:color="auto"/>
              <w:bottom w:val="single" w:sz="4" w:space="0" w:color="auto"/>
              <w:right w:val="single" w:sz="4" w:space="0" w:color="auto"/>
            </w:tcBorders>
            <w:vAlign w:val="center"/>
            <w:hideMark/>
          </w:tcPr>
          <w:p w14:paraId="2D95BF27" w14:textId="77777777"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Transhumance and indigenous grazing institutions</w:t>
            </w:r>
          </w:p>
        </w:tc>
        <w:tc>
          <w:tcPr>
            <w:tcW w:w="0" w:type="auto"/>
            <w:tcBorders>
              <w:top w:val="single" w:sz="4" w:space="0" w:color="auto"/>
              <w:bottom w:val="single" w:sz="4" w:space="0" w:color="auto"/>
              <w:right w:val="single" w:sz="4" w:space="0" w:color="auto"/>
            </w:tcBorders>
            <w:vAlign w:val="center"/>
            <w:hideMark/>
          </w:tcPr>
          <w:p w14:paraId="64D30558" w14:textId="77777777"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Seasonal migration patterns and grazing arrangements linked to rainfall, pasture availability and negotiated access to resources</w:t>
            </w:r>
          </w:p>
        </w:tc>
        <w:tc>
          <w:tcPr>
            <w:tcW w:w="0" w:type="auto"/>
            <w:tcBorders>
              <w:top w:val="single" w:sz="4" w:space="0" w:color="auto"/>
              <w:bottom w:val="single" w:sz="4" w:space="0" w:color="auto"/>
              <w:right w:val="single" w:sz="4" w:space="0" w:color="auto"/>
            </w:tcBorders>
            <w:vAlign w:val="center"/>
            <w:hideMark/>
          </w:tcPr>
          <w:p w14:paraId="0E80FA6E" w14:textId="77777777"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 xml:space="preserve">Roger Blench and Mallam </w:t>
            </w:r>
            <w:proofErr w:type="spellStart"/>
            <w:r w:rsidRPr="00CC78B4">
              <w:rPr>
                <w:rFonts w:ascii="Times New Roman" w:eastAsia="Times New Roman" w:hAnsi="Times New Roman" w:cs="Times New Roman"/>
                <w:sz w:val="24"/>
                <w:szCs w:val="24"/>
              </w:rPr>
              <w:t>Dendo</w:t>
            </w:r>
            <w:proofErr w:type="spellEnd"/>
            <w:r w:rsidRPr="00CC78B4">
              <w:rPr>
                <w:rFonts w:ascii="Times New Roman" w:eastAsia="Times New Roman" w:hAnsi="Times New Roman" w:cs="Times New Roman"/>
                <w:sz w:val="24"/>
                <w:szCs w:val="24"/>
              </w:rPr>
              <w:t xml:space="preserve">, </w:t>
            </w:r>
            <w:r w:rsidRPr="00CC78B4">
              <w:rPr>
                <w:rFonts w:ascii="Times New Roman" w:eastAsia="Times New Roman" w:hAnsi="Times New Roman" w:cs="Times New Roman"/>
                <w:i/>
                <w:iCs/>
                <w:sz w:val="24"/>
                <w:szCs w:val="24"/>
              </w:rPr>
              <w:t>“You Can't Go Home Again”: Pastoralism in the New Millennium</w:t>
            </w:r>
          </w:p>
        </w:tc>
      </w:tr>
    </w:tbl>
    <w:p w14:paraId="528E12A6" w14:textId="77777777" w:rsidR="00ED7786" w:rsidRDefault="00ED7786" w:rsidP="00ED7786">
      <w:pPr>
        <w:spacing w:after="0" w:line="240" w:lineRule="auto"/>
        <w:jc w:val="both"/>
        <w:outlineLvl w:val="2"/>
        <w:rPr>
          <w:rFonts w:ascii="Times New Roman" w:eastAsia="Times New Roman" w:hAnsi="Times New Roman" w:cs="Times New Roman"/>
          <w:b/>
          <w:bCs/>
          <w:sz w:val="24"/>
          <w:szCs w:val="24"/>
        </w:rPr>
      </w:pPr>
    </w:p>
    <w:p w14:paraId="6E0EBA42" w14:textId="34C05BCA" w:rsidR="00CC78B4" w:rsidRPr="00CC78B4" w:rsidRDefault="00CC78B4" w:rsidP="00ED7786">
      <w:pPr>
        <w:spacing w:after="0" w:line="240" w:lineRule="auto"/>
        <w:jc w:val="both"/>
        <w:outlineLvl w:val="2"/>
        <w:rPr>
          <w:rFonts w:ascii="Times New Roman" w:eastAsia="Times New Roman" w:hAnsi="Times New Roman" w:cs="Times New Roman"/>
          <w:b/>
          <w:bCs/>
          <w:sz w:val="24"/>
          <w:szCs w:val="24"/>
        </w:rPr>
      </w:pPr>
      <w:r w:rsidRPr="00CC78B4">
        <w:rPr>
          <w:rFonts w:ascii="Times New Roman" w:eastAsia="Times New Roman" w:hAnsi="Times New Roman" w:cs="Times New Roman"/>
          <w:b/>
          <w:bCs/>
          <w:sz w:val="24"/>
          <w:szCs w:val="24"/>
        </w:rPr>
        <w:t>Source Documentation</w:t>
      </w:r>
    </w:p>
    <w:p w14:paraId="33E5B4DD" w14:textId="77777777" w:rsidR="00ED7786" w:rsidRDefault="00ED7786" w:rsidP="00ED7786">
      <w:pPr>
        <w:spacing w:after="0" w:line="240" w:lineRule="auto"/>
        <w:jc w:val="both"/>
        <w:rPr>
          <w:rFonts w:ascii="Times New Roman" w:eastAsia="Times New Roman" w:hAnsi="Times New Roman" w:cs="Times New Roman"/>
          <w:sz w:val="24"/>
          <w:szCs w:val="24"/>
        </w:rPr>
      </w:pPr>
    </w:p>
    <w:p w14:paraId="460C6F36" w14:textId="2F6E41F9"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The information presented in Table 1 was not generated through a survey or field experiment conducted by the authors. Rather, it was compiled from existing documentary and scholarly evidence concerning selected indigenous institutions and practices.</w:t>
      </w:r>
    </w:p>
    <w:p w14:paraId="4C2D337A" w14:textId="43BB3EA7" w:rsidR="00271C81" w:rsidRPr="00271C81"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 xml:space="preserve">The table was designed as a comparative summary to </w:t>
      </w:r>
      <w:r w:rsidR="00271C81" w:rsidRPr="00271C81">
        <w:rPr>
          <w:rFonts w:ascii="Times New Roman" w:eastAsia="Times New Roman" w:hAnsi="Times New Roman" w:cs="Times New Roman"/>
          <w:sz w:val="24"/>
          <w:szCs w:val="24"/>
        </w:rPr>
        <w:t>demonstrate</w:t>
      </w:r>
      <w:r w:rsidRPr="00CC78B4">
        <w:rPr>
          <w:rFonts w:ascii="Times New Roman" w:eastAsia="Times New Roman" w:hAnsi="Times New Roman" w:cs="Times New Roman"/>
          <w:sz w:val="24"/>
          <w:szCs w:val="24"/>
        </w:rPr>
        <w:t xml:space="preserve"> how different Nigerian communities historically developed locally grounded mechanisms for regulating forests, land and grazing resources. The sources cited above provide the underlying documentation for the cases summarised in the table.</w:t>
      </w:r>
    </w:p>
    <w:p w14:paraId="4E9B26B0" w14:textId="77777777" w:rsidR="00271C81" w:rsidRPr="00CC78B4" w:rsidRDefault="00271C81" w:rsidP="00ED7786">
      <w:pPr>
        <w:spacing w:after="0" w:line="240" w:lineRule="auto"/>
        <w:jc w:val="both"/>
        <w:rPr>
          <w:rFonts w:ascii="Times New Roman" w:eastAsia="Times New Roman" w:hAnsi="Times New Roman" w:cs="Times New Roman"/>
          <w:sz w:val="24"/>
          <w:szCs w:val="24"/>
        </w:rPr>
      </w:pPr>
    </w:p>
    <w:p w14:paraId="2A7D2B6D" w14:textId="77777777" w:rsidR="00CC78B4" w:rsidRPr="00CC78B4" w:rsidRDefault="00CC78B4" w:rsidP="00ED7786">
      <w:pPr>
        <w:spacing w:after="0" w:line="240" w:lineRule="auto"/>
        <w:jc w:val="both"/>
        <w:outlineLvl w:val="1"/>
        <w:rPr>
          <w:rFonts w:ascii="Times New Roman" w:eastAsia="Times New Roman" w:hAnsi="Times New Roman" w:cs="Times New Roman"/>
          <w:b/>
          <w:bCs/>
          <w:sz w:val="24"/>
          <w:szCs w:val="24"/>
        </w:rPr>
      </w:pPr>
      <w:r w:rsidRPr="00CC78B4">
        <w:rPr>
          <w:rFonts w:ascii="Times New Roman" w:eastAsia="Times New Roman" w:hAnsi="Times New Roman" w:cs="Times New Roman"/>
          <w:b/>
          <w:bCs/>
          <w:sz w:val="24"/>
          <w:szCs w:val="24"/>
        </w:rPr>
        <w:t>3. Documentation of Sources Used for Table 2</w:t>
      </w:r>
    </w:p>
    <w:p w14:paraId="1EF7AF58" w14:textId="77777777" w:rsidR="00CC78B4" w:rsidRPr="00CC78B4" w:rsidRDefault="00CC78B4" w:rsidP="00ED7786">
      <w:pPr>
        <w:spacing w:after="0" w:line="240" w:lineRule="auto"/>
        <w:jc w:val="both"/>
        <w:outlineLvl w:val="2"/>
        <w:rPr>
          <w:rFonts w:ascii="Times New Roman" w:eastAsia="Times New Roman" w:hAnsi="Times New Roman" w:cs="Times New Roman"/>
          <w:b/>
          <w:bCs/>
          <w:sz w:val="24"/>
          <w:szCs w:val="24"/>
        </w:rPr>
      </w:pPr>
      <w:r w:rsidRPr="00CC78B4">
        <w:rPr>
          <w:rFonts w:ascii="Times New Roman" w:eastAsia="Times New Roman" w:hAnsi="Times New Roman" w:cs="Times New Roman"/>
          <w:b/>
          <w:bCs/>
          <w:sz w:val="24"/>
          <w:szCs w:val="24"/>
        </w:rPr>
        <w:t>Table 2: Empirical Indicators of Climate-Linked Environmental Insecurity in Nigeria and the Lake Chad Basin</w:t>
      </w:r>
    </w:p>
    <w:p w14:paraId="6F6B6271" w14:textId="77777777" w:rsidR="00ED7786" w:rsidRDefault="00ED7786" w:rsidP="00ED7786">
      <w:pPr>
        <w:spacing w:after="0" w:line="240" w:lineRule="auto"/>
        <w:jc w:val="both"/>
        <w:rPr>
          <w:rFonts w:ascii="Times New Roman" w:eastAsia="Times New Roman" w:hAnsi="Times New Roman" w:cs="Times New Roman"/>
          <w:sz w:val="24"/>
          <w:szCs w:val="24"/>
        </w:rPr>
      </w:pPr>
    </w:p>
    <w:p w14:paraId="1F0E8608" w14:textId="05AC6E35" w:rsid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The figures presented in Table 2 were compiled from reports published by international organisations and research institutions. The table brings together selected indicators illustrating the relationship between environmental change, climate-related hazards and human insecurity.</w:t>
      </w:r>
    </w:p>
    <w:p w14:paraId="430CA31F" w14:textId="77777777" w:rsidR="00ED7786" w:rsidRPr="00CC78B4" w:rsidRDefault="00ED7786" w:rsidP="00ED7786">
      <w:pPr>
        <w:spacing w:after="0" w:line="240" w:lineRule="auto"/>
        <w:jc w:val="both"/>
        <w:rPr>
          <w:rFonts w:ascii="Times New Roman" w:eastAsia="Times New Roman" w:hAnsi="Times New Roman" w:cs="Times New Roman"/>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63"/>
        <w:gridCol w:w="4125"/>
        <w:gridCol w:w="3662"/>
      </w:tblGrid>
      <w:tr w:rsidR="00271C81" w:rsidRPr="00CC78B4" w14:paraId="66B9DC84" w14:textId="77777777" w:rsidTr="00271C81">
        <w:trPr>
          <w:tblHeade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B38AA31" w14:textId="77777777" w:rsidR="00CC78B4" w:rsidRPr="00CC78B4" w:rsidRDefault="00CC78B4" w:rsidP="00ED7786">
            <w:pPr>
              <w:spacing w:after="0" w:line="240" w:lineRule="auto"/>
              <w:jc w:val="both"/>
              <w:rPr>
                <w:rFonts w:ascii="Times New Roman" w:eastAsia="Times New Roman" w:hAnsi="Times New Roman" w:cs="Times New Roman"/>
                <w:b/>
                <w:bCs/>
                <w:sz w:val="24"/>
                <w:szCs w:val="24"/>
              </w:rPr>
            </w:pPr>
            <w:r w:rsidRPr="00CC78B4">
              <w:rPr>
                <w:rFonts w:ascii="Times New Roman" w:eastAsia="Times New Roman" w:hAnsi="Times New Roman" w:cs="Times New Roman"/>
                <w:b/>
                <w:bCs/>
                <w:sz w:val="24"/>
                <w:szCs w:val="24"/>
              </w:rPr>
              <w:t>Indicator</w:t>
            </w:r>
          </w:p>
        </w:tc>
        <w:tc>
          <w:tcPr>
            <w:tcW w:w="0" w:type="auto"/>
            <w:tcBorders>
              <w:top w:val="single" w:sz="4" w:space="0" w:color="auto"/>
              <w:bottom w:val="single" w:sz="4" w:space="0" w:color="auto"/>
            </w:tcBorders>
            <w:vAlign w:val="center"/>
            <w:hideMark/>
          </w:tcPr>
          <w:p w14:paraId="17E5BFA4" w14:textId="77777777" w:rsidR="00CC78B4" w:rsidRPr="00CC78B4" w:rsidRDefault="00CC78B4" w:rsidP="00ED7786">
            <w:pPr>
              <w:spacing w:after="0" w:line="240" w:lineRule="auto"/>
              <w:jc w:val="both"/>
              <w:rPr>
                <w:rFonts w:ascii="Times New Roman" w:eastAsia="Times New Roman" w:hAnsi="Times New Roman" w:cs="Times New Roman"/>
                <w:b/>
                <w:bCs/>
                <w:sz w:val="24"/>
                <w:szCs w:val="24"/>
              </w:rPr>
            </w:pPr>
            <w:r w:rsidRPr="00CC78B4">
              <w:rPr>
                <w:rFonts w:ascii="Times New Roman" w:eastAsia="Times New Roman" w:hAnsi="Times New Roman" w:cs="Times New Roman"/>
                <w:b/>
                <w:bCs/>
                <w:sz w:val="24"/>
                <w:szCs w:val="24"/>
              </w:rPr>
              <w:t>Figure/Information Presented</w:t>
            </w:r>
          </w:p>
        </w:tc>
        <w:tc>
          <w:tcPr>
            <w:tcW w:w="0" w:type="auto"/>
            <w:tcBorders>
              <w:top w:val="single" w:sz="4" w:space="0" w:color="auto"/>
              <w:left w:val="single" w:sz="4" w:space="0" w:color="auto"/>
              <w:bottom w:val="single" w:sz="4" w:space="0" w:color="auto"/>
              <w:right w:val="single" w:sz="4" w:space="0" w:color="auto"/>
            </w:tcBorders>
            <w:vAlign w:val="center"/>
            <w:hideMark/>
          </w:tcPr>
          <w:p w14:paraId="63F5C600" w14:textId="77777777" w:rsidR="00CC78B4" w:rsidRPr="00CC78B4" w:rsidRDefault="00CC78B4" w:rsidP="00ED7786">
            <w:pPr>
              <w:spacing w:after="0" w:line="240" w:lineRule="auto"/>
              <w:jc w:val="both"/>
              <w:rPr>
                <w:rFonts w:ascii="Times New Roman" w:eastAsia="Times New Roman" w:hAnsi="Times New Roman" w:cs="Times New Roman"/>
                <w:b/>
                <w:bCs/>
                <w:sz w:val="24"/>
                <w:szCs w:val="24"/>
              </w:rPr>
            </w:pPr>
            <w:r w:rsidRPr="00CC78B4">
              <w:rPr>
                <w:rFonts w:ascii="Times New Roman" w:eastAsia="Times New Roman" w:hAnsi="Times New Roman" w:cs="Times New Roman"/>
                <w:b/>
                <w:bCs/>
                <w:sz w:val="24"/>
                <w:szCs w:val="24"/>
              </w:rPr>
              <w:t>Documentary Source</w:t>
            </w:r>
          </w:p>
        </w:tc>
      </w:tr>
      <w:tr w:rsidR="00271C81" w:rsidRPr="00CC78B4" w14:paraId="71303F11" w14:textId="77777777" w:rsidTr="00271C81">
        <w:trPr>
          <w:tblCellSpacing w:w="15" w:type="dxa"/>
        </w:trPr>
        <w:tc>
          <w:tcPr>
            <w:tcW w:w="0" w:type="auto"/>
            <w:tcBorders>
              <w:left w:val="single" w:sz="4" w:space="0" w:color="auto"/>
              <w:right w:val="single" w:sz="4" w:space="0" w:color="auto"/>
            </w:tcBorders>
            <w:vAlign w:val="center"/>
            <w:hideMark/>
          </w:tcPr>
          <w:p w14:paraId="034DB116" w14:textId="77777777"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Lake Chad surface-area contraction</w:t>
            </w:r>
          </w:p>
        </w:tc>
        <w:tc>
          <w:tcPr>
            <w:tcW w:w="0" w:type="auto"/>
            <w:vAlign w:val="center"/>
            <w:hideMark/>
          </w:tcPr>
          <w:p w14:paraId="568F5981" w14:textId="77777777"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Decline from approximately 25,000 km² in the 1960s to less than 1,500 km² in recent decades, with significant implications for livelihoods within the Lake Chad Basin</w:t>
            </w:r>
          </w:p>
        </w:tc>
        <w:tc>
          <w:tcPr>
            <w:tcW w:w="0" w:type="auto"/>
            <w:tcBorders>
              <w:left w:val="single" w:sz="4" w:space="0" w:color="auto"/>
              <w:right w:val="single" w:sz="4" w:space="0" w:color="auto"/>
            </w:tcBorders>
            <w:vAlign w:val="center"/>
            <w:hideMark/>
          </w:tcPr>
          <w:p w14:paraId="546992C4" w14:textId="77777777"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 xml:space="preserve">United Nations Environment Programme, </w:t>
            </w:r>
            <w:r w:rsidRPr="00CC78B4">
              <w:rPr>
                <w:rFonts w:ascii="Times New Roman" w:eastAsia="Times New Roman" w:hAnsi="Times New Roman" w:cs="Times New Roman"/>
                <w:i/>
                <w:iCs/>
                <w:sz w:val="24"/>
                <w:szCs w:val="24"/>
              </w:rPr>
              <w:t>The Tale of a Disappearing Lake</w:t>
            </w:r>
          </w:p>
        </w:tc>
      </w:tr>
      <w:tr w:rsidR="00271C81" w:rsidRPr="00CC78B4" w14:paraId="718E4B02" w14:textId="77777777" w:rsidTr="00271C81">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62F07585" w14:textId="77777777"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Forest-land loss and degradation</w:t>
            </w:r>
          </w:p>
        </w:tc>
        <w:tc>
          <w:tcPr>
            <w:tcW w:w="0" w:type="auto"/>
            <w:tcBorders>
              <w:top w:val="single" w:sz="4" w:space="0" w:color="auto"/>
              <w:bottom w:val="single" w:sz="4" w:space="0" w:color="auto"/>
            </w:tcBorders>
            <w:vAlign w:val="center"/>
            <w:hideMark/>
          </w:tcPr>
          <w:p w14:paraId="3DD96361" w14:textId="77777777"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 xml:space="preserve">Approximately 463,360 hectares of forest land lost between 2000 and 2010, </w:t>
            </w:r>
            <w:r w:rsidRPr="00CC78B4">
              <w:rPr>
                <w:rFonts w:ascii="Times New Roman" w:eastAsia="Times New Roman" w:hAnsi="Times New Roman" w:cs="Times New Roman"/>
                <w:sz w:val="24"/>
                <w:szCs w:val="24"/>
              </w:rPr>
              <w:lastRenderedPageBreak/>
              <w:t>including land converted to shrub/grassland and cropland</w:t>
            </w:r>
          </w:p>
        </w:tc>
        <w:tc>
          <w:tcPr>
            <w:tcW w:w="0" w:type="auto"/>
            <w:tcBorders>
              <w:top w:val="single" w:sz="4" w:space="0" w:color="auto"/>
              <w:left w:val="single" w:sz="4" w:space="0" w:color="auto"/>
              <w:bottom w:val="single" w:sz="4" w:space="0" w:color="auto"/>
              <w:right w:val="single" w:sz="4" w:space="0" w:color="auto"/>
            </w:tcBorders>
            <w:vAlign w:val="center"/>
            <w:hideMark/>
          </w:tcPr>
          <w:p w14:paraId="57C667F0" w14:textId="77777777"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lastRenderedPageBreak/>
              <w:t xml:space="preserve">United Nations Convention to Combat Desertification, </w:t>
            </w:r>
            <w:r w:rsidRPr="00CC78B4">
              <w:rPr>
                <w:rFonts w:ascii="Times New Roman" w:eastAsia="Times New Roman" w:hAnsi="Times New Roman" w:cs="Times New Roman"/>
                <w:i/>
                <w:iCs/>
                <w:sz w:val="24"/>
                <w:szCs w:val="24"/>
              </w:rPr>
              <w:t xml:space="preserve">Nigeria: </w:t>
            </w:r>
            <w:r w:rsidRPr="00CC78B4">
              <w:rPr>
                <w:rFonts w:ascii="Times New Roman" w:eastAsia="Times New Roman" w:hAnsi="Times New Roman" w:cs="Times New Roman"/>
                <w:i/>
                <w:iCs/>
                <w:sz w:val="24"/>
                <w:szCs w:val="24"/>
              </w:rPr>
              <w:lastRenderedPageBreak/>
              <w:t>Land Degradation Neutrality Target Setting Programme Country Report</w:t>
            </w:r>
          </w:p>
        </w:tc>
      </w:tr>
      <w:tr w:rsidR="00271C81" w:rsidRPr="00CC78B4" w14:paraId="463216DD" w14:textId="77777777" w:rsidTr="00271C81">
        <w:trPr>
          <w:tblCellSpacing w:w="15" w:type="dxa"/>
        </w:trPr>
        <w:tc>
          <w:tcPr>
            <w:tcW w:w="0" w:type="auto"/>
            <w:tcBorders>
              <w:left w:val="single" w:sz="4" w:space="0" w:color="auto"/>
              <w:bottom w:val="single" w:sz="4" w:space="0" w:color="auto"/>
              <w:right w:val="single" w:sz="4" w:space="0" w:color="auto"/>
            </w:tcBorders>
            <w:vAlign w:val="center"/>
            <w:hideMark/>
          </w:tcPr>
          <w:p w14:paraId="7AE09059" w14:textId="77777777"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lastRenderedPageBreak/>
              <w:t>2022 flood disaster in Nigeria</w:t>
            </w:r>
          </w:p>
        </w:tc>
        <w:tc>
          <w:tcPr>
            <w:tcW w:w="0" w:type="auto"/>
            <w:tcBorders>
              <w:bottom w:val="single" w:sz="4" w:space="0" w:color="auto"/>
            </w:tcBorders>
            <w:vAlign w:val="center"/>
            <w:hideMark/>
          </w:tcPr>
          <w:p w14:paraId="140E93A8" w14:textId="77777777"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More than three million people affected; over 1.4 million displaced; 603 deaths recorded; significant farmland damage</w:t>
            </w:r>
          </w:p>
        </w:tc>
        <w:tc>
          <w:tcPr>
            <w:tcW w:w="0" w:type="auto"/>
            <w:tcBorders>
              <w:left w:val="single" w:sz="4" w:space="0" w:color="auto"/>
              <w:bottom w:val="single" w:sz="4" w:space="0" w:color="auto"/>
              <w:right w:val="single" w:sz="4" w:space="0" w:color="auto"/>
            </w:tcBorders>
            <w:vAlign w:val="center"/>
            <w:hideMark/>
          </w:tcPr>
          <w:p w14:paraId="0E43481C" w14:textId="77777777"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 xml:space="preserve">United Nations Office for the Coordination of Humanitarian Affairs, </w:t>
            </w:r>
            <w:r w:rsidRPr="00CC78B4">
              <w:rPr>
                <w:rFonts w:ascii="Times New Roman" w:eastAsia="Times New Roman" w:hAnsi="Times New Roman" w:cs="Times New Roman"/>
                <w:i/>
                <w:iCs/>
                <w:sz w:val="24"/>
                <w:szCs w:val="24"/>
              </w:rPr>
              <w:t>Nigeria Floods Response: Flash Update 2</w:t>
            </w:r>
            <w:r w:rsidRPr="00CC78B4">
              <w:rPr>
                <w:rFonts w:ascii="Times New Roman" w:eastAsia="Times New Roman" w:hAnsi="Times New Roman" w:cs="Times New Roman"/>
                <w:sz w:val="24"/>
                <w:szCs w:val="24"/>
              </w:rPr>
              <w:t>; National Emergency Management Agency reports</w:t>
            </w:r>
          </w:p>
        </w:tc>
      </w:tr>
      <w:tr w:rsidR="00271C81" w:rsidRPr="00CC78B4" w14:paraId="59B6B79B" w14:textId="77777777" w:rsidTr="00271C81">
        <w:trPr>
          <w:tblCellSpacing w:w="15" w:type="dxa"/>
        </w:trPr>
        <w:tc>
          <w:tcPr>
            <w:tcW w:w="0" w:type="auto"/>
            <w:tcBorders>
              <w:left w:val="single" w:sz="4" w:space="0" w:color="auto"/>
              <w:bottom w:val="single" w:sz="4" w:space="0" w:color="auto"/>
              <w:right w:val="single" w:sz="4" w:space="0" w:color="auto"/>
            </w:tcBorders>
            <w:vAlign w:val="center"/>
            <w:hideMark/>
          </w:tcPr>
          <w:p w14:paraId="0AA3FB13" w14:textId="77777777"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Farmer-herder conflict fatalities</w:t>
            </w:r>
          </w:p>
        </w:tc>
        <w:tc>
          <w:tcPr>
            <w:tcW w:w="0" w:type="auto"/>
            <w:tcBorders>
              <w:bottom w:val="single" w:sz="4" w:space="0" w:color="auto"/>
            </w:tcBorders>
            <w:vAlign w:val="center"/>
            <w:hideMark/>
          </w:tcPr>
          <w:p w14:paraId="4FE3B2C3" w14:textId="77777777"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Reported deaths and losses associated with farmer-herder violence in Nigeria, including figures documented for 2013 and 2018</w:t>
            </w:r>
          </w:p>
        </w:tc>
        <w:tc>
          <w:tcPr>
            <w:tcW w:w="0" w:type="auto"/>
            <w:tcBorders>
              <w:left w:val="single" w:sz="4" w:space="0" w:color="auto"/>
              <w:bottom w:val="single" w:sz="4" w:space="0" w:color="auto"/>
              <w:right w:val="single" w:sz="4" w:space="0" w:color="auto"/>
            </w:tcBorders>
            <w:vAlign w:val="center"/>
            <w:hideMark/>
          </w:tcPr>
          <w:p w14:paraId="6D4DB8C8" w14:textId="77777777"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 xml:space="preserve">International Crisis Group, </w:t>
            </w:r>
            <w:r w:rsidRPr="00CC78B4">
              <w:rPr>
                <w:rFonts w:ascii="Times New Roman" w:eastAsia="Times New Roman" w:hAnsi="Times New Roman" w:cs="Times New Roman"/>
                <w:i/>
                <w:iCs/>
                <w:sz w:val="24"/>
                <w:szCs w:val="24"/>
              </w:rPr>
              <w:t>Herders against Farmers: Nigeria's Expanding Deadly Conflict</w:t>
            </w:r>
            <w:r w:rsidRPr="00CC78B4">
              <w:rPr>
                <w:rFonts w:ascii="Times New Roman" w:eastAsia="Times New Roman" w:hAnsi="Times New Roman" w:cs="Times New Roman"/>
                <w:sz w:val="24"/>
                <w:szCs w:val="24"/>
              </w:rPr>
              <w:t xml:space="preserve">; </w:t>
            </w:r>
            <w:r w:rsidRPr="00CC78B4">
              <w:rPr>
                <w:rFonts w:ascii="Times New Roman" w:eastAsia="Times New Roman" w:hAnsi="Times New Roman" w:cs="Times New Roman"/>
                <w:i/>
                <w:iCs/>
                <w:sz w:val="24"/>
                <w:szCs w:val="24"/>
              </w:rPr>
              <w:t xml:space="preserve">Stopping Nigeria's </w:t>
            </w:r>
            <w:proofErr w:type="spellStart"/>
            <w:r w:rsidRPr="00CC78B4">
              <w:rPr>
                <w:rFonts w:ascii="Times New Roman" w:eastAsia="Times New Roman" w:hAnsi="Times New Roman" w:cs="Times New Roman"/>
                <w:i/>
                <w:iCs/>
                <w:sz w:val="24"/>
                <w:szCs w:val="24"/>
              </w:rPr>
              <w:t>Spiralling</w:t>
            </w:r>
            <w:proofErr w:type="spellEnd"/>
            <w:r w:rsidRPr="00CC78B4">
              <w:rPr>
                <w:rFonts w:ascii="Times New Roman" w:eastAsia="Times New Roman" w:hAnsi="Times New Roman" w:cs="Times New Roman"/>
                <w:i/>
                <w:iCs/>
                <w:sz w:val="24"/>
                <w:szCs w:val="24"/>
              </w:rPr>
              <w:t xml:space="preserve"> Farmer-Herder Violence</w:t>
            </w:r>
          </w:p>
        </w:tc>
      </w:tr>
    </w:tbl>
    <w:p w14:paraId="20496C74" w14:textId="77777777" w:rsidR="00ED7786" w:rsidRDefault="00ED7786" w:rsidP="00ED7786">
      <w:pPr>
        <w:spacing w:after="0" w:line="240" w:lineRule="auto"/>
        <w:jc w:val="both"/>
        <w:outlineLvl w:val="2"/>
        <w:rPr>
          <w:rFonts w:ascii="Times New Roman" w:eastAsia="Times New Roman" w:hAnsi="Times New Roman" w:cs="Times New Roman"/>
          <w:b/>
          <w:bCs/>
          <w:sz w:val="24"/>
          <w:szCs w:val="24"/>
        </w:rPr>
      </w:pPr>
    </w:p>
    <w:p w14:paraId="51AEA553" w14:textId="56DABB1F" w:rsidR="00CC78B4" w:rsidRPr="00CC78B4" w:rsidRDefault="00CC78B4" w:rsidP="00ED7786">
      <w:pPr>
        <w:spacing w:after="0" w:line="240" w:lineRule="auto"/>
        <w:jc w:val="both"/>
        <w:outlineLvl w:val="2"/>
        <w:rPr>
          <w:rFonts w:ascii="Times New Roman" w:eastAsia="Times New Roman" w:hAnsi="Times New Roman" w:cs="Times New Roman"/>
          <w:b/>
          <w:bCs/>
          <w:sz w:val="24"/>
          <w:szCs w:val="24"/>
        </w:rPr>
      </w:pPr>
      <w:r w:rsidRPr="00CC78B4">
        <w:rPr>
          <w:rFonts w:ascii="Times New Roman" w:eastAsia="Times New Roman" w:hAnsi="Times New Roman" w:cs="Times New Roman"/>
          <w:b/>
          <w:bCs/>
          <w:sz w:val="24"/>
          <w:szCs w:val="24"/>
        </w:rPr>
        <w:t>Source Documentation</w:t>
      </w:r>
    </w:p>
    <w:p w14:paraId="131E17B2" w14:textId="77777777" w:rsidR="00ED7786" w:rsidRDefault="00ED7786" w:rsidP="00ED7786">
      <w:pPr>
        <w:spacing w:after="0" w:line="240" w:lineRule="auto"/>
        <w:jc w:val="both"/>
        <w:rPr>
          <w:rFonts w:ascii="Times New Roman" w:eastAsia="Times New Roman" w:hAnsi="Times New Roman" w:cs="Times New Roman"/>
          <w:sz w:val="24"/>
          <w:szCs w:val="24"/>
        </w:rPr>
      </w:pPr>
    </w:p>
    <w:p w14:paraId="34095032" w14:textId="3BD26FF7" w:rsidR="00CC78B4" w:rsidRPr="00CC78B4" w:rsidRDefault="00CC78B4" w:rsidP="00ED7786">
      <w:pPr>
        <w:spacing w:after="0" w:line="36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The figures in Table 2 were extracted from publicly available institutional reports and publications. They were not produced through independent statistical calculations by the authors.</w:t>
      </w:r>
    </w:p>
    <w:p w14:paraId="64566F58" w14:textId="77777777" w:rsidR="00CC78B4" w:rsidRPr="00CC78B4" w:rsidRDefault="00CC78B4" w:rsidP="00ED7786">
      <w:pPr>
        <w:spacing w:after="0" w:line="36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The purpose of combining these indicators was analytical rather than statistical: to demonstrate the multiple dimensions through which ecosystem degradation and climate-related pressures intersect with livelihood disruption, displacement, resource competition and insecurity.</w:t>
      </w:r>
    </w:p>
    <w:p w14:paraId="3D287BF2" w14:textId="0DEA95FC" w:rsidR="00CC78B4" w:rsidRDefault="00CC78B4" w:rsidP="00ED7786">
      <w:pPr>
        <w:spacing w:after="0" w:line="36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Where numerical figures are reproduced or discussed in the article, the original institutional source is cited in both the manuscript and the reference list.</w:t>
      </w:r>
    </w:p>
    <w:p w14:paraId="690C9FF6" w14:textId="77777777" w:rsidR="00271C81" w:rsidRPr="00CC78B4" w:rsidRDefault="00271C81" w:rsidP="00ED7786">
      <w:pPr>
        <w:spacing w:after="0" w:line="240" w:lineRule="auto"/>
        <w:jc w:val="both"/>
        <w:rPr>
          <w:rFonts w:ascii="Times New Roman" w:eastAsia="Times New Roman" w:hAnsi="Times New Roman" w:cs="Times New Roman"/>
          <w:sz w:val="24"/>
          <w:szCs w:val="24"/>
        </w:rPr>
      </w:pPr>
    </w:p>
    <w:p w14:paraId="5527BF7D" w14:textId="77777777" w:rsidR="00CC78B4" w:rsidRPr="00CC78B4" w:rsidRDefault="00CC78B4" w:rsidP="00ED7786">
      <w:pPr>
        <w:spacing w:after="0" w:line="240" w:lineRule="auto"/>
        <w:jc w:val="both"/>
        <w:outlineLvl w:val="1"/>
        <w:rPr>
          <w:rFonts w:ascii="Times New Roman" w:eastAsia="Times New Roman" w:hAnsi="Times New Roman" w:cs="Times New Roman"/>
          <w:b/>
          <w:bCs/>
          <w:sz w:val="24"/>
          <w:szCs w:val="24"/>
        </w:rPr>
      </w:pPr>
      <w:r w:rsidRPr="00CC78B4">
        <w:rPr>
          <w:rFonts w:ascii="Times New Roman" w:eastAsia="Times New Roman" w:hAnsi="Times New Roman" w:cs="Times New Roman"/>
          <w:b/>
          <w:bCs/>
          <w:sz w:val="24"/>
          <w:szCs w:val="24"/>
        </w:rPr>
        <w:t>4. Documentation of Sources Used for Table 3</w:t>
      </w:r>
    </w:p>
    <w:p w14:paraId="70EA10AC" w14:textId="77777777" w:rsidR="00CC78B4" w:rsidRPr="00CC78B4" w:rsidRDefault="00CC78B4" w:rsidP="00ED7786">
      <w:pPr>
        <w:spacing w:after="0" w:line="240" w:lineRule="auto"/>
        <w:jc w:val="both"/>
        <w:outlineLvl w:val="2"/>
        <w:rPr>
          <w:rFonts w:ascii="Times New Roman" w:eastAsia="Times New Roman" w:hAnsi="Times New Roman" w:cs="Times New Roman"/>
          <w:b/>
          <w:bCs/>
          <w:sz w:val="24"/>
          <w:szCs w:val="24"/>
        </w:rPr>
      </w:pPr>
      <w:r w:rsidRPr="00CC78B4">
        <w:rPr>
          <w:rFonts w:ascii="Times New Roman" w:eastAsia="Times New Roman" w:hAnsi="Times New Roman" w:cs="Times New Roman"/>
          <w:b/>
          <w:bCs/>
          <w:sz w:val="24"/>
          <w:szCs w:val="24"/>
        </w:rPr>
        <w:t xml:space="preserve">Table 3: The </w:t>
      </w:r>
      <w:proofErr w:type="spellStart"/>
      <w:r w:rsidRPr="00CC78B4">
        <w:rPr>
          <w:rFonts w:ascii="Times New Roman" w:eastAsia="Times New Roman" w:hAnsi="Times New Roman" w:cs="Times New Roman"/>
          <w:b/>
          <w:bCs/>
          <w:sz w:val="24"/>
          <w:szCs w:val="24"/>
        </w:rPr>
        <w:t>Ekuri</w:t>
      </w:r>
      <w:proofErr w:type="spellEnd"/>
      <w:r w:rsidRPr="00CC78B4">
        <w:rPr>
          <w:rFonts w:ascii="Times New Roman" w:eastAsia="Times New Roman" w:hAnsi="Times New Roman" w:cs="Times New Roman"/>
          <w:b/>
          <w:bCs/>
          <w:sz w:val="24"/>
          <w:szCs w:val="24"/>
        </w:rPr>
        <w:t xml:space="preserve"> Initiative: Case Study Snapshot</w:t>
      </w:r>
    </w:p>
    <w:p w14:paraId="3D84AEE2" w14:textId="77777777" w:rsidR="0012654C" w:rsidRDefault="0012654C" w:rsidP="00ED7786">
      <w:pPr>
        <w:spacing w:after="0" w:line="240" w:lineRule="auto"/>
        <w:jc w:val="both"/>
        <w:rPr>
          <w:rFonts w:ascii="Times New Roman" w:eastAsia="Times New Roman" w:hAnsi="Times New Roman" w:cs="Times New Roman"/>
          <w:sz w:val="24"/>
          <w:szCs w:val="24"/>
        </w:rPr>
      </w:pPr>
    </w:p>
    <w:p w14:paraId="5E8E96C3" w14:textId="2635F07D" w:rsid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 xml:space="preserve">The </w:t>
      </w:r>
      <w:proofErr w:type="spellStart"/>
      <w:r w:rsidRPr="00CC78B4">
        <w:rPr>
          <w:rFonts w:ascii="Times New Roman" w:eastAsia="Times New Roman" w:hAnsi="Times New Roman" w:cs="Times New Roman"/>
          <w:sz w:val="24"/>
          <w:szCs w:val="24"/>
        </w:rPr>
        <w:t>Ekuri</w:t>
      </w:r>
      <w:proofErr w:type="spellEnd"/>
      <w:r w:rsidRPr="00CC78B4">
        <w:rPr>
          <w:rFonts w:ascii="Times New Roman" w:eastAsia="Times New Roman" w:hAnsi="Times New Roman" w:cs="Times New Roman"/>
          <w:sz w:val="24"/>
          <w:szCs w:val="24"/>
        </w:rPr>
        <w:t xml:space="preserve"> Initiative was selected as a documented Nigerian case illustrating the continuing relevance of community-based ecosystem governance and Indigenous Knowledge Systems.</w:t>
      </w:r>
    </w:p>
    <w:p w14:paraId="7E57C3D2" w14:textId="77777777" w:rsidR="0012654C" w:rsidRPr="00CC78B4" w:rsidRDefault="0012654C" w:rsidP="00ED7786">
      <w:pPr>
        <w:spacing w:after="0" w:line="240" w:lineRule="auto"/>
        <w:jc w:val="both"/>
        <w:rPr>
          <w:rFonts w:ascii="Times New Roman" w:eastAsia="Times New Roman" w:hAnsi="Times New Roman" w:cs="Times New Roman"/>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98"/>
        <w:gridCol w:w="4457"/>
        <w:gridCol w:w="2695"/>
      </w:tblGrid>
      <w:tr w:rsidR="00271C81" w:rsidRPr="00CC78B4" w14:paraId="65FEFBC1" w14:textId="77777777" w:rsidTr="00271C81">
        <w:trPr>
          <w:tblHeader/>
          <w:tblCellSpacing w:w="15" w:type="dxa"/>
        </w:trPr>
        <w:tc>
          <w:tcPr>
            <w:tcW w:w="0" w:type="auto"/>
            <w:tcBorders>
              <w:top w:val="single" w:sz="4" w:space="0" w:color="auto"/>
              <w:left w:val="single" w:sz="4" w:space="0" w:color="auto"/>
              <w:bottom w:val="single" w:sz="4" w:space="0" w:color="auto"/>
            </w:tcBorders>
            <w:vAlign w:val="center"/>
            <w:hideMark/>
          </w:tcPr>
          <w:p w14:paraId="1F3A8F7B" w14:textId="77777777" w:rsidR="00CC78B4" w:rsidRPr="00CC78B4" w:rsidRDefault="00CC78B4" w:rsidP="00ED7786">
            <w:pPr>
              <w:spacing w:after="0" w:line="240" w:lineRule="auto"/>
              <w:jc w:val="both"/>
              <w:rPr>
                <w:rFonts w:ascii="Times New Roman" w:eastAsia="Times New Roman" w:hAnsi="Times New Roman" w:cs="Times New Roman"/>
                <w:b/>
                <w:bCs/>
                <w:sz w:val="24"/>
                <w:szCs w:val="24"/>
              </w:rPr>
            </w:pPr>
            <w:r w:rsidRPr="00CC78B4">
              <w:rPr>
                <w:rFonts w:ascii="Times New Roman" w:eastAsia="Times New Roman" w:hAnsi="Times New Roman" w:cs="Times New Roman"/>
                <w:b/>
                <w:bCs/>
                <w:sz w:val="24"/>
                <w:szCs w:val="24"/>
              </w:rPr>
              <w:t>Attribute</w:t>
            </w:r>
          </w:p>
        </w:tc>
        <w:tc>
          <w:tcPr>
            <w:tcW w:w="0" w:type="auto"/>
            <w:tcBorders>
              <w:top w:val="single" w:sz="4" w:space="0" w:color="auto"/>
              <w:left w:val="single" w:sz="4" w:space="0" w:color="auto"/>
              <w:bottom w:val="single" w:sz="4" w:space="0" w:color="auto"/>
            </w:tcBorders>
            <w:vAlign w:val="center"/>
            <w:hideMark/>
          </w:tcPr>
          <w:p w14:paraId="249F36F4" w14:textId="77777777" w:rsidR="00CC78B4" w:rsidRPr="00CC78B4" w:rsidRDefault="00CC78B4" w:rsidP="00ED7786">
            <w:pPr>
              <w:spacing w:after="0" w:line="240" w:lineRule="auto"/>
              <w:jc w:val="both"/>
              <w:rPr>
                <w:rFonts w:ascii="Times New Roman" w:eastAsia="Times New Roman" w:hAnsi="Times New Roman" w:cs="Times New Roman"/>
                <w:b/>
                <w:bCs/>
                <w:sz w:val="24"/>
                <w:szCs w:val="24"/>
              </w:rPr>
            </w:pPr>
            <w:r w:rsidRPr="00CC78B4">
              <w:rPr>
                <w:rFonts w:ascii="Times New Roman" w:eastAsia="Times New Roman" w:hAnsi="Times New Roman" w:cs="Times New Roman"/>
                <w:b/>
                <w:bCs/>
                <w:sz w:val="24"/>
                <w:szCs w:val="24"/>
              </w:rPr>
              <w:t>Information Presented</w:t>
            </w:r>
          </w:p>
        </w:tc>
        <w:tc>
          <w:tcPr>
            <w:tcW w:w="0" w:type="auto"/>
            <w:tcBorders>
              <w:top w:val="single" w:sz="4" w:space="0" w:color="auto"/>
              <w:left w:val="single" w:sz="4" w:space="0" w:color="auto"/>
              <w:bottom w:val="single" w:sz="4" w:space="0" w:color="auto"/>
              <w:right w:val="single" w:sz="4" w:space="0" w:color="auto"/>
            </w:tcBorders>
            <w:vAlign w:val="center"/>
            <w:hideMark/>
          </w:tcPr>
          <w:p w14:paraId="0B0BFD3E" w14:textId="77777777" w:rsidR="00CC78B4" w:rsidRPr="00CC78B4" w:rsidRDefault="00CC78B4" w:rsidP="00ED7786">
            <w:pPr>
              <w:spacing w:after="0" w:line="240" w:lineRule="auto"/>
              <w:jc w:val="both"/>
              <w:rPr>
                <w:rFonts w:ascii="Times New Roman" w:eastAsia="Times New Roman" w:hAnsi="Times New Roman" w:cs="Times New Roman"/>
                <w:b/>
                <w:bCs/>
                <w:sz w:val="24"/>
                <w:szCs w:val="24"/>
              </w:rPr>
            </w:pPr>
            <w:r w:rsidRPr="00CC78B4">
              <w:rPr>
                <w:rFonts w:ascii="Times New Roman" w:eastAsia="Times New Roman" w:hAnsi="Times New Roman" w:cs="Times New Roman"/>
                <w:b/>
                <w:bCs/>
                <w:sz w:val="24"/>
                <w:szCs w:val="24"/>
              </w:rPr>
              <w:t>Principal Documentary Source</w:t>
            </w:r>
          </w:p>
        </w:tc>
      </w:tr>
      <w:tr w:rsidR="00271C81" w:rsidRPr="00CC78B4" w14:paraId="006905EB" w14:textId="77777777" w:rsidTr="00271C81">
        <w:trPr>
          <w:tblCellSpacing w:w="15" w:type="dxa"/>
        </w:trPr>
        <w:tc>
          <w:tcPr>
            <w:tcW w:w="0" w:type="auto"/>
            <w:tcBorders>
              <w:left w:val="single" w:sz="4" w:space="0" w:color="auto"/>
              <w:bottom w:val="single" w:sz="4" w:space="0" w:color="auto"/>
            </w:tcBorders>
            <w:vAlign w:val="center"/>
            <w:hideMark/>
          </w:tcPr>
          <w:p w14:paraId="020CF8DA" w14:textId="77777777"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Location</w:t>
            </w:r>
          </w:p>
        </w:tc>
        <w:tc>
          <w:tcPr>
            <w:tcW w:w="0" w:type="auto"/>
            <w:tcBorders>
              <w:left w:val="single" w:sz="4" w:space="0" w:color="auto"/>
              <w:bottom w:val="single" w:sz="4" w:space="0" w:color="auto"/>
            </w:tcBorders>
            <w:vAlign w:val="center"/>
            <w:hideMark/>
          </w:tcPr>
          <w:p w14:paraId="46B37F96" w14:textId="77777777" w:rsidR="00CC78B4" w:rsidRPr="00CC78B4" w:rsidRDefault="00CC78B4" w:rsidP="00ED7786">
            <w:pPr>
              <w:spacing w:after="0" w:line="240" w:lineRule="auto"/>
              <w:jc w:val="both"/>
              <w:rPr>
                <w:rFonts w:ascii="Times New Roman" w:eastAsia="Times New Roman" w:hAnsi="Times New Roman" w:cs="Times New Roman"/>
                <w:sz w:val="24"/>
                <w:szCs w:val="24"/>
              </w:rPr>
            </w:pPr>
            <w:proofErr w:type="spellStart"/>
            <w:r w:rsidRPr="00CC78B4">
              <w:rPr>
                <w:rFonts w:ascii="Times New Roman" w:eastAsia="Times New Roman" w:hAnsi="Times New Roman" w:cs="Times New Roman"/>
                <w:sz w:val="24"/>
                <w:szCs w:val="24"/>
              </w:rPr>
              <w:t>Akamkpa</w:t>
            </w:r>
            <w:proofErr w:type="spellEnd"/>
            <w:r w:rsidRPr="00CC78B4">
              <w:rPr>
                <w:rFonts w:ascii="Times New Roman" w:eastAsia="Times New Roman" w:hAnsi="Times New Roman" w:cs="Times New Roman"/>
                <w:sz w:val="24"/>
                <w:szCs w:val="24"/>
              </w:rPr>
              <w:t xml:space="preserve"> Local Government Area, Cross River State, Nigeria</w:t>
            </w:r>
          </w:p>
        </w:tc>
        <w:tc>
          <w:tcPr>
            <w:tcW w:w="0" w:type="auto"/>
            <w:tcBorders>
              <w:left w:val="single" w:sz="4" w:space="0" w:color="auto"/>
              <w:bottom w:val="single" w:sz="4" w:space="0" w:color="auto"/>
              <w:right w:val="single" w:sz="4" w:space="0" w:color="auto"/>
            </w:tcBorders>
            <w:vAlign w:val="center"/>
            <w:hideMark/>
          </w:tcPr>
          <w:p w14:paraId="6F3286C4" w14:textId="760EB11F"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United Nations Development Programme</w:t>
            </w:r>
            <w:r w:rsidR="00271C81">
              <w:rPr>
                <w:rFonts w:ascii="Times New Roman" w:eastAsia="Times New Roman" w:hAnsi="Times New Roman" w:cs="Times New Roman"/>
                <w:sz w:val="24"/>
                <w:szCs w:val="24"/>
              </w:rPr>
              <w:t xml:space="preserve"> (UNDP)</w:t>
            </w:r>
          </w:p>
        </w:tc>
      </w:tr>
      <w:tr w:rsidR="00271C81" w:rsidRPr="00CC78B4" w14:paraId="4A1D2F14" w14:textId="77777777" w:rsidTr="00271C81">
        <w:trPr>
          <w:tblCellSpacing w:w="15" w:type="dxa"/>
        </w:trPr>
        <w:tc>
          <w:tcPr>
            <w:tcW w:w="0" w:type="auto"/>
            <w:tcBorders>
              <w:left w:val="single" w:sz="4" w:space="0" w:color="auto"/>
              <w:bottom w:val="single" w:sz="4" w:space="0" w:color="auto"/>
            </w:tcBorders>
            <w:vAlign w:val="center"/>
            <w:hideMark/>
          </w:tcPr>
          <w:p w14:paraId="5814AD76" w14:textId="77777777"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Community population</w:t>
            </w:r>
          </w:p>
        </w:tc>
        <w:tc>
          <w:tcPr>
            <w:tcW w:w="0" w:type="auto"/>
            <w:tcBorders>
              <w:left w:val="single" w:sz="4" w:space="0" w:color="auto"/>
              <w:bottom w:val="single" w:sz="4" w:space="0" w:color="auto"/>
            </w:tcBorders>
            <w:vAlign w:val="center"/>
            <w:hideMark/>
          </w:tcPr>
          <w:p w14:paraId="2C4F5E56" w14:textId="77777777"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 xml:space="preserve">Approximately 6,200 residents of Old and New </w:t>
            </w:r>
            <w:proofErr w:type="spellStart"/>
            <w:r w:rsidRPr="00CC78B4">
              <w:rPr>
                <w:rFonts w:ascii="Times New Roman" w:eastAsia="Times New Roman" w:hAnsi="Times New Roman" w:cs="Times New Roman"/>
                <w:sz w:val="24"/>
                <w:szCs w:val="24"/>
              </w:rPr>
              <w:t>Ekuri</w:t>
            </w:r>
            <w:proofErr w:type="spellEnd"/>
          </w:p>
        </w:tc>
        <w:tc>
          <w:tcPr>
            <w:tcW w:w="0" w:type="auto"/>
            <w:tcBorders>
              <w:left w:val="single" w:sz="4" w:space="0" w:color="auto"/>
              <w:bottom w:val="single" w:sz="4" w:space="0" w:color="auto"/>
              <w:right w:val="single" w:sz="4" w:space="0" w:color="auto"/>
            </w:tcBorders>
            <w:vAlign w:val="center"/>
            <w:hideMark/>
          </w:tcPr>
          <w:p w14:paraId="7BE2E2A1" w14:textId="6659DE20"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United Nations Development Programme</w:t>
            </w:r>
            <w:r w:rsidR="00271C81">
              <w:rPr>
                <w:rFonts w:ascii="Times New Roman" w:eastAsia="Times New Roman" w:hAnsi="Times New Roman" w:cs="Times New Roman"/>
                <w:sz w:val="24"/>
                <w:szCs w:val="24"/>
              </w:rPr>
              <w:t xml:space="preserve"> </w:t>
            </w:r>
            <w:r w:rsidR="00271C81">
              <w:rPr>
                <w:rFonts w:ascii="Times New Roman" w:eastAsia="Times New Roman" w:hAnsi="Times New Roman" w:cs="Times New Roman"/>
                <w:sz w:val="24"/>
                <w:szCs w:val="24"/>
              </w:rPr>
              <w:t>(UNDP)</w:t>
            </w:r>
          </w:p>
        </w:tc>
      </w:tr>
      <w:tr w:rsidR="00271C81" w:rsidRPr="00CC78B4" w14:paraId="280C0A02" w14:textId="77777777" w:rsidTr="00271C81">
        <w:trPr>
          <w:tblCellSpacing w:w="15" w:type="dxa"/>
        </w:trPr>
        <w:tc>
          <w:tcPr>
            <w:tcW w:w="0" w:type="auto"/>
            <w:tcBorders>
              <w:left w:val="single" w:sz="4" w:space="0" w:color="auto"/>
              <w:bottom w:val="single" w:sz="4" w:space="0" w:color="auto"/>
            </w:tcBorders>
            <w:vAlign w:val="center"/>
            <w:hideMark/>
          </w:tcPr>
          <w:p w14:paraId="5CA3DE04" w14:textId="77777777"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Governance mechanism</w:t>
            </w:r>
          </w:p>
        </w:tc>
        <w:tc>
          <w:tcPr>
            <w:tcW w:w="0" w:type="auto"/>
            <w:tcBorders>
              <w:left w:val="single" w:sz="4" w:space="0" w:color="auto"/>
              <w:bottom w:val="single" w:sz="4" w:space="0" w:color="auto"/>
            </w:tcBorders>
            <w:vAlign w:val="center"/>
            <w:hideMark/>
          </w:tcPr>
          <w:p w14:paraId="158931CC" w14:textId="77777777"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Community decision in 1992 to reject a proposed logging road and establish local forest management</w:t>
            </w:r>
          </w:p>
        </w:tc>
        <w:tc>
          <w:tcPr>
            <w:tcW w:w="0" w:type="auto"/>
            <w:tcBorders>
              <w:left w:val="single" w:sz="4" w:space="0" w:color="auto"/>
              <w:bottom w:val="single" w:sz="4" w:space="0" w:color="auto"/>
              <w:right w:val="single" w:sz="4" w:space="0" w:color="auto"/>
            </w:tcBorders>
            <w:vAlign w:val="center"/>
            <w:hideMark/>
          </w:tcPr>
          <w:p w14:paraId="4B4819A1" w14:textId="66FF1FF4"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United Nations Development Programme</w:t>
            </w:r>
            <w:r w:rsidR="00271C81">
              <w:rPr>
                <w:rFonts w:ascii="Times New Roman" w:eastAsia="Times New Roman" w:hAnsi="Times New Roman" w:cs="Times New Roman"/>
                <w:sz w:val="24"/>
                <w:szCs w:val="24"/>
              </w:rPr>
              <w:t xml:space="preserve"> </w:t>
            </w:r>
            <w:r w:rsidR="00271C81">
              <w:rPr>
                <w:rFonts w:ascii="Times New Roman" w:eastAsia="Times New Roman" w:hAnsi="Times New Roman" w:cs="Times New Roman"/>
                <w:sz w:val="24"/>
                <w:szCs w:val="24"/>
              </w:rPr>
              <w:t>(UNDP)</w:t>
            </w:r>
          </w:p>
        </w:tc>
      </w:tr>
      <w:tr w:rsidR="00271C81" w:rsidRPr="00CC78B4" w14:paraId="4A41A2D1" w14:textId="77777777" w:rsidTr="00271C81">
        <w:trPr>
          <w:tblCellSpacing w:w="15" w:type="dxa"/>
        </w:trPr>
        <w:tc>
          <w:tcPr>
            <w:tcW w:w="0" w:type="auto"/>
            <w:tcBorders>
              <w:left w:val="single" w:sz="4" w:space="0" w:color="auto"/>
              <w:bottom w:val="single" w:sz="4" w:space="0" w:color="auto"/>
            </w:tcBorders>
            <w:vAlign w:val="center"/>
            <w:hideMark/>
          </w:tcPr>
          <w:p w14:paraId="70E8C45E" w14:textId="77777777"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lastRenderedPageBreak/>
              <w:t>Area under community management</w:t>
            </w:r>
          </w:p>
        </w:tc>
        <w:tc>
          <w:tcPr>
            <w:tcW w:w="0" w:type="auto"/>
            <w:tcBorders>
              <w:left w:val="single" w:sz="4" w:space="0" w:color="auto"/>
              <w:bottom w:val="single" w:sz="4" w:space="0" w:color="auto"/>
            </w:tcBorders>
            <w:vAlign w:val="center"/>
            <w:hideMark/>
          </w:tcPr>
          <w:p w14:paraId="2CC23B97" w14:textId="77777777"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Approximately 33,600 hectares of contiguous rainforest</w:t>
            </w:r>
          </w:p>
        </w:tc>
        <w:tc>
          <w:tcPr>
            <w:tcW w:w="0" w:type="auto"/>
            <w:tcBorders>
              <w:left w:val="single" w:sz="4" w:space="0" w:color="auto"/>
              <w:bottom w:val="single" w:sz="4" w:space="0" w:color="auto"/>
              <w:right w:val="single" w:sz="4" w:space="0" w:color="auto"/>
            </w:tcBorders>
            <w:vAlign w:val="center"/>
            <w:hideMark/>
          </w:tcPr>
          <w:p w14:paraId="3274E9FF" w14:textId="2B461641"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United Nations Development Programme</w:t>
            </w:r>
            <w:r w:rsidR="00271C81">
              <w:rPr>
                <w:rFonts w:ascii="Times New Roman" w:eastAsia="Times New Roman" w:hAnsi="Times New Roman" w:cs="Times New Roman"/>
                <w:sz w:val="24"/>
                <w:szCs w:val="24"/>
              </w:rPr>
              <w:t xml:space="preserve"> </w:t>
            </w:r>
            <w:r w:rsidR="00271C81">
              <w:rPr>
                <w:rFonts w:ascii="Times New Roman" w:eastAsia="Times New Roman" w:hAnsi="Times New Roman" w:cs="Times New Roman"/>
                <w:sz w:val="24"/>
                <w:szCs w:val="24"/>
              </w:rPr>
              <w:t>(UNDP)</w:t>
            </w:r>
          </w:p>
        </w:tc>
      </w:tr>
      <w:tr w:rsidR="00271C81" w:rsidRPr="00CC78B4" w14:paraId="19CC126C" w14:textId="77777777" w:rsidTr="00271C81">
        <w:trPr>
          <w:tblCellSpacing w:w="15" w:type="dxa"/>
        </w:trPr>
        <w:tc>
          <w:tcPr>
            <w:tcW w:w="0" w:type="auto"/>
            <w:tcBorders>
              <w:left w:val="single" w:sz="4" w:space="0" w:color="auto"/>
              <w:bottom w:val="single" w:sz="4" w:space="0" w:color="auto"/>
            </w:tcBorders>
            <w:vAlign w:val="center"/>
            <w:hideMark/>
          </w:tcPr>
          <w:p w14:paraId="53101B32" w14:textId="77777777"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International recognition</w:t>
            </w:r>
          </w:p>
        </w:tc>
        <w:tc>
          <w:tcPr>
            <w:tcW w:w="0" w:type="auto"/>
            <w:tcBorders>
              <w:left w:val="single" w:sz="4" w:space="0" w:color="auto"/>
              <w:bottom w:val="single" w:sz="4" w:space="0" w:color="auto"/>
            </w:tcBorders>
            <w:vAlign w:val="center"/>
            <w:hideMark/>
          </w:tcPr>
          <w:p w14:paraId="2BF01CE4" w14:textId="77777777"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Recipient of the UNDP Equator Prize in 2004; involvement in community-based conservation initiatives</w:t>
            </w:r>
          </w:p>
        </w:tc>
        <w:tc>
          <w:tcPr>
            <w:tcW w:w="0" w:type="auto"/>
            <w:tcBorders>
              <w:left w:val="single" w:sz="4" w:space="0" w:color="auto"/>
              <w:bottom w:val="single" w:sz="4" w:space="0" w:color="auto"/>
              <w:right w:val="single" w:sz="4" w:space="0" w:color="auto"/>
            </w:tcBorders>
            <w:vAlign w:val="center"/>
            <w:hideMark/>
          </w:tcPr>
          <w:p w14:paraId="3591147F" w14:textId="6B9E3BDE"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United Nations Development Programme</w:t>
            </w:r>
            <w:r w:rsidR="00271C81">
              <w:rPr>
                <w:rFonts w:ascii="Times New Roman" w:eastAsia="Times New Roman" w:hAnsi="Times New Roman" w:cs="Times New Roman"/>
                <w:sz w:val="24"/>
                <w:szCs w:val="24"/>
              </w:rPr>
              <w:t xml:space="preserve"> </w:t>
            </w:r>
            <w:r w:rsidR="00271C81">
              <w:rPr>
                <w:rFonts w:ascii="Times New Roman" w:eastAsia="Times New Roman" w:hAnsi="Times New Roman" w:cs="Times New Roman"/>
                <w:sz w:val="24"/>
                <w:szCs w:val="24"/>
              </w:rPr>
              <w:t>(UNDP)</w:t>
            </w:r>
          </w:p>
        </w:tc>
      </w:tr>
      <w:tr w:rsidR="00271C81" w:rsidRPr="00CC78B4" w14:paraId="3D8B527E" w14:textId="77777777" w:rsidTr="00271C81">
        <w:trPr>
          <w:tblCellSpacing w:w="15" w:type="dxa"/>
        </w:trPr>
        <w:tc>
          <w:tcPr>
            <w:tcW w:w="0" w:type="auto"/>
            <w:tcBorders>
              <w:left w:val="single" w:sz="4" w:space="0" w:color="auto"/>
              <w:bottom w:val="single" w:sz="4" w:space="0" w:color="auto"/>
            </w:tcBorders>
            <w:vAlign w:val="center"/>
            <w:hideMark/>
          </w:tcPr>
          <w:p w14:paraId="44EB7B3F" w14:textId="77777777"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Conservation status</w:t>
            </w:r>
          </w:p>
        </w:tc>
        <w:tc>
          <w:tcPr>
            <w:tcW w:w="0" w:type="auto"/>
            <w:tcBorders>
              <w:left w:val="single" w:sz="4" w:space="0" w:color="auto"/>
              <w:bottom w:val="single" w:sz="4" w:space="0" w:color="auto"/>
            </w:tcBorders>
            <w:vAlign w:val="center"/>
            <w:hideMark/>
          </w:tcPr>
          <w:p w14:paraId="18E3FAB4" w14:textId="77777777"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Recognition within broader Indigenous and Community Conserved Area frameworks</w:t>
            </w:r>
          </w:p>
        </w:tc>
        <w:tc>
          <w:tcPr>
            <w:tcW w:w="0" w:type="auto"/>
            <w:tcBorders>
              <w:left w:val="single" w:sz="4" w:space="0" w:color="auto"/>
              <w:bottom w:val="single" w:sz="4" w:space="0" w:color="auto"/>
              <w:right w:val="single" w:sz="4" w:space="0" w:color="auto"/>
            </w:tcBorders>
            <w:vAlign w:val="center"/>
            <w:hideMark/>
          </w:tcPr>
          <w:p w14:paraId="7D15848F" w14:textId="306B9DF9"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ICCA Registry documentation</w:t>
            </w:r>
            <w:r w:rsidR="00271C81">
              <w:rPr>
                <w:rFonts w:ascii="Times New Roman" w:eastAsia="Times New Roman" w:hAnsi="Times New Roman" w:cs="Times New Roman"/>
                <w:sz w:val="24"/>
                <w:szCs w:val="24"/>
              </w:rPr>
              <w:t xml:space="preserve"> </w:t>
            </w:r>
          </w:p>
        </w:tc>
      </w:tr>
      <w:tr w:rsidR="00271C81" w:rsidRPr="00CC78B4" w14:paraId="1145EDD4" w14:textId="77777777" w:rsidTr="00271C81">
        <w:trPr>
          <w:tblCellSpacing w:w="15" w:type="dxa"/>
        </w:trPr>
        <w:tc>
          <w:tcPr>
            <w:tcW w:w="0" w:type="auto"/>
            <w:tcBorders>
              <w:left w:val="single" w:sz="4" w:space="0" w:color="auto"/>
              <w:bottom w:val="single" w:sz="4" w:space="0" w:color="auto"/>
            </w:tcBorders>
            <w:vAlign w:val="center"/>
            <w:hideMark/>
          </w:tcPr>
          <w:p w14:paraId="24E87F05" w14:textId="77777777"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Contemporary pressure</w:t>
            </w:r>
          </w:p>
        </w:tc>
        <w:tc>
          <w:tcPr>
            <w:tcW w:w="0" w:type="auto"/>
            <w:tcBorders>
              <w:left w:val="single" w:sz="4" w:space="0" w:color="auto"/>
              <w:bottom w:val="single" w:sz="4" w:space="0" w:color="auto"/>
            </w:tcBorders>
            <w:vAlign w:val="center"/>
            <w:hideMark/>
          </w:tcPr>
          <w:p w14:paraId="065DB517" w14:textId="77777777"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Reports of unauthorised commercial logging activities and appeals by civil-society organisations</w:t>
            </w:r>
          </w:p>
        </w:tc>
        <w:tc>
          <w:tcPr>
            <w:tcW w:w="0" w:type="auto"/>
            <w:tcBorders>
              <w:left w:val="single" w:sz="4" w:space="0" w:color="auto"/>
              <w:bottom w:val="single" w:sz="4" w:space="0" w:color="auto"/>
              <w:right w:val="single" w:sz="4" w:space="0" w:color="auto"/>
            </w:tcBorders>
            <w:vAlign w:val="center"/>
            <w:hideMark/>
          </w:tcPr>
          <w:p w14:paraId="53F8F7C4" w14:textId="77777777"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i/>
                <w:iCs/>
                <w:sz w:val="24"/>
                <w:szCs w:val="24"/>
              </w:rPr>
              <w:t>Tribune Online Nigeria</w:t>
            </w:r>
          </w:p>
        </w:tc>
      </w:tr>
    </w:tbl>
    <w:p w14:paraId="10E4D048" w14:textId="77777777" w:rsidR="0012654C" w:rsidRDefault="0012654C" w:rsidP="00ED7786">
      <w:pPr>
        <w:spacing w:after="0" w:line="240" w:lineRule="auto"/>
        <w:jc w:val="both"/>
        <w:outlineLvl w:val="2"/>
        <w:rPr>
          <w:rFonts w:ascii="Times New Roman" w:eastAsia="Times New Roman" w:hAnsi="Times New Roman" w:cs="Times New Roman"/>
          <w:b/>
          <w:bCs/>
          <w:sz w:val="24"/>
          <w:szCs w:val="24"/>
        </w:rPr>
      </w:pPr>
    </w:p>
    <w:p w14:paraId="42C18667" w14:textId="08005C62" w:rsidR="00CC78B4" w:rsidRPr="00CC78B4" w:rsidRDefault="00CC78B4" w:rsidP="00ED7786">
      <w:pPr>
        <w:spacing w:after="0" w:line="240" w:lineRule="auto"/>
        <w:jc w:val="both"/>
        <w:outlineLvl w:val="2"/>
        <w:rPr>
          <w:rFonts w:ascii="Times New Roman" w:eastAsia="Times New Roman" w:hAnsi="Times New Roman" w:cs="Times New Roman"/>
          <w:b/>
          <w:bCs/>
          <w:sz w:val="24"/>
          <w:szCs w:val="24"/>
        </w:rPr>
      </w:pPr>
      <w:r w:rsidRPr="00CC78B4">
        <w:rPr>
          <w:rFonts w:ascii="Times New Roman" w:eastAsia="Times New Roman" w:hAnsi="Times New Roman" w:cs="Times New Roman"/>
          <w:b/>
          <w:bCs/>
          <w:sz w:val="24"/>
          <w:szCs w:val="24"/>
        </w:rPr>
        <w:t>Source Documentation</w:t>
      </w:r>
    </w:p>
    <w:p w14:paraId="4EAF85D4" w14:textId="77777777" w:rsidR="0012654C" w:rsidRDefault="0012654C" w:rsidP="00ED7786">
      <w:pPr>
        <w:spacing w:after="0" w:line="240" w:lineRule="auto"/>
        <w:jc w:val="both"/>
        <w:rPr>
          <w:rFonts w:ascii="Times New Roman" w:eastAsia="Times New Roman" w:hAnsi="Times New Roman" w:cs="Times New Roman"/>
          <w:sz w:val="24"/>
          <w:szCs w:val="24"/>
        </w:rPr>
      </w:pPr>
    </w:p>
    <w:p w14:paraId="154DF397" w14:textId="351701DF"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 xml:space="preserve">The </w:t>
      </w:r>
      <w:proofErr w:type="spellStart"/>
      <w:r w:rsidRPr="00CC78B4">
        <w:rPr>
          <w:rFonts w:ascii="Times New Roman" w:eastAsia="Times New Roman" w:hAnsi="Times New Roman" w:cs="Times New Roman"/>
          <w:sz w:val="24"/>
          <w:szCs w:val="24"/>
        </w:rPr>
        <w:t>Ekuri</w:t>
      </w:r>
      <w:proofErr w:type="spellEnd"/>
      <w:r w:rsidRPr="00CC78B4">
        <w:rPr>
          <w:rFonts w:ascii="Times New Roman" w:eastAsia="Times New Roman" w:hAnsi="Times New Roman" w:cs="Times New Roman"/>
          <w:sz w:val="24"/>
          <w:szCs w:val="24"/>
        </w:rPr>
        <w:t xml:space="preserve"> case was not based on original fieldwork conducted by the authors. It was analysed as a documented case study using information from institutional and published sources.</w:t>
      </w:r>
    </w:p>
    <w:p w14:paraId="6A8696FC" w14:textId="77777777"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The case was included because it provides an identifiable example of a Nigerian community where customary institutions and collective decision-making have been connected to long-term forest conservation. The documentary evidence was used to assess both the opportunities and limitations of integrating community-based ecological knowledge into contemporary environmental governance.</w:t>
      </w:r>
    </w:p>
    <w:p w14:paraId="485B250D" w14:textId="534E1483" w:rsidR="00CC78B4" w:rsidRDefault="00CC78B4" w:rsidP="00ED7786">
      <w:pPr>
        <w:spacing w:after="0" w:line="240" w:lineRule="auto"/>
        <w:jc w:val="both"/>
        <w:rPr>
          <w:rFonts w:ascii="Times New Roman" w:eastAsia="Times New Roman" w:hAnsi="Times New Roman" w:cs="Times New Roman"/>
          <w:sz w:val="24"/>
          <w:szCs w:val="24"/>
        </w:rPr>
      </w:pPr>
    </w:p>
    <w:p w14:paraId="7575CE56" w14:textId="77777777" w:rsidR="00B249B4" w:rsidRPr="00CC78B4" w:rsidRDefault="00B249B4" w:rsidP="00ED7786">
      <w:pPr>
        <w:spacing w:after="0" w:line="240" w:lineRule="auto"/>
        <w:jc w:val="both"/>
        <w:rPr>
          <w:rFonts w:ascii="Times New Roman" w:eastAsia="Times New Roman" w:hAnsi="Times New Roman" w:cs="Times New Roman"/>
          <w:sz w:val="24"/>
          <w:szCs w:val="24"/>
        </w:rPr>
      </w:pPr>
    </w:p>
    <w:p w14:paraId="6BA945F4" w14:textId="77777777" w:rsidR="00CC78B4" w:rsidRPr="00CC78B4" w:rsidRDefault="00CC78B4" w:rsidP="00ED7786">
      <w:pPr>
        <w:spacing w:after="0" w:line="240" w:lineRule="auto"/>
        <w:jc w:val="both"/>
        <w:outlineLvl w:val="1"/>
        <w:rPr>
          <w:rFonts w:ascii="Times New Roman" w:eastAsia="Times New Roman" w:hAnsi="Times New Roman" w:cs="Times New Roman"/>
          <w:b/>
          <w:bCs/>
          <w:sz w:val="24"/>
          <w:szCs w:val="24"/>
        </w:rPr>
      </w:pPr>
      <w:r w:rsidRPr="00CC78B4">
        <w:rPr>
          <w:rFonts w:ascii="Times New Roman" w:eastAsia="Times New Roman" w:hAnsi="Times New Roman" w:cs="Times New Roman"/>
          <w:b/>
          <w:bCs/>
          <w:sz w:val="24"/>
          <w:szCs w:val="24"/>
        </w:rPr>
        <w:t>5. Documentary Materials Used in the Analysis</w:t>
      </w:r>
    </w:p>
    <w:p w14:paraId="30FFDFEE" w14:textId="77777777" w:rsidR="0012654C" w:rsidRDefault="0012654C" w:rsidP="00ED7786">
      <w:pPr>
        <w:spacing w:after="0" w:line="240" w:lineRule="auto"/>
        <w:jc w:val="both"/>
        <w:rPr>
          <w:rFonts w:ascii="Times New Roman" w:eastAsia="Times New Roman" w:hAnsi="Times New Roman" w:cs="Times New Roman"/>
          <w:sz w:val="24"/>
          <w:szCs w:val="24"/>
        </w:rPr>
      </w:pPr>
    </w:p>
    <w:p w14:paraId="57ED8080" w14:textId="3EADEA3C"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The broader analysis in the article relied on the following categories of materials:</w:t>
      </w:r>
    </w:p>
    <w:p w14:paraId="4D6786D7" w14:textId="77777777" w:rsidR="00CC78B4" w:rsidRPr="00CC78B4" w:rsidRDefault="00CC78B4" w:rsidP="00ED7786">
      <w:pPr>
        <w:spacing w:after="0" w:line="240" w:lineRule="auto"/>
        <w:jc w:val="both"/>
        <w:outlineLvl w:val="2"/>
        <w:rPr>
          <w:rFonts w:ascii="Times New Roman" w:eastAsia="Times New Roman" w:hAnsi="Times New Roman" w:cs="Times New Roman"/>
          <w:b/>
          <w:bCs/>
          <w:sz w:val="24"/>
          <w:szCs w:val="24"/>
        </w:rPr>
      </w:pPr>
      <w:r w:rsidRPr="00CC78B4">
        <w:rPr>
          <w:rFonts w:ascii="Times New Roman" w:eastAsia="Times New Roman" w:hAnsi="Times New Roman" w:cs="Times New Roman"/>
          <w:b/>
          <w:bCs/>
          <w:sz w:val="24"/>
          <w:szCs w:val="24"/>
        </w:rPr>
        <w:t>International and Intergovernmental Reports</w:t>
      </w:r>
    </w:p>
    <w:p w14:paraId="17ACC5DE" w14:textId="77777777" w:rsidR="00CC78B4" w:rsidRPr="00CC78B4" w:rsidRDefault="00CC78B4" w:rsidP="00ED7786">
      <w:pPr>
        <w:numPr>
          <w:ilvl w:val="0"/>
          <w:numId w:val="1"/>
        </w:num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Intergovernmental Panel on Climate Change (IPCC)</w:t>
      </w:r>
    </w:p>
    <w:p w14:paraId="5A2F8E5E" w14:textId="77777777" w:rsidR="00CC78B4" w:rsidRPr="00CC78B4" w:rsidRDefault="00CC78B4" w:rsidP="00ED7786">
      <w:pPr>
        <w:numPr>
          <w:ilvl w:val="0"/>
          <w:numId w:val="1"/>
        </w:num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United Nations Environment Programme (UNEP)</w:t>
      </w:r>
    </w:p>
    <w:p w14:paraId="6D75993E" w14:textId="77777777" w:rsidR="00CC78B4" w:rsidRPr="00CC78B4" w:rsidRDefault="00CC78B4" w:rsidP="00ED7786">
      <w:pPr>
        <w:numPr>
          <w:ilvl w:val="0"/>
          <w:numId w:val="1"/>
        </w:num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United Nations Convention to Combat Desertification (UNCCD)</w:t>
      </w:r>
    </w:p>
    <w:p w14:paraId="5384CB58" w14:textId="77777777" w:rsidR="00CC78B4" w:rsidRPr="00CC78B4" w:rsidRDefault="00CC78B4" w:rsidP="00ED7786">
      <w:pPr>
        <w:numPr>
          <w:ilvl w:val="0"/>
          <w:numId w:val="1"/>
        </w:num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United Nations Development Programme (UNDP)</w:t>
      </w:r>
    </w:p>
    <w:p w14:paraId="2879D77F" w14:textId="77777777" w:rsidR="00CC78B4" w:rsidRPr="00CC78B4" w:rsidRDefault="00CC78B4" w:rsidP="00ED7786">
      <w:pPr>
        <w:numPr>
          <w:ilvl w:val="0"/>
          <w:numId w:val="1"/>
        </w:num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United Nations Office for the Coordination of Humanitarian Affairs (UNOCHA)</w:t>
      </w:r>
    </w:p>
    <w:p w14:paraId="654CE585" w14:textId="77777777" w:rsidR="00CC78B4" w:rsidRPr="00CC78B4" w:rsidRDefault="00CC78B4" w:rsidP="00ED7786">
      <w:pPr>
        <w:numPr>
          <w:ilvl w:val="0"/>
          <w:numId w:val="1"/>
        </w:num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UNESCO</w:t>
      </w:r>
    </w:p>
    <w:p w14:paraId="520E1CF8" w14:textId="77777777" w:rsidR="00CC78B4" w:rsidRPr="00CC78B4" w:rsidRDefault="00CC78B4" w:rsidP="00ED7786">
      <w:pPr>
        <w:numPr>
          <w:ilvl w:val="0"/>
          <w:numId w:val="1"/>
        </w:num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Intergovernmental Science-Policy Platform on Biodiversity and Ecosystem Services (IPBES)</w:t>
      </w:r>
    </w:p>
    <w:p w14:paraId="027A4764" w14:textId="77777777" w:rsidR="00CC78B4" w:rsidRPr="00CC78B4" w:rsidRDefault="00CC78B4" w:rsidP="00ED7786">
      <w:pPr>
        <w:spacing w:after="0" w:line="240" w:lineRule="auto"/>
        <w:jc w:val="both"/>
        <w:outlineLvl w:val="2"/>
        <w:rPr>
          <w:rFonts w:ascii="Times New Roman" w:eastAsia="Times New Roman" w:hAnsi="Times New Roman" w:cs="Times New Roman"/>
          <w:b/>
          <w:bCs/>
          <w:sz w:val="24"/>
          <w:szCs w:val="24"/>
        </w:rPr>
      </w:pPr>
      <w:r w:rsidRPr="00CC78B4">
        <w:rPr>
          <w:rFonts w:ascii="Times New Roman" w:eastAsia="Times New Roman" w:hAnsi="Times New Roman" w:cs="Times New Roman"/>
          <w:b/>
          <w:bCs/>
          <w:sz w:val="24"/>
          <w:szCs w:val="24"/>
        </w:rPr>
        <w:t>Nigerian Policy and Institutional Documents</w:t>
      </w:r>
    </w:p>
    <w:p w14:paraId="28116D05" w14:textId="77777777" w:rsidR="00CC78B4" w:rsidRPr="00CC78B4" w:rsidRDefault="00CC78B4" w:rsidP="00ED7786">
      <w:pPr>
        <w:numPr>
          <w:ilvl w:val="0"/>
          <w:numId w:val="2"/>
        </w:num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Federal Ministry of Environment, Nigeria</w:t>
      </w:r>
    </w:p>
    <w:p w14:paraId="3F901A4E" w14:textId="77777777" w:rsidR="00CC78B4" w:rsidRPr="00CC78B4" w:rsidRDefault="00CC78B4" w:rsidP="00ED7786">
      <w:pPr>
        <w:numPr>
          <w:ilvl w:val="0"/>
          <w:numId w:val="2"/>
        </w:num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National Emergency Management Agency (NEMA)</w:t>
      </w:r>
    </w:p>
    <w:p w14:paraId="164E09BD" w14:textId="77777777" w:rsidR="00CC78B4" w:rsidRPr="00CC78B4" w:rsidRDefault="00CC78B4" w:rsidP="00ED7786">
      <w:pPr>
        <w:spacing w:after="0" w:line="240" w:lineRule="auto"/>
        <w:jc w:val="both"/>
        <w:outlineLvl w:val="2"/>
        <w:rPr>
          <w:rFonts w:ascii="Times New Roman" w:eastAsia="Times New Roman" w:hAnsi="Times New Roman" w:cs="Times New Roman"/>
          <w:b/>
          <w:bCs/>
          <w:sz w:val="24"/>
          <w:szCs w:val="24"/>
        </w:rPr>
      </w:pPr>
      <w:r w:rsidRPr="00CC78B4">
        <w:rPr>
          <w:rFonts w:ascii="Times New Roman" w:eastAsia="Times New Roman" w:hAnsi="Times New Roman" w:cs="Times New Roman"/>
          <w:b/>
          <w:bCs/>
          <w:sz w:val="24"/>
          <w:szCs w:val="24"/>
        </w:rPr>
        <w:t>Conflict and Security Documentation</w:t>
      </w:r>
    </w:p>
    <w:p w14:paraId="4AD8649C" w14:textId="77777777" w:rsidR="00CC78B4" w:rsidRPr="00CC78B4" w:rsidRDefault="00CC78B4" w:rsidP="00ED7786">
      <w:pPr>
        <w:numPr>
          <w:ilvl w:val="0"/>
          <w:numId w:val="3"/>
        </w:num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International Crisis Group reports on farmer-herder conflict and environmental insecurity in Nigeria</w:t>
      </w:r>
    </w:p>
    <w:p w14:paraId="6A98A36A" w14:textId="77777777" w:rsidR="00CC78B4" w:rsidRPr="00CC78B4" w:rsidRDefault="00CC78B4" w:rsidP="00ED7786">
      <w:pPr>
        <w:spacing w:after="0" w:line="240" w:lineRule="auto"/>
        <w:jc w:val="both"/>
        <w:outlineLvl w:val="2"/>
        <w:rPr>
          <w:rFonts w:ascii="Times New Roman" w:eastAsia="Times New Roman" w:hAnsi="Times New Roman" w:cs="Times New Roman"/>
          <w:b/>
          <w:bCs/>
          <w:sz w:val="24"/>
          <w:szCs w:val="24"/>
        </w:rPr>
      </w:pPr>
      <w:r w:rsidRPr="00CC78B4">
        <w:rPr>
          <w:rFonts w:ascii="Times New Roman" w:eastAsia="Times New Roman" w:hAnsi="Times New Roman" w:cs="Times New Roman"/>
          <w:b/>
          <w:bCs/>
          <w:sz w:val="24"/>
          <w:szCs w:val="24"/>
        </w:rPr>
        <w:t>Scholarly Literature</w:t>
      </w:r>
    </w:p>
    <w:p w14:paraId="7CC2052D" w14:textId="77777777"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The conceptual and historical analysis drew on published books and journal literature addressing:</w:t>
      </w:r>
    </w:p>
    <w:p w14:paraId="3A4D903A" w14:textId="77777777" w:rsidR="00CC78B4" w:rsidRPr="00CC78B4" w:rsidRDefault="00CC78B4" w:rsidP="00ED7786">
      <w:pPr>
        <w:numPr>
          <w:ilvl w:val="0"/>
          <w:numId w:val="4"/>
        </w:num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lastRenderedPageBreak/>
        <w:t>Indigenous Knowledge Systems;</w:t>
      </w:r>
    </w:p>
    <w:p w14:paraId="4CA2C4BB" w14:textId="77777777" w:rsidR="00CC78B4" w:rsidRPr="00CC78B4" w:rsidRDefault="00CC78B4" w:rsidP="00ED7786">
      <w:pPr>
        <w:numPr>
          <w:ilvl w:val="0"/>
          <w:numId w:val="4"/>
        </w:num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political ecology;</w:t>
      </w:r>
    </w:p>
    <w:p w14:paraId="1B621499" w14:textId="77777777" w:rsidR="00CC78B4" w:rsidRPr="00CC78B4" w:rsidRDefault="00CC78B4" w:rsidP="00ED7786">
      <w:pPr>
        <w:numPr>
          <w:ilvl w:val="0"/>
          <w:numId w:val="4"/>
        </w:num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ecosystem governance;</w:t>
      </w:r>
    </w:p>
    <w:p w14:paraId="1CBD032E" w14:textId="77777777" w:rsidR="00CC78B4" w:rsidRPr="00CC78B4" w:rsidRDefault="00CC78B4" w:rsidP="00ED7786">
      <w:pPr>
        <w:numPr>
          <w:ilvl w:val="0"/>
          <w:numId w:val="4"/>
        </w:num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environmental security;</w:t>
      </w:r>
    </w:p>
    <w:p w14:paraId="1A2FCE22" w14:textId="77777777" w:rsidR="00CC78B4" w:rsidRPr="00CC78B4" w:rsidRDefault="00CC78B4" w:rsidP="00ED7786">
      <w:pPr>
        <w:numPr>
          <w:ilvl w:val="0"/>
          <w:numId w:val="4"/>
        </w:num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climate adaptation;</w:t>
      </w:r>
    </w:p>
    <w:p w14:paraId="3703C0B3" w14:textId="77777777" w:rsidR="00CC78B4" w:rsidRPr="00CC78B4" w:rsidRDefault="00CC78B4" w:rsidP="00ED7786">
      <w:pPr>
        <w:numPr>
          <w:ilvl w:val="0"/>
          <w:numId w:val="4"/>
        </w:num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common-pool resource management;</w:t>
      </w:r>
    </w:p>
    <w:p w14:paraId="26045E68" w14:textId="77777777" w:rsidR="00CC78B4" w:rsidRPr="00CC78B4" w:rsidRDefault="00CC78B4" w:rsidP="00ED7786">
      <w:pPr>
        <w:numPr>
          <w:ilvl w:val="0"/>
          <w:numId w:val="4"/>
        </w:num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traditional ecological knowledge; and</w:t>
      </w:r>
    </w:p>
    <w:p w14:paraId="10A68B49" w14:textId="77777777" w:rsidR="00CC78B4" w:rsidRPr="00CC78B4" w:rsidRDefault="00CC78B4" w:rsidP="00ED7786">
      <w:pPr>
        <w:numPr>
          <w:ilvl w:val="0"/>
          <w:numId w:val="4"/>
        </w:num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conflict transformation.</w:t>
      </w:r>
    </w:p>
    <w:p w14:paraId="2FC254CE" w14:textId="1EE9E45D" w:rsid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The complete bibliographic details of these materials are provided in the Works Cited section of the manuscript.</w:t>
      </w:r>
    </w:p>
    <w:p w14:paraId="1FC4503F" w14:textId="77777777" w:rsidR="00B249B4" w:rsidRPr="00CC78B4" w:rsidRDefault="00B249B4" w:rsidP="00ED7786">
      <w:pPr>
        <w:spacing w:after="0" w:line="240" w:lineRule="auto"/>
        <w:jc w:val="both"/>
        <w:rPr>
          <w:rFonts w:ascii="Times New Roman" w:eastAsia="Times New Roman" w:hAnsi="Times New Roman" w:cs="Times New Roman"/>
          <w:sz w:val="24"/>
          <w:szCs w:val="24"/>
        </w:rPr>
      </w:pPr>
    </w:p>
    <w:p w14:paraId="4D3C23B9" w14:textId="77777777" w:rsidR="00CC78B4" w:rsidRPr="00CC78B4" w:rsidRDefault="00CC78B4" w:rsidP="00ED7786">
      <w:pPr>
        <w:spacing w:after="0" w:line="240" w:lineRule="auto"/>
        <w:jc w:val="both"/>
        <w:outlineLvl w:val="1"/>
        <w:rPr>
          <w:rFonts w:ascii="Times New Roman" w:eastAsia="Times New Roman" w:hAnsi="Times New Roman" w:cs="Times New Roman"/>
          <w:b/>
          <w:bCs/>
          <w:sz w:val="24"/>
          <w:szCs w:val="24"/>
        </w:rPr>
      </w:pPr>
      <w:r w:rsidRPr="00CC78B4">
        <w:rPr>
          <w:rFonts w:ascii="Times New Roman" w:eastAsia="Times New Roman" w:hAnsi="Times New Roman" w:cs="Times New Roman"/>
          <w:b/>
          <w:bCs/>
          <w:sz w:val="24"/>
          <w:szCs w:val="24"/>
        </w:rPr>
        <w:t>6. Data Processing and Analytical Procedure</w:t>
      </w:r>
    </w:p>
    <w:p w14:paraId="17335596" w14:textId="77777777"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The study employed qualitative documentary analysis rather than quantitative statistical analysis.</w:t>
      </w:r>
    </w:p>
    <w:p w14:paraId="27672C1E" w14:textId="77777777"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The documentary materials were examined in relation to the major themes guiding the study:</w:t>
      </w:r>
    </w:p>
    <w:p w14:paraId="3C143F75" w14:textId="77777777" w:rsidR="00CC78B4" w:rsidRPr="00CC78B4" w:rsidRDefault="00CC78B4" w:rsidP="00ED7786">
      <w:pPr>
        <w:numPr>
          <w:ilvl w:val="0"/>
          <w:numId w:val="5"/>
        </w:num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Indigenous Knowledge Systems and environmental stewardship;</w:t>
      </w:r>
    </w:p>
    <w:p w14:paraId="6FD34D0F" w14:textId="77777777" w:rsidR="00CC78B4" w:rsidRPr="00CC78B4" w:rsidRDefault="00CC78B4" w:rsidP="00ED7786">
      <w:pPr>
        <w:numPr>
          <w:ilvl w:val="0"/>
          <w:numId w:val="5"/>
        </w:num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indigenous ecosystem governance institutions;</w:t>
      </w:r>
    </w:p>
    <w:p w14:paraId="18402553" w14:textId="77777777" w:rsidR="00CC78B4" w:rsidRPr="00CC78B4" w:rsidRDefault="00CC78B4" w:rsidP="00ED7786">
      <w:pPr>
        <w:numPr>
          <w:ilvl w:val="0"/>
          <w:numId w:val="5"/>
        </w:num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climate change and environmental degradation;</w:t>
      </w:r>
    </w:p>
    <w:p w14:paraId="6FE491C7" w14:textId="77777777" w:rsidR="00CC78B4" w:rsidRPr="00CC78B4" w:rsidRDefault="00CC78B4" w:rsidP="00ED7786">
      <w:pPr>
        <w:numPr>
          <w:ilvl w:val="0"/>
          <w:numId w:val="5"/>
        </w:num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environmental insecurity and resource competition;</w:t>
      </w:r>
    </w:p>
    <w:p w14:paraId="2EB97B13" w14:textId="77777777" w:rsidR="00CC78B4" w:rsidRPr="00CC78B4" w:rsidRDefault="00CC78B4" w:rsidP="00ED7786">
      <w:pPr>
        <w:numPr>
          <w:ilvl w:val="0"/>
          <w:numId w:val="5"/>
        </w:num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community resilience and adaptation; and</w:t>
      </w:r>
    </w:p>
    <w:p w14:paraId="1CB36471" w14:textId="77777777" w:rsidR="00CC78B4" w:rsidRPr="00CC78B4" w:rsidRDefault="00CC78B4" w:rsidP="00ED7786">
      <w:pPr>
        <w:numPr>
          <w:ilvl w:val="0"/>
          <w:numId w:val="5"/>
        </w:num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the integration of indigenous knowledge with contemporary environmental governance.</w:t>
      </w:r>
    </w:p>
    <w:p w14:paraId="2921030B" w14:textId="4DB32E4F"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Information from institutional reports and documented case studies was compared and synthesi</w:t>
      </w:r>
      <w:r w:rsidR="00B249B4">
        <w:rPr>
          <w:rFonts w:ascii="Times New Roman" w:eastAsia="Times New Roman" w:hAnsi="Times New Roman" w:cs="Times New Roman"/>
          <w:sz w:val="24"/>
          <w:szCs w:val="24"/>
        </w:rPr>
        <w:t>z</w:t>
      </w:r>
      <w:r w:rsidRPr="00CC78B4">
        <w:rPr>
          <w:rFonts w:ascii="Times New Roman" w:eastAsia="Times New Roman" w:hAnsi="Times New Roman" w:cs="Times New Roman"/>
          <w:sz w:val="24"/>
          <w:szCs w:val="24"/>
        </w:rPr>
        <w:t>ed to identify recurring relationships between indigenous ecological practices, ecosystem conservation, climate adaptation and community security.</w:t>
      </w:r>
    </w:p>
    <w:p w14:paraId="727E751D" w14:textId="77777777"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The numerical information included in the article was retained as reported by the original institutional sources. No independent statistical transformation, regression analysis, predictive modelling or other quantitative computation was undertaken by the authors.</w:t>
      </w:r>
    </w:p>
    <w:p w14:paraId="785FDB9C" w14:textId="7639056B" w:rsidR="00CC78B4" w:rsidRPr="00CC78B4" w:rsidRDefault="00CC78B4" w:rsidP="00ED7786">
      <w:pPr>
        <w:spacing w:after="0" w:line="240" w:lineRule="auto"/>
        <w:jc w:val="both"/>
        <w:rPr>
          <w:rFonts w:ascii="Times New Roman" w:eastAsia="Times New Roman" w:hAnsi="Times New Roman" w:cs="Times New Roman"/>
          <w:sz w:val="24"/>
          <w:szCs w:val="24"/>
        </w:rPr>
      </w:pPr>
    </w:p>
    <w:p w14:paraId="1078D61A" w14:textId="77777777" w:rsidR="00CC78B4" w:rsidRPr="00CC78B4" w:rsidRDefault="00CC78B4" w:rsidP="00ED7786">
      <w:pPr>
        <w:spacing w:after="0" w:line="240" w:lineRule="auto"/>
        <w:jc w:val="both"/>
        <w:outlineLvl w:val="1"/>
        <w:rPr>
          <w:rFonts w:ascii="Times New Roman" w:eastAsia="Times New Roman" w:hAnsi="Times New Roman" w:cs="Times New Roman"/>
          <w:b/>
          <w:bCs/>
          <w:sz w:val="24"/>
          <w:szCs w:val="24"/>
        </w:rPr>
      </w:pPr>
      <w:r w:rsidRPr="00CC78B4">
        <w:rPr>
          <w:rFonts w:ascii="Times New Roman" w:eastAsia="Times New Roman" w:hAnsi="Times New Roman" w:cs="Times New Roman"/>
          <w:b/>
          <w:bCs/>
          <w:sz w:val="24"/>
          <w:szCs w:val="24"/>
        </w:rPr>
        <w:t>7. Formulae, Statistical Code and Computational Scripts</w:t>
      </w:r>
    </w:p>
    <w:p w14:paraId="2E21C624" w14:textId="77777777" w:rsidR="00960C6C" w:rsidRDefault="00960C6C" w:rsidP="00ED7786">
      <w:pPr>
        <w:spacing w:after="0" w:line="240" w:lineRule="auto"/>
        <w:jc w:val="both"/>
        <w:rPr>
          <w:rFonts w:ascii="Times New Roman" w:eastAsia="Times New Roman" w:hAnsi="Times New Roman" w:cs="Times New Roman"/>
          <w:sz w:val="24"/>
          <w:szCs w:val="24"/>
        </w:rPr>
      </w:pPr>
    </w:p>
    <w:p w14:paraId="06BA629D" w14:textId="2F64190D"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No mathematical formulae, statistical code, programming scripts or computational models were generated or used in this study.</w:t>
      </w:r>
    </w:p>
    <w:p w14:paraId="3765D93B" w14:textId="77777777"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The research adopted a qualitative historical and documentary methodology. Consequently, the study did not employ statistical software packages such as SPSS, Stata, R or Python for quantitative analysis.</w:t>
      </w:r>
    </w:p>
    <w:p w14:paraId="594B8F1D" w14:textId="77777777"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The principal analytical process involved documentary review, comparative examination of published evidence and thematic interpretation of historical, institutional and scholarly materials.</w:t>
      </w:r>
    </w:p>
    <w:p w14:paraId="42BE2DD7" w14:textId="0491D223" w:rsidR="00CC78B4" w:rsidRPr="00CC78B4" w:rsidRDefault="00CC78B4" w:rsidP="00ED7786">
      <w:pPr>
        <w:spacing w:after="0" w:line="240" w:lineRule="auto"/>
        <w:jc w:val="both"/>
        <w:rPr>
          <w:rFonts w:ascii="Times New Roman" w:eastAsia="Times New Roman" w:hAnsi="Times New Roman" w:cs="Times New Roman"/>
          <w:sz w:val="24"/>
          <w:szCs w:val="24"/>
        </w:rPr>
      </w:pPr>
    </w:p>
    <w:p w14:paraId="03BA92F5" w14:textId="77777777" w:rsidR="00960C6C" w:rsidRDefault="00960C6C" w:rsidP="00ED7786">
      <w:pPr>
        <w:spacing w:after="0" w:line="240" w:lineRule="auto"/>
        <w:jc w:val="both"/>
        <w:outlineLvl w:val="1"/>
        <w:rPr>
          <w:rFonts w:ascii="Times New Roman" w:eastAsia="Times New Roman" w:hAnsi="Times New Roman" w:cs="Times New Roman"/>
          <w:b/>
          <w:bCs/>
          <w:sz w:val="24"/>
          <w:szCs w:val="24"/>
        </w:rPr>
      </w:pPr>
    </w:p>
    <w:p w14:paraId="6BCA7C35" w14:textId="77777777" w:rsidR="00960C6C" w:rsidRDefault="00960C6C" w:rsidP="00ED7786">
      <w:pPr>
        <w:spacing w:after="0" w:line="240" w:lineRule="auto"/>
        <w:jc w:val="both"/>
        <w:outlineLvl w:val="1"/>
        <w:rPr>
          <w:rFonts w:ascii="Times New Roman" w:eastAsia="Times New Roman" w:hAnsi="Times New Roman" w:cs="Times New Roman"/>
          <w:b/>
          <w:bCs/>
          <w:sz w:val="24"/>
          <w:szCs w:val="24"/>
        </w:rPr>
      </w:pPr>
    </w:p>
    <w:p w14:paraId="14F176F0" w14:textId="27A47934" w:rsidR="00CC78B4" w:rsidRPr="00CC78B4" w:rsidRDefault="00CC78B4" w:rsidP="00ED7786">
      <w:pPr>
        <w:spacing w:after="0" w:line="240" w:lineRule="auto"/>
        <w:jc w:val="both"/>
        <w:outlineLvl w:val="1"/>
        <w:rPr>
          <w:rFonts w:ascii="Times New Roman" w:eastAsia="Times New Roman" w:hAnsi="Times New Roman" w:cs="Times New Roman"/>
          <w:b/>
          <w:bCs/>
          <w:sz w:val="24"/>
          <w:szCs w:val="24"/>
        </w:rPr>
      </w:pPr>
      <w:r w:rsidRPr="00CC78B4">
        <w:rPr>
          <w:rFonts w:ascii="Times New Roman" w:eastAsia="Times New Roman" w:hAnsi="Times New Roman" w:cs="Times New Roman"/>
          <w:b/>
          <w:bCs/>
          <w:sz w:val="24"/>
          <w:szCs w:val="24"/>
        </w:rPr>
        <w:t>8. Availability and Verification of Materials</w:t>
      </w:r>
    </w:p>
    <w:p w14:paraId="2C8C56C7" w14:textId="77777777" w:rsidR="00960C6C" w:rsidRDefault="00960C6C" w:rsidP="00ED7786">
      <w:pPr>
        <w:spacing w:after="0" w:line="240" w:lineRule="auto"/>
        <w:jc w:val="both"/>
        <w:rPr>
          <w:rFonts w:ascii="Times New Roman" w:eastAsia="Times New Roman" w:hAnsi="Times New Roman" w:cs="Times New Roman"/>
          <w:sz w:val="24"/>
          <w:szCs w:val="24"/>
        </w:rPr>
      </w:pPr>
    </w:p>
    <w:p w14:paraId="0E6C82E6" w14:textId="520BDF8F"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The principal empirical information used in this study was derived from publicly available reports, institutional documentation and published scholarly literature.</w:t>
      </w:r>
    </w:p>
    <w:p w14:paraId="73E65D63" w14:textId="77777777"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The sources underlying the principal tables and documentary claims have been identified in this supplementary material and are also cited in the manuscript's Works Cited section.</w:t>
      </w:r>
    </w:p>
    <w:p w14:paraId="679982C4" w14:textId="77777777"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lastRenderedPageBreak/>
        <w:t>Where institutional reports remain publicly accessible, editors and reviewers may consult the original publications directly through the respective organisations and repositories. Some materials are subject to the access conditions, archival arrangements or web availability policies of their original publishers.</w:t>
      </w:r>
    </w:p>
    <w:p w14:paraId="073A9750" w14:textId="77777777"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No confidential personal data, human-subject datasets, survey responses or restricted security information were used in the study.</w:t>
      </w:r>
    </w:p>
    <w:p w14:paraId="4CBBEFE1" w14:textId="77777777" w:rsidR="00CC78B4" w:rsidRPr="00CC78B4" w:rsidRDefault="00CC78B4" w:rsidP="00ED7786">
      <w:pPr>
        <w:spacing w:after="0" w:line="240" w:lineRule="auto"/>
        <w:jc w:val="both"/>
        <w:rPr>
          <w:rFonts w:ascii="Times New Roman" w:eastAsia="Times New Roman" w:hAnsi="Times New Roman" w:cs="Times New Roman"/>
          <w:sz w:val="24"/>
          <w:szCs w:val="24"/>
        </w:rPr>
      </w:pPr>
    </w:p>
    <w:p w14:paraId="32FD3298" w14:textId="77777777" w:rsidR="00CC78B4" w:rsidRPr="00CC78B4" w:rsidRDefault="00CC78B4" w:rsidP="00ED7786">
      <w:pPr>
        <w:spacing w:after="0" w:line="240" w:lineRule="auto"/>
        <w:jc w:val="both"/>
        <w:outlineLvl w:val="1"/>
        <w:rPr>
          <w:rFonts w:ascii="Times New Roman" w:eastAsia="Times New Roman" w:hAnsi="Times New Roman" w:cs="Times New Roman"/>
          <w:b/>
          <w:bCs/>
          <w:sz w:val="24"/>
          <w:szCs w:val="24"/>
        </w:rPr>
      </w:pPr>
      <w:r w:rsidRPr="00CC78B4">
        <w:rPr>
          <w:rFonts w:ascii="Times New Roman" w:eastAsia="Times New Roman" w:hAnsi="Times New Roman" w:cs="Times New Roman"/>
          <w:b/>
          <w:bCs/>
          <w:sz w:val="24"/>
          <w:szCs w:val="24"/>
        </w:rPr>
        <w:t>9. Data Availability Statement</w:t>
      </w:r>
    </w:p>
    <w:p w14:paraId="368AB508" w14:textId="45812208" w:rsidR="00CC78B4" w:rsidRPr="00CC78B4" w:rsidRDefault="00CC78B4" w:rsidP="00ED7786">
      <w:pPr>
        <w:spacing w:after="0" w:line="240" w:lineRule="auto"/>
        <w:jc w:val="both"/>
        <w:rPr>
          <w:rFonts w:ascii="Times New Roman" w:eastAsia="Times New Roman" w:hAnsi="Times New Roman" w:cs="Times New Roman"/>
          <w:sz w:val="24"/>
          <w:szCs w:val="24"/>
        </w:rPr>
      </w:pPr>
      <w:r w:rsidRPr="00CC78B4">
        <w:rPr>
          <w:rFonts w:ascii="Times New Roman" w:eastAsia="Times New Roman" w:hAnsi="Times New Roman" w:cs="Times New Roman"/>
          <w:sz w:val="24"/>
          <w:szCs w:val="24"/>
        </w:rPr>
        <w:t>The study is based on qualitative historical and documentary analysis. No primary survey, experimental dataset, statistical model or computational dataset was generated or analysed. The information underlying the findings and Tables 1</w:t>
      </w:r>
      <w:r w:rsidR="00ED7786">
        <w:rPr>
          <w:rFonts w:ascii="Times New Roman" w:eastAsia="Times New Roman" w:hAnsi="Times New Roman" w:cs="Times New Roman"/>
          <w:sz w:val="24"/>
          <w:szCs w:val="24"/>
        </w:rPr>
        <w:t>-</w:t>
      </w:r>
      <w:r w:rsidRPr="00CC78B4">
        <w:rPr>
          <w:rFonts w:ascii="Times New Roman" w:eastAsia="Times New Roman" w:hAnsi="Times New Roman" w:cs="Times New Roman"/>
          <w:sz w:val="24"/>
          <w:szCs w:val="24"/>
        </w:rPr>
        <w:t>3 was compiled from publicly available secondary sources, including reports and documentation published by the Intergovernmental Panel on Climate Change (IPCC), United Nations Environment Programme (UNEP), United Nations Convention to Combat Desertification (UNCCD), United Nations Office for the Coordination of Humanitarian Affairs (UNOCHA), United Nations Development Programme (UNDP), UNESCO, International Crisis Group and other scholarly and institutional sources cited in the manuscript. A supplementary Source Data and Methodological Documentation file has been provided to enable verification of the principal documentary sources and materials used in the analysis. No statistical code, computational scripts or mathematical formulae were used because the study adopted a qualitative historical and documentary methodology.</w:t>
      </w:r>
    </w:p>
    <w:p w14:paraId="7C0F8F35" w14:textId="77777777" w:rsidR="00B9540A" w:rsidRPr="00271C81" w:rsidRDefault="00960C6C" w:rsidP="00ED7786">
      <w:pPr>
        <w:spacing w:after="0"/>
        <w:jc w:val="both"/>
        <w:rPr>
          <w:rFonts w:ascii="Times New Roman" w:hAnsi="Times New Roman" w:cs="Times New Roman"/>
          <w:sz w:val="24"/>
          <w:szCs w:val="24"/>
        </w:rPr>
      </w:pPr>
    </w:p>
    <w:sectPr w:rsidR="00B9540A" w:rsidRPr="00271C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100FD3"/>
    <w:multiLevelType w:val="multilevel"/>
    <w:tmpl w:val="9F5E5C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4A7B0A"/>
    <w:multiLevelType w:val="multilevel"/>
    <w:tmpl w:val="13E69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8027F8"/>
    <w:multiLevelType w:val="multilevel"/>
    <w:tmpl w:val="126CFA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98E2FB0"/>
    <w:multiLevelType w:val="multilevel"/>
    <w:tmpl w:val="3A681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DE403F4"/>
    <w:multiLevelType w:val="multilevel"/>
    <w:tmpl w:val="897AA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FB22D4B"/>
    <w:multiLevelType w:val="multilevel"/>
    <w:tmpl w:val="B8B2F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1"/>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8B4"/>
    <w:rsid w:val="0012654C"/>
    <w:rsid w:val="00271C81"/>
    <w:rsid w:val="00960C6C"/>
    <w:rsid w:val="00B249B4"/>
    <w:rsid w:val="00CC78B4"/>
    <w:rsid w:val="00ED7786"/>
    <w:rsid w:val="00F16E31"/>
    <w:rsid w:val="00F60A08"/>
    <w:rsid w:val="00F86A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F822B"/>
  <w15:chartTrackingRefBased/>
  <w15:docId w15:val="{721733B2-1D43-493B-9947-505473561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C78B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CC78B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CC78B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8B4"/>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CC78B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C78B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CC78B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C78B4"/>
    <w:rPr>
      <w:b/>
      <w:bCs/>
    </w:rPr>
  </w:style>
  <w:style w:type="character" w:styleId="Emphasis">
    <w:name w:val="Emphasis"/>
    <w:basedOn w:val="DefaultParagraphFont"/>
    <w:uiPriority w:val="20"/>
    <w:qFormat/>
    <w:rsid w:val="00CC78B4"/>
    <w:rPr>
      <w:i/>
      <w:iCs/>
    </w:rPr>
  </w:style>
  <w:style w:type="character" w:styleId="HTMLCode">
    <w:name w:val="HTML Code"/>
    <w:basedOn w:val="DefaultParagraphFont"/>
    <w:uiPriority w:val="99"/>
    <w:semiHidden/>
    <w:unhideWhenUsed/>
    <w:rsid w:val="00CC78B4"/>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672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159</TotalTime>
  <Pages>6</Pages>
  <Words>1885</Words>
  <Characters>10750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Prince Friday John Ogaleye</dc:creator>
  <cp:keywords/>
  <dc:description/>
  <cp:lastModifiedBy>Prince Friday John Ogaleye</cp:lastModifiedBy>
  <cp:revision>3</cp:revision>
  <dcterms:created xsi:type="dcterms:W3CDTF">2026-08-31T07:57:00Z</dcterms:created>
  <dcterms:modified xsi:type="dcterms:W3CDTF">2026-08-31T12:17:00Z</dcterms:modified>
</cp:coreProperties>
</file>