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058D7" w14:textId="77777777" w:rsidR="007276E9" w:rsidRPr="00A74E12" w:rsidRDefault="007276E9" w:rsidP="007276E9">
      <w:pPr>
        <w:pStyle w:val="Title"/>
        <w:spacing w:after="240"/>
        <w:rPr>
          <w:b/>
          <w:bCs/>
          <w:sz w:val="36"/>
          <w:szCs w:val="36"/>
        </w:rPr>
      </w:pPr>
      <w:r w:rsidRPr="00136D82">
        <w:rPr>
          <w:b/>
          <w:bCs/>
          <w:sz w:val="36"/>
          <w:szCs w:val="36"/>
        </w:rPr>
        <w:t>Supp</w:t>
      </w:r>
      <w:r>
        <w:rPr>
          <w:b/>
          <w:bCs/>
          <w:sz w:val="36"/>
          <w:szCs w:val="36"/>
        </w:rPr>
        <w:t>lementary</w:t>
      </w:r>
      <w:r w:rsidRPr="00136D82">
        <w:rPr>
          <w:b/>
          <w:bCs/>
          <w:sz w:val="36"/>
          <w:szCs w:val="36"/>
        </w:rPr>
        <w:t xml:space="preserve"> Information</w:t>
      </w:r>
    </w:p>
    <w:p w14:paraId="2F7D3734" w14:textId="77777777" w:rsidR="007276E9" w:rsidRDefault="007276E9" w:rsidP="007276E9">
      <w:pPr>
        <w:pStyle w:val="RSCB02ArticleText"/>
      </w:pPr>
    </w:p>
    <w:p w14:paraId="71BB8C8C" w14:textId="77777777" w:rsidR="007276E9" w:rsidRPr="002E37FA" w:rsidRDefault="007276E9" w:rsidP="007276E9">
      <w:pPr>
        <w:pStyle w:val="Heading1"/>
        <w:spacing w:before="0" w:after="240"/>
        <w:ind w:left="360" w:hanging="360"/>
        <w:rPr>
          <w:sz w:val="24"/>
          <w:szCs w:val="28"/>
        </w:rPr>
      </w:pPr>
      <w:r w:rsidRPr="002E37FA">
        <w:rPr>
          <w:sz w:val="24"/>
          <w:szCs w:val="28"/>
        </w:rPr>
        <w:t>Supp</w:t>
      </w:r>
      <w:r>
        <w:rPr>
          <w:sz w:val="24"/>
          <w:szCs w:val="28"/>
        </w:rPr>
        <w:t>lementary</w:t>
      </w:r>
      <w:r w:rsidRPr="002E37FA">
        <w:rPr>
          <w:sz w:val="24"/>
          <w:szCs w:val="28"/>
        </w:rPr>
        <w:t xml:space="preserve"> Note: Materials and Methods</w:t>
      </w:r>
    </w:p>
    <w:p w14:paraId="430BBBB7" w14:textId="77777777" w:rsidR="007276E9" w:rsidRPr="002E37FA" w:rsidRDefault="007276E9" w:rsidP="007276E9">
      <w:pPr>
        <w:keepNext/>
        <w:keepLines/>
        <w:numPr>
          <w:ilvl w:val="1"/>
          <w:numId w:val="0"/>
        </w:numPr>
        <w:spacing w:before="40" w:line="240" w:lineRule="auto"/>
        <w:ind w:left="576" w:hanging="576"/>
        <w:outlineLvl w:val="1"/>
        <w:rPr>
          <w:rFonts w:ascii="Calibri Light" w:eastAsia="Times New Roman" w:hAnsi="Calibri Light"/>
          <w:b/>
          <w:bCs/>
          <w:sz w:val="20"/>
          <w:szCs w:val="20"/>
        </w:rPr>
      </w:pPr>
      <w:r w:rsidRPr="002E37FA">
        <w:rPr>
          <w:rFonts w:ascii="Calibri Light" w:eastAsia="Times New Roman" w:hAnsi="Calibri Light"/>
          <w:b/>
          <w:bCs/>
          <w:sz w:val="20"/>
          <w:szCs w:val="20"/>
        </w:rPr>
        <w:t>Characterization of hydroxyapatite nanoparticles</w:t>
      </w:r>
    </w:p>
    <w:p w14:paraId="342D21D7" w14:textId="77777777" w:rsidR="007276E9" w:rsidRPr="002E37FA" w:rsidRDefault="007276E9" w:rsidP="007276E9">
      <w:pPr>
        <w:pStyle w:val="RSCB02ArticleText"/>
        <w:rPr>
          <w:color w:val="FF00FF"/>
          <w:sz w:val="18"/>
          <w:szCs w:val="18"/>
        </w:rPr>
      </w:pPr>
      <w:r w:rsidRPr="002E37FA">
        <w:rPr>
          <w:sz w:val="18"/>
          <w:szCs w:val="18"/>
        </w:rPr>
        <w:t>The hydrodynamic diameter and zeta potential of the nHAp were assessed through dynamic light scattering (DLS) on a Zetasizer Nano ZS (Malvern Panalytical, Worchestershire, UK). Quantitative multi-elemental analysis using inductively coupled plasma mass spectrometry (ICP-MS) was done on a 7900 ICP-Q-MS (Agilent Technologies, Santa Clara, CA, USA) to determine the elemental composition of the nanoparticles. The mineral composition of the bottom-up synthesized particles was examined using X-ray diffraction (XRD). XRD patterns were collected using an Aeris diffractometer (Malvern Panalytical) operated at 40 kV and 15 mA with Cu Kα radiation (λ = 1.5418 Å, 2θ range 10° to 60° with a step of 2θ = 0.02°, scan speed 0.04° s</w:t>
      </w:r>
      <w:r w:rsidRPr="002E37FA">
        <w:rPr>
          <w:sz w:val="18"/>
          <w:szCs w:val="18"/>
          <w:vertAlign w:val="superscript"/>
        </w:rPr>
        <w:t>-1</w:t>
      </w:r>
      <w:r w:rsidRPr="002E37FA">
        <w:rPr>
          <w:sz w:val="18"/>
          <w:szCs w:val="18"/>
        </w:rPr>
        <w:t>).</w:t>
      </w:r>
      <w:r w:rsidRPr="002E37FA">
        <w:rPr>
          <w:color w:val="FF00FF"/>
          <w:sz w:val="18"/>
          <w:szCs w:val="18"/>
        </w:rPr>
        <w:t xml:space="preserve"> </w:t>
      </w:r>
      <w:r w:rsidRPr="002E37FA">
        <w:rPr>
          <w:sz w:val="18"/>
          <w:szCs w:val="18"/>
        </w:rPr>
        <w:t xml:space="preserve">Morphology and size of the bottom-up synthesized nHAp were assessed using a transmission electron </w:t>
      </w:r>
      <w:r w:rsidRPr="002E37FA">
        <w:rPr>
          <w:color w:val="auto"/>
          <w:sz w:val="18"/>
          <w:szCs w:val="18"/>
        </w:rPr>
        <w:t>microscope (TEM). 2 µl of the nHAp solution was spread on a Formvar/carbon-coated copper grid, air-dried for 24 hours at room temperature, and imaged with a 120-kV Talos L120C Electron Microscope (Thermo Fisher Scientific, Waltham, MA, USA), equipped with a Velox software and Ceta 16M camera (Thermo Fisher Scientific). Nanoparticle length and width distributions were determined from TEM images using ImageJ software.</w:t>
      </w:r>
    </w:p>
    <w:p w14:paraId="4277FE16" w14:textId="77777777" w:rsidR="007276E9" w:rsidRPr="002E37FA" w:rsidRDefault="007276E9" w:rsidP="007276E9">
      <w:pPr>
        <w:pStyle w:val="RSCB02ArticleText"/>
        <w:rPr>
          <w:sz w:val="18"/>
          <w:szCs w:val="18"/>
        </w:rPr>
      </w:pPr>
      <w:r w:rsidRPr="002E37FA">
        <w:rPr>
          <w:sz w:val="18"/>
          <w:szCs w:val="18"/>
        </w:rPr>
        <w:t xml:space="preserve">The citrate content of the bottom-up synthesized particles was quantified using thermogravimetric analysis (TGA). This was done both for particles dialyzed in an </w:t>
      </w:r>
      <w:r>
        <w:rPr>
          <w:sz w:val="18"/>
          <w:szCs w:val="18"/>
        </w:rPr>
        <w:t xml:space="preserve">ammonium </w:t>
      </w:r>
      <w:r w:rsidRPr="002E37FA">
        <w:rPr>
          <w:sz w:val="18"/>
          <w:szCs w:val="18"/>
        </w:rPr>
        <w:t>citrate buffer and for particles that had been dialyzed in water to remove free citrate ions from the suspension. Prior to the analysis, nHAp suspensions were dried into a powder in a rotary evaporator. The TGA was carried out up to 750 °C at a heating rate of 5 K min</w:t>
      </w:r>
      <w:r w:rsidRPr="002E37FA">
        <w:rPr>
          <w:sz w:val="18"/>
          <w:szCs w:val="18"/>
          <w:vertAlign w:val="superscript"/>
        </w:rPr>
        <w:t>-1</w:t>
      </w:r>
      <w:r w:rsidRPr="002E37FA">
        <w:rPr>
          <w:sz w:val="18"/>
          <w:szCs w:val="18"/>
        </w:rPr>
        <w:t xml:space="preserve"> in a dynamic atmosphere consisting of air at normal pressure in a model STA 449C (NETZSCH-Gerätebau GmbH, Selb, Germany). The air flow was set to 40 mL min</w:t>
      </w:r>
      <w:r w:rsidRPr="002E37FA">
        <w:rPr>
          <w:sz w:val="18"/>
          <w:szCs w:val="18"/>
          <w:vertAlign w:val="superscript"/>
        </w:rPr>
        <w:t>-1</w:t>
      </w:r>
      <w:r w:rsidRPr="002E37FA">
        <w:rPr>
          <w:sz w:val="18"/>
          <w:szCs w:val="18"/>
        </w:rPr>
        <w:t>. The crucibles (6 mm diameter and 3 mm depth) were made of alumina. Buoyancy corrections were performed using data recorded on empty crucibles. The dried nHAp powder was not compacted. To estimate the percentage of organic material, a sample of powders without surface functionalization was measured and its TGA trace subtracted from those of the other samples. This was done to avoid including the intrinsic mass loss of hydroxyapatite (about 2.5% at 750 °C).</w:t>
      </w:r>
    </w:p>
    <w:p w14:paraId="105B68B0" w14:textId="77777777" w:rsidR="007276E9" w:rsidRDefault="007276E9" w:rsidP="007276E9">
      <w:pPr>
        <w:pStyle w:val="RSCB02ArticleText"/>
      </w:pPr>
    </w:p>
    <w:p w14:paraId="1DCBE17C" w14:textId="77777777" w:rsidR="007276E9" w:rsidRPr="002E37FA" w:rsidRDefault="007276E9" w:rsidP="007276E9">
      <w:pPr>
        <w:keepNext/>
        <w:keepLines/>
        <w:numPr>
          <w:ilvl w:val="1"/>
          <w:numId w:val="0"/>
        </w:numPr>
        <w:tabs>
          <w:tab w:val="left" w:pos="709"/>
          <w:tab w:val="left" w:pos="1276"/>
          <w:tab w:val="left" w:pos="4536"/>
        </w:tabs>
        <w:spacing w:before="40" w:line="240" w:lineRule="auto"/>
        <w:outlineLvl w:val="1"/>
        <w:rPr>
          <w:rFonts w:ascii="Calibri Light" w:eastAsia="Times New Roman" w:hAnsi="Calibri Light"/>
          <w:b/>
          <w:bCs/>
          <w:sz w:val="20"/>
          <w:szCs w:val="20"/>
        </w:rPr>
      </w:pPr>
      <w:r w:rsidRPr="002E37FA">
        <w:rPr>
          <w:rFonts w:ascii="Calibri Light" w:eastAsia="Times New Roman" w:hAnsi="Calibri Light"/>
          <w:b/>
          <w:bCs/>
          <w:sz w:val="20"/>
          <w:szCs w:val="20"/>
        </w:rPr>
        <w:t>Dissolution assay</w:t>
      </w:r>
    </w:p>
    <w:p w14:paraId="319618B5" w14:textId="77777777" w:rsidR="007276E9" w:rsidRPr="002E37FA" w:rsidRDefault="007276E9" w:rsidP="007276E9">
      <w:pPr>
        <w:pStyle w:val="RSCB02ArticleText"/>
        <w:rPr>
          <w:sz w:val="18"/>
          <w:szCs w:val="18"/>
        </w:rPr>
      </w:pPr>
      <w:r w:rsidRPr="002E37FA">
        <w:rPr>
          <w:sz w:val="18"/>
          <w:szCs w:val="18"/>
        </w:rPr>
        <w:t xml:space="preserve">3 mL of nHAp (in 100 </w:t>
      </w:r>
      <w:r w:rsidRPr="002E37FA">
        <w:rPr>
          <w:i/>
          <w:iCs/>
          <w:sz w:val="18"/>
          <w:szCs w:val="18"/>
        </w:rPr>
        <w:t>mM</w:t>
      </w:r>
      <w:r w:rsidRPr="002E37FA">
        <w:rPr>
          <w:sz w:val="18"/>
          <w:szCs w:val="18"/>
        </w:rPr>
        <w:t xml:space="preserve"> </w:t>
      </w:r>
      <w:r>
        <w:rPr>
          <w:sz w:val="18"/>
          <w:szCs w:val="18"/>
        </w:rPr>
        <w:t xml:space="preserve">ammonium </w:t>
      </w:r>
      <w:r w:rsidRPr="002E37FA">
        <w:rPr>
          <w:sz w:val="18"/>
          <w:szCs w:val="18"/>
        </w:rPr>
        <w:t xml:space="preserve">citrate, pH 9) of known P content was added into a SnakeSkin® dialysis tube with 3.5 kDa MWCO. The dialysis tube was closed and put into a BlueCap flask filled with 200 mL of 50 </w:t>
      </w:r>
      <w:r w:rsidRPr="002E37FA">
        <w:rPr>
          <w:i/>
          <w:iCs/>
          <w:sz w:val="18"/>
          <w:szCs w:val="18"/>
        </w:rPr>
        <w:t>mM</w:t>
      </w:r>
      <w:r w:rsidRPr="002E37FA">
        <w:rPr>
          <w:sz w:val="18"/>
          <w:szCs w:val="18"/>
        </w:rPr>
        <w:t xml:space="preserve"> </w:t>
      </w:r>
      <w:r>
        <w:rPr>
          <w:sz w:val="18"/>
          <w:szCs w:val="18"/>
        </w:rPr>
        <w:t xml:space="preserve">ammonium </w:t>
      </w:r>
      <w:r w:rsidRPr="002E37FA">
        <w:rPr>
          <w:sz w:val="18"/>
          <w:szCs w:val="18"/>
        </w:rPr>
        <w:t xml:space="preserve">acetate buffer of either pH 4, 5, 6, 7, or 50 </w:t>
      </w:r>
      <w:r w:rsidRPr="002E37FA">
        <w:rPr>
          <w:i/>
          <w:iCs/>
          <w:sz w:val="18"/>
          <w:szCs w:val="18"/>
        </w:rPr>
        <w:t>mM</w:t>
      </w:r>
      <w:r w:rsidRPr="002E37FA">
        <w:rPr>
          <w:sz w:val="18"/>
          <w:szCs w:val="18"/>
        </w:rPr>
        <w:t xml:space="preserve"> </w:t>
      </w:r>
      <w:r>
        <w:rPr>
          <w:sz w:val="18"/>
          <w:szCs w:val="18"/>
        </w:rPr>
        <w:t xml:space="preserve">ammonium </w:t>
      </w:r>
      <w:r w:rsidRPr="002E37FA">
        <w:rPr>
          <w:sz w:val="18"/>
          <w:szCs w:val="18"/>
        </w:rPr>
        <w:t>citrate pH 9 as a control. All treatments were done in quadruplicates. The flasks were neatly closed to avoid evaporation and incubated on a magnetic stirrer. 50 µL samples were taken from the dissolution buffers after 0 h, 30 min, 1, 2, 4, 6, 8, 24, 30, 48, and 72 h. The P concentration in the samples was determined using the molybdenum-blue method. Samples were diluted with Milli-Q water to obtain a final P concentration within the linear range of the assay (0-8 mg P L</w:t>
      </w:r>
      <w:r w:rsidRPr="002E37FA">
        <w:rPr>
          <w:sz w:val="18"/>
          <w:szCs w:val="18"/>
          <w:vertAlign w:val="superscript"/>
        </w:rPr>
        <w:t>-1</w:t>
      </w:r>
      <w:r w:rsidRPr="002E37FA">
        <w:rPr>
          <w:sz w:val="18"/>
          <w:szCs w:val="18"/>
        </w:rPr>
        <w:t>). A standard P calibration curve was made by diluting a KH</w:t>
      </w:r>
      <w:r w:rsidRPr="002E37FA">
        <w:rPr>
          <w:sz w:val="18"/>
          <w:szCs w:val="18"/>
          <w:vertAlign w:val="subscript"/>
        </w:rPr>
        <w:t>2</w:t>
      </w:r>
      <w:r w:rsidRPr="002E37FA">
        <w:rPr>
          <w:sz w:val="18"/>
          <w:szCs w:val="18"/>
        </w:rPr>
        <w:t>PO</w:t>
      </w:r>
      <w:r w:rsidRPr="002E37FA">
        <w:rPr>
          <w:sz w:val="18"/>
          <w:szCs w:val="18"/>
          <w:vertAlign w:val="subscript"/>
        </w:rPr>
        <w:t xml:space="preserve">4 </w:t>
      </w:r>
      <w:r w:rsidRPr="002E37FA">
        <w:rPr>
          <w:sz w:val="18"/>
          <w:szCs w:val="18"/>
        </w:rPr>
        <w:t xml:space="preserve">solution of known P concentration. </w:t>
      </w:r>
    </w:p>
    <w:p w14:paraId="663E963E" w14:textId="77777777" w:rsidR="007276E9" w:rsidRPr="006E3094" w:rsidRDefault="007276E9" w:rsidP="007276E9">
      <w:pPr>
        <w:pStyle w:val="RSCB02ArticleText"/>
      </w:pPr>
    </w:p>
    <w:p w14:paraId="0A16B519" w14:textId="77777777" w:rsidR="007276E9" w:rsidRPr="002E37FA" w:rsidRDefault="007276E9" w:rsidP="007276E9">
      <w:pPr>
        <w:keepNext/>
        <w:keepLines/>
        <w:numPr>
          <w:ilvl w:val="1"/>
          <w:numId w:val="0"/>
        </w:numPr>
        <w:tabs>
          <w:tab w:val="left" w:pos="709"/>
        </w:tabs>
        <w:spacing w:before="40" w:line="240" w:lineRule="auto"/>
        <w:outlineLvl w:val="1"/>
        <w:rPr>
          <w:rFonts w:ascii="Calibri Light" w:eastAsia="Times New Roman" w:hAnsi="Calibri Light"/>
          <w:b/>
          <w:bCs/>
          <w:sz w:val="20"/>
          <w:szCs w:val="20"/>
        </w:rPr>
      </w:pPr>
      <w:r w:rsidRPr="002E37FA">
        <w:rPr>
          <w:rFonts w:ascii="Calibri Light" w:eastAsia="Times New Roman" w:hAnsi="Calibri Light"/>
          <w:b/>
          <w:bCs/>
          <w:sz w:val="20"/>
          <w:szCs w:val="20"/>
        </w:rPr>
        <w:t>Rhizobox experiment</w:t>
      </w:r>
    </w:p>
    <w:p w14:paraId="242E3B21" w14:textId="77777777" w:rsidR="007276E9" w:rsidRPr="002E37FA" w:rsidRDefault="007276E9" w:rsidP="007276E9">
      <w:pPr>
        <w:pStyle w:val="RSCB02ArticleText"/>
        <w:rPr>
          <w:sz w:val="18"/>
          <w:szCs w:val="18"/>
        </w:rPr>
      </w:pPr>
      <w:r w:rsidRPr="002E37FA">
        <w:rPr>
          <w:sz w:val="18"/>
          <w:szCs w:val="18"/>
        </w:rPr>
        <w:t>We cultivated spring barley (</w:t>
      </w:r>
      <w:r w:rsidRPr="002E37FA">
        <w:rPr>
          <w:i/>
          <w:sz w:val="18"/>
          <w:szCs w:val="18"/>
        </w:rPr>
        <w:t>Hordeum vulgare</w:t>
      </w:r>
      <w:r w:rsidRPr="002E37FA">
        <w:rPr>
          <w:sz w:val="18"/>
          <w:szCs w:val="18"/>
        </w:rPr>
        <w:t xml:space="preserve"> L.</w:t>
      </w:r>
      <w:r>
        <w:rPr>
          <w:sz w:val="18"/>
          <w:szCs w:val="18"/>
        </w:rPr>
        <w:t>, KWS</w:t>
      </w:r>
      <w:r w:rsidRPr="002E37FA">
        <w:rPr>
          <w:sz w:val="18"/>
          <w:szCs w:val="18"/>
        </w:rPr>
        <w:t xml:space="preserve"> cv. Irina) in rhizoboxes and applied radioisotope-labelled nHAp and Pi to study the uptake and distribution of the added P. We used the CRUCIAL soil mixed with sand in a 3:1 ratio based on weight. N-K fertilizer (Yara Danmark, Fredericia, Denmark) equivalent to 300 mg N kg</w:t>
      </w:r>
      <w:r w:rsidRPr="002E37FA">
        <w:rPr>
          <w:sz w:val="18"/>
          <w:szCs w:val="18"/>
          <w:vertAlign w:val="superscript"/>
        </w:rPr>
        <w:t>-1</w:t>
      </w:r>
      <w:r w:rsidRPr="002E37FA">
        <w:rPr>
          <w:sz w:val="18"/>
          <w:szCs w:val="18"/>
        </w:rPr>
        <w:t xml:space="preserve"> soil was added and additional N (15 mg kg</w:t>
      </w:r>
      <w:r w:rsidRPr="002E37FA">
        <w:rPr>
          <w:sz w:val="18"/>
          <w:szCs w:val="18"/>
          <w:vertAlign w:val="superscript"/>
        </w:rPr>
        <w:t>-1</w:t>
      </w:r>
      <w:r w:rsidRPr="002E37FA">
        <w:rPr>
          <w:sz w:val="18"/>
          <w:szCs w:val="18"/>
        </w:rPr>
        <w:t>), in the form of NH</w:t>
      </w:r>
      <w:r w:rsidRPr="002E37FA">
        <w:rPr>
          <w:sz w:val="18"/>
          <w:szCs w:val="18"/>
          <w:vertAlign w:val="subscript"/>
        </w:rPr>
        <w:t>4</w:t>
      </w:r>
      <w:r w:rsidRPr="002E37FA">
        <w:rPr>
          <w:sz w:val="18"/>
          <w:szCs w:val="18"/>
        </w:rPr>
        <w:t>NO</w:t>
      </w:r>
      <w:r w:rsidRPr="002E37FA">
        <w:rPr>
          <w:sz w:val="18"/>
          <w:szCs w:val="18"/>
          <w:vertAlign w:val="subscript"/>
        </w:rPr>
        <w:t>3</w:t>
      </w:r>
      <w:r w:rsidRPr="002E37FA">
        <w:rPr>
          <w:sz w:val="18"/>
          <w:szCs w:val="18"/>
        </w:rPr>
        <w:t xml:space="preserve">, was added to the Pi treatments to compensate for the N content of the nHAp suspension. The soil was pre-incubated with water for two weeks at 30% water holding capacity (WHC). An equivalent of 2.2 kg dry soil was packed into rhizoboxes (40 x 20 x 2 cm). A layer of cellophane was placed between the soil and the acrylic glass plate to prevent root damage whenever the glass plate was removed during imaging. Barley seeds were germinated in vermiculite for five days before being transplanted, one plant per box. Germination and growth took place in a greenhouse at 20/16 °C minimum day/night temperatures </w:t>
      </w:r>
      <w:r w:rsidRPr="002E37FA">
        <w:rPr>
          <w:sz w:val="18"/>
          <w:szCs w:val="18"/>
        </w:rPr>
        <w:lastRenderedPageBreak/>
        <w:t>and 16/8-hour day/night light cycles. Relative humidity was kept at ~60% and minimum light intensity at 300 μmol photons m</w:t>
      </w:r>
      <w:r w:rsidRPr="002E37FA">
        <w:rPr>
          <w:sz w:val="18"/>
          <w:szCs w:val="18"/>
          <w:vertAlign w:val="superscript"/>
        </w:rPr>
        <w:t>-2</w:t>
      </w:r>
      <w:r w:rsidRPr="002E37FA">
        <w:rPr>
          <w:sz w:val="18"/>
          <w:szCs w:val="18"/>
        </w:rPr>
        <w:t xml:space="preserve"> s</w:t>
      </w:r>
      <w:r w:rsidRPr="002E37FA">
        <w:rPr>
          <w:sz w:val="18"/>
          <w:szCs w:val="18"/>
          <w:vertAlign w:val="superscript"/>
        </w:rPr>
        <w:t>-1</w:t>
      </w:r>
      <w:r w:rsidRPr="002E37FA">
        <w:rPr>
          <w:sz w:val="18"/>
          <w:szCs w:val="18"/>
        </w:rPr>
        <w:t xml:space="preserve">. </w:t>
      </w:r>
    </w:p>
    <w:p w14:paraId="1C9F1990" w14:textId="77777777" w:rsidR="007276E9" w:rsidRPr="002E37FA" w:rsidRDefault="007276E9" w:rsidP="007276E9">
      <w:pPr>
        <w:pStyle w:val="RSCB02ArticleText"/>
        <w:rPr>
          <w:sz w:val="18"/>
          <w:szCs w:val="18"/>
        </w:rPr>
      </w:pPr>
      <w:r w:rsidRPr="002E37FA">
        <w:rPr>
          <w:sz w:val="18"/>
          <w:szCs w:val="18"/>
        </w:rPr>
        <w:t>The bottom of each rhizobox had two openings, allowing a fleece wick to be placed in the bottom to soak up water from a plastic tray in which it was standing. The rhizoboxes were kept in racks, holding them at a 45° angle to promote root growth along the acrylic glass plate. An opaque plastic cover was placed on the acrylic glass during growth to protect the roots from light exposure. Watering was done by filling the trays with water, allowing the boxes to soak up water, and draining the trays the following day. Moisture levels were maintained at approximately 60% WHC during the experiment, with random sampling to check the weight.</w:t>
      </w:r>
    </w:p>
    <w:p w14:paraId="1EA4621C" w14:textId="77777777" w:rsidR="007276E9" w:rsidRPr="002E37FA" w:rsidRDefault="007276E9" w:rsidP="007276E9">
      <w:pPr>
        <w:pStyle w:val="RSCB02ArticleText"/>
        <w:rPr>
          <w:sz w:val="18"/>
          <w:szCs w:val="18"/>
        </w:rPr>
      </w:pPr>
      <w:r w:rsidRPr="002E37FA">
        <w:rPr>
          <w:sz w:val="18"/>
          <w:szCs w:val="18"/>
        </w:rPr>
        <w:t>The fertilizer solutions were both spiked with a β-emitting P radioisotope (</w:t>
      </w:r>
      <w:r w:rsidRPr="002E37FA">
        <w:rPr>
          <w:sz w:val="18"/>
          <w:szCs w:val="18"/>
          <w:vertAlign w:val="superscript"/>
        </w:rPr>
        <w:t>33</w:t>
      </w:r>
      <w:r w:rsidRPr="002E37FA">
        <w:rPr>
          <w:sz w:val="18"/>
          <w:szCs w:val="18"/>
        </w:rPr>
        <w:t xml:space="preserve">P) to allow for radioactive imaging (autoradiography). As described in section 2.1, phosphoric acid containing </w:t>
      </w:r>
      <w:r w:rsidRPr="002E37FA">
        <w:rPr>
          <w:sz w:val="18"/>
          <w:szCs w:val="18"/>
          <w:vertAlign w:val="superscript"/>
        </w:rPr>
        <w:t>33</w:t>
      </w:r>
      <w:r w:rsidRPr="002E37FA">
        <w:rPr>
          <w:sz w:val="18"/>
          <w:szCs w:val="18"/>
        </w:rPr>
        <w:t>P was added during the bottom-up nHAp synthesis so it would be incorporated into the mineral structure. It was also added to the Pi solution (K</w:t>
      </w:r>
      <w:r w:rsidRPr="002E37FA">
        <w:rPr>
          <w:sz w:val="18"/>
          <w:szCs w:val="18"/>
          <w:vertAlign w:val="subscript"/>
        </w:rPr>
        <w:t>2</w:t>
      </w:r>
      <w:r w:rsidRPr="002E37FA">
        <w:rPr>
          <w:sz w:val="18"/>
          <w:szCs w:val="18"/>
        </w:rPr>
        <w:t>HPO</w:t>
      </w:r>
      <w:r w:rsidRPr="002E37FA">
        <w:rPr>
          <w:sz w:val="18"/>
          <w:szCs w:val="18"/>
          <w:vertAlign w:val="subscript"/>
        </w:rPr>
        <w:t>4</w:t>
      </w:r>
      <w:r w:rsidRPr="002E37FA">
        <w:rPr>
          <w:sz w:val="18"/>
          <w:szCs w:val="18"/>
        </w:rPr>
        <w:t>, pH 7)</w:t>
      </w:r>
      <w:r w:rsidRPr="002E37FA">
        <w:rPr>
          <w:sz w:val="18"/>
          <w:szCs w:val="18"/>
          <w:vertAlign w:val="subscript"/>
        </w:rPr>
        <w:t xml:space="preserve"> </w:t>
      </w:r>
      <w:r w:rsidRPr="002E37FA">
        <w:rPr>
          <w:sz w:val="18"/>
          <w:szCs w:val="18"/>
        </w:rPr>
        <w:t>prior to soil application to ensure equilibrium between the stable P isotope (</w:t>
      </w:r>
      <w:r w:rsidRPr="002E37FA">
        <w:rPr>
          <w:sz w:val="18"/>
          <w:szCs w:val="18"/>
          <w:vertAlign w:val="superscript"/>
        </w:rPr>
        <w:t>31</w:t>
      </w:r>
      <w:r w:rsidRPr="002E37FA">
        <w:rPr>
          <w:sz w:val="18"/>
          <w:szCs w:val="18"/>
        </w:rPr>
        <w:t xml:space="preserve">P) and </w:t>
      </w:r>
      <w:r w:rsidRPr="002E37FA">
        <w:rPr>
          <w:sz w:val="18"/>
          <w:szCs w:val="18"/>
          <w:vertAlign w:val="superscript"/>
        </w:rPr>
        <w:t>33</w:t>
      </w:r>
      <w:r w:rsidRPr="002E37FA">
        <w:rPr>
          <w:sz w:val="18"/>
          <w:szCs w:val="18"/>
        </w:rPr>
        <w:t xml:space="preserve">P. Both liquids contained a </w:t>
      </w:r>
      <w:r w:rsidRPr="002E37FA">
        <w:rPr>
          <w:sz w:val="18"/>
          <w:szCs w:val="18"/>
          <w:vertAlign w:val="superscript"/>
        </w:rPr>
        <w:t>33</w:t>
      </w:r>
      <w:r w:rsidRPr="002E37FA">
        <w:rPr>
          <w:sz w:val="18"/>
          <w:szCs w:val="18"/>
        </w:rPr>
        <w:t>P activity of 370 kBq mL</w:t>
      </w:r>
      <w:r w:rsidRPr="002E37FA">
        <w:rPr>
          <w:sz w:val="18"/>
          <w:szCs w:val="18"/>
          <w:vertAlign w:val="superscript"/>
        </w:rPr>
        <w:t>-1</w:t>
      </w:r>
      <w:r w:rsidRPr="002E37FA">
        <w:rPr>
          <w:sz w:val="18"/>
          <w:szCs w:val="18"/>
        </w:rPr>
        <w:t xml:space="preserve">. The quantity of P added as </w:t>
      </w:r>
      <w:r w:rsidRPr="002E37FA">
        <w:rPr>
          <w:sz w:val="18"/>
          <w:szCs w:val="18"/>
          <w:vertAlign w:val="superscript"/>
        </w:rPr>
        <w:t>33</w:t>
      </w:r>
      <w:r w:rsidRPr="002E37FA">
        <w:rPr>
          <w:sz w:val="18"/>
          <w:szCs w:val="18"/>
        </w:rPr>
        <w:t>P (= 0.11 ng P per rhizobox) was negligible from a nutritional perspective considering the total amount of P applied. 8 mL of fertilizer (= 22 mg P kg</w:t>
      </w:r>
      <w:r w:rsidRPr="002E37FA">
        <w:rPr>
          <w:sz w:val="18"/>
          <w:szCs w:val="18"/>
          <w:vertAlign w:val="superscript"/>
        </w:rPr>
        <w:t xml:space="preserve">-1 </w:t>
      </w:r>
      <w:r w:rsidRPr="002E37FA">
        <w:rPr>
          <w:sz w:val="18"/>
          <w:szCs w:val="18"/>
        </w:rPr>
        <w:t>dry soil) were applied to the soil in a broad band approximately 5 cm from the bottom of the rhizobox. This P application rate is closer to standard agricultural practices (~24 kg P ha</w:t>
      </w:r>
      <w:r w:rsidRPr="002E37FA">
        <w:rPr>
          <w:sz w:val="18"/>
          <w:szCs w:val="18"/>
          <w:vertAlign w:val="superscript"/>
        </w:rPr>
        <w:t>-1</w:t>
      </w:r>
      <w:r w:rsidRPr="002E37FA">
        <w:rPr>
          <w:sz w:val="18"/>
          <w:szCs w:val="18"/>
        </w:rPr>
        <w:t>, assuming 1.1 g cm</w:t>
      </w:r>
      <w:r w:rsidRPr="002E37FA">
        <w:rPr>
          <w:sz w:val="18"/>
          <w:szCs w:val="18"/>
          <w:vertAlign w:val="superscript"/>
        </w:rPr>
        <w:t>-3</w:t>
      </w:r>
      <w:r w:rsidRPr="002E37FA">
        <w:rPr>
          <w:sz w:val="18"/>
          <w:szCs w:val="18"/>
        </w:rPr>
        <w:t xml:space="preserve"> soil bulk density in the top 10 cm) compared to quantities used in many other nHAp studies (~165 kg P ha</w:t>
      </w:r>
      <w:r w:rsidRPr="002E37FA">
        <w:rPr>
          <w:sz w:val="18"/>
          <w:szCs w:val="18"/>
          <w:vertAlign w:val="superscript"/>
        </w:rPr>
        <w:t>-1</w:t>
      </w:r>
      <w:r w:rsidRPr="002E37FA">
        <w:rPr>
          <w:sz w:val="18"/>
          <w:szCs w:val="18"/>
        </w:rPr>
        <w:t xml:space="preserve">). The dose was also chosen to avoid oversaturating the soil with moisture upon application. </w:t>
      </w:r>
    </w:p>
    <w:p w14:paraId="235499E0" w14:textId="77777777" w:rsidR="007276E9" w:rsidRPr="002E37FA" w:rsidRDefault="007276E9" w:rsidP="007276E9">
      <w:pPr>
        <w:pStyle w:val="RSCB02ArticleText"/>
        <w:rPr>
          <w:sz w:val="18"/>
          <w:szCs w:val="18"/>
        </w:rPr>
      </w:pPr>
      <w:r w:rsidRPr="002E37FA">
        <w:rPr>
          <w:sz w:val="18"/>
          <w:szCs w:val="18"/>
        </w:rPr>
        <w:t>In two control treatments, a root-impermeable polyester filter was placed 8 cm from the bottom of the rhizobox. The P fertilizers were applied below the filter, so roots were prevented from coming into direct contact with the fertilizers. These controls were made to assess upwards movement of fertilizer-P via water crossing the filter barrier. All treatments were performed in triplicate.</w:t>
      </w:r>
    </w:p>
    <w:p w14:paraId="7F9FE7B5" w14:textId="77777777" w:rsidR="007276E9" w:rsidRPr="004824BC" w:rsidRDefault="007276E9" w:rsidP="007276E9">
      <w:pPr>
        <w:pStyle w:val="RSCB02ArticleText"/>
      </w:pPr>
    </w:p>
    <w:p w14:paraId="348919F1" w14:textId="77777777" w:rsidR="007276E9" w:rsidRPr="002E37FA" w:rsidRDefault="007276E9" w:rsidP="007276E9">
      <w:pPr>
        <w:keepNext/>
        <w:keepLines/>
        <w:numPr>
          <w:ilvl w:val="1"/>
          <w:numId w:val="0"/>
        </w:numPr>
        <w:tabs>
          <w:tab w:val="left" w:pos="709"/>
          <w:tab w:val="left" w:pos="993"/>
        </w:tabs>
        <w:spacing w:before="40" w:line="240" w:lineRule="auto"/>
        <w:outlineLvl w:val="1"/>
        <w:rPr>
          <w:rFonts w:ascii="Calibri Light" w:eastAsia="Times New Roman" w:hAnsi="Calibri Light"/>
          <w:b/>
          <w:bCs/>
          <w:sz w:val="20"/>
        </w:rPr>
      </w:pPr>
      <w:r w:rsidRPr="002E37FA">
        <w:rPr>
          <w:rFonts w:ascii="Calibri Light" w:eastAsia="Times New Roman" w:hAnsi="Calibri Light"/>
          <w:b/>
          <w:bCs/>
          <w:sz w:val="20"/>
        </w:rPr>
        <w:t>Radioactive imaging and elemental analysis</w:t>
      </w:r>
    </w:p>
    <w:p w14:paraId="0AB510E4" w14:textId="77777777" w:rsidR="007276E9" w:rsidRPr="002E37FA" w:rsidRDefault="007276E9" w:rsidP="007276E9">
      <w:pPr>
        <w:pStyle w:val="RSCB02ArticleText"/>
        <w:rPr>
          <w:sz w:val="18"/>
          <w:szCs w:val="18"/>
        </w:rPr>
      </w:pPr>
      <w:r w:rsidRPr="002E37FA">
        <w:rPr>
          <w:sz w:val="18"/>
          <w:szCs w:val="18"/>
        </w:rPr>
        <w:t xml:space="preserve">Autoradiography is a non-destructive method, and storage phosphor screens (Molecular Dynamics, Sunnyvale, CA, USA) were used throughout the experiment to detect the distribution of </w:t>
      </w:r>
      <w:r w:rsidRPr="002E37FA">
        <w:rPr>
          <w:sz w:val="18"/>
          <w:szCs w:val="18"/>
          <w:vertAlign w:val="superscript"/>
        </w:rPr>
        <w:t>33</w:t>
      </w:r>
      <w:r w:rsidRPr="002E37FA">
        <w:rPr>
          <w:sz w:val="18"/>
          <w:szCs w:val="18"/>
        </w:rPr>
        <w:t xml:space="preserve">P in the soil and roots. However, it was only possible to have sufficiently long screen-exposure time, obtaining a detailed image of the root system, after harvesting the shoots to avoid excessive stress on the roots. The shoot biomass was harvested after 5 weeks. This timeframe was chosen because it covers growth stages where spring barley has a high sensitivity to P deficiency and because </w:t>
      </w:r>
      <w:r w:rsidRPr="002E37FA">
        <w:rPr>
          <w:sz w:val="18"/>
          <w:szCs w:val="18"/>
          <w:vertAlign w:val="superscript"/>
        </w:rPr>
        <w:t>33</w:t>
      </w:r>
      <w:r w:rsidRPr="002E37FA">
        <w:rPr>
          <w:sz w:val="18"/>
          <w:szCs w:val="18"/>
        </w:rPr>
        <w:t>P has a half-life of 25.34 days, we needed to ensure that there would still be a significant radioactive signal at harvest. Roots and soil still contained in the rhizoboxes were scanned with a large phosphor screen, while harvested shoots from the same rhizoboxes were scanned with four smaller screens. The screen exposure time started at 48 hours for the first rhizoboxes and increased for the following measurements to compensate for the decay of the radioisotope. In addition to the cellophane already present to protect the roots, contamination of the screens was prevented by covering them in a thin layer of plastic film. The screens were scanned on a Typhoon IP Phosphorimager (Amersham BioSciences, Buckinghamshire, UK) with 25 µm resolution. The resulting digital images were analysed using the associated software ImageQuaNT™. After exposure to radioactivity, the screens were reset through constant white light exposure on an Image Eraser (Molecular Dynamics) for 1 hour, after which the screens could be used for new measurements.</w:t>
      </w:r>
    </w:p>
    <w:p w14:paraId="5F55A23D" w14:textId="77777777" w:rsidR="007276E9" w:rsidRPr="002E37FA" w:rsidRDefault="007276E9" w:rsidP="007276E9">
      <w:pPr>
        <w:pStyle w:val="RSCB02ArticleText"/>
        <w:rPr>
          <w:sz w:val="18"/>
          <w:szCs w:val="18"/>
        </w:rPr>
      </w:pPr>
      <w:r w:rsidRPr="002E37FA">
        <w:rPr>
          <w:sz w:val="18"/>
          <w:szCs w:val="18"/>
        </w:rPr>
        <w:t xml:space="preserve">While the images obtained with autoradiography provide qualitative and semi-quantitative information about </w:t>
      </w:r>
      <w:r w:rsidRPr="002E37FA">
        <w:rPr>
          <w:sz w:val="18"/>
          <w:szCs w:val="18"/>
          <w:vertAlign w:val="superscript"/>
        </w:rPr>
        <w:t>33</w:t>
      </w:r>
      <w:r w:rsidRPr="002E37FA">
        <w:rPr>
          <w:sz w:val="18"/>
          <w:szCs w:val="18"/>
        </w:rPr>
        <w:t xml:space="preserve">P distribution in soil, roots and shoots, a liquid scintillation counter (LSC) was used to quantitatively assess </w:t>
      </w:r>
      <w:r w:rsidRPr="002E37FA">
        <w:rPr>
          <w:sz w:val="18"/>
          <w:szCs w:val="18"/>
          <w:vertAlign w:val="superscript"/>
        </w:rPr>
        <w:t>33</w:t>
      </w:r>
      <w:r w:rsidRPr="002E37FA">
        <w:rPr>
          <w:sz w:val="18"/>
          <w:szCs w:val="18"/>
        </w:rPr>
        <w:t>P contents in the shoots. The harvested biomass was dried at 60 °C and homogenized by zirconium balls in a paint-shaker. 150-250 mg of each sample was weighed prior to microwave-digestion with 70% HNO</w:t>
      </w:r>
      <w:r w:rsidRPr="002E37FA">
        <w:rPr>
          <w:sz w:val="18"/>
          <w:szCs w:val="18"/>
          <w:vertAlign w:val="subscript"/>
        </w:rPr>
        <w:t xml:space="preserve">3 </w:t>
      </w:r>
      <w:r w:rsidRPr="002E37FA">
        <w:rPr>
          <w:sz w:val="18"/>
          <w:szCs w:val="18"/>
        </w:rPr>
        <w:t>and 15% H</w:t>
      </w:r>
      <w:r w:rsidRPr="002E37FA">
        <w:rPr>
          <w:sz w:val="18"/>
          <w:szCs w:val="18"/>
          <w:vertAlign w:val="subscript"/>
        </w:rPr>
        <w:t>2</w:t>
      </w:r>
      <w:r w:rsidRPr="002E37FA">
        <w:rPr>
          <w:sz w:val="18"/>
          <w:szCs w:val="18"/>
        </w:rPr>
        <w:t>O</w:t>
      </w:r>
      <w:r w:rsidRPr="002E37FA">
        <w:rPr>
          <w:sz w:val="18"/>
          <w:szCs w:val="18"/>
          <w:vertAlign w:val="subscript"/>
        </w:rPr>
        <w:t>2</w:t>
      </w:r>
      <w:r w:rsidRPr="002E37FA">
        <w:rPr>
          <w:sz w:val="18"/>
          <w:szCs w:val="18"/>
        </w:rPr>
        <w:t>. The samples were diluted with Milli-Q water before further analysis. A small quantity (0.5-5 mL) of the digested plant material was mixed with 15 mL of scintillation cocktail (UltimaGold™, PerkinElmer) and measured in duplicate on a Packard 1900 TR LSC (PerkinElmer, Waltham, MA, USA). The remainder of the digested material was used for ICP-OES analysis for measurement of the total P content. By quantifying total P and radioisotope P (</w:t>
      </w:r>
      <w:r w:rsidRPr="002E37FA">
        <w:rPr>
          <w:sz w:val="18"/>
          <w:szCs w:val="18"/>
          <w:vertAlign w:val="superscript"/>
        </w:rPr>
        <w:t>33</w:t>
      </w:r>
      <w:r w:rsidRPr="002E37FA">
        <w:rPr>
          <w:sz w:val="18"/>
          <w:szCs w:val="18"/>
        </w:rPr>
        <w:t>P) in the biomass, it was possible to distinguish P derived from the soil and the fertilizer, respectively. The specific activity in the shoot (kBq mg</w:t>
      </w:r>
      <w:r w:rsidRPr="002E37FA">
        <w:rPr>
          <w:sz w:val="18"/>
          <w:szCs w:val="18"/>
          <w:vertAlign w:val="superscript"/>
        </w:rPr>
        <w:t>-1</w:t>
      </w:r>
      <w:r w:rsidRPr="002E37FA">
        <w:rPr>
          <w:sz w:val="18"/>
          <w:szCs w:val="18"/>
        </w:rPr>
        <w:t xml:space="preserve"> P), the amount of P in the shoot derived from the applied fertilizer (%) and the recovery of </w:t>
      </w:r>
      <w:r w:rsidRPr="002E37FA">
        <w:rPr>
          <w:sz w:val="18"/>
          <w:szCs w:val="18"/>
          <w:vertAlign w:val="superscript"/>
        </w:rPr>
        <w:t>33</w:t>
      </w:r>
      <w:r w:rsidRPr="002E37FA">
        <w:rPr>
          <w:sz w:val="18"/>
          <w:szCs w:val="18"/>
        </w:rPr>
        <w:t xml:space="preserve">P (%) was calculated according to the equations described in Koch </w:t>
      </w:r>
      <w:r w:rsidRPr="002E37FA">
        <w:rPr>
          <w:i/>
          <w:sz w:val="18"/>
          <w:szCs w:val="18"/>
        </w:rPr>
        <w:t>et al</w:t>
      </w:r>
      <w:r w:rsidRPr="002E37FA">
        <w:rPr>
          <w:iCs/>
          <w:sz w:val="18"/>
          <w:szCs w:val="18"/>
        </w:rPr>
        <w:t>.</w:t>
      </w:r>
      <w:r>
        <w:rPr>
          <w:noProof/>
          <w:sz w:val="18"/>
          <w:szCs w:val="18"/>
        </w:rPr>
        <w:t xml:space="preserve"> (2019)</w:t>
      </w:r>
      <w:r w:rsidRPr="002E37FA">
        <w:rPr>
          <w:sz w:val="18"/>
          <w:szCs w:val="18"/>
        </w:rPr>
        <w:t xml:space="preserve">. </w:t>
      </w:r>
    </w:p>
    <w:p w14:paraId="733DECD4" w14:textId="77777777" w:rsidR="007276E9" w:rsidRPr="006E3094" w:rsidRDefault="007276E9" w:rsidP="007276E9">
      <w:pPr>
        <w:keepNext/>
        <w:keepLines/>
        <w:numPr>
          <w:ilvl w:val="1"/>
          <w:numId w:val="0"/>
        </w:numPr>
        <w:spacing w:before="40" w:after="0" w:line="240" w:lineRule="auto"/>
        <w:outlineLvl w:val="1"/>
        <w:rPr>
          <w:rFonts w:ascii="Calibri Light" w:eastAsia="Times New Roman" w:hAnsi="Calibri Light"/>
          <w:b/>
          <w:bCs/>
          <w:sz w:val="24"/>
          <w:szCs w:val="26"/>
        </w:rPr>
      </w:pPr>
    </w:p>
    <w:p w14:paraId="29B365B9" w14:textId="77777777" w:rsidR="007276E9" w:rsidRPr="002E37FA" w:rsidRDefault="007276E9" w:rsidP="007276E9">
      <w:pPr>
        <w:keepNext/>
        <w:keepLines/>
        <w:numPr>
          <w:ilvl w:val="1"/>
          <w:numId w:val="0"/>
        </w:numPr>
        <w:tabs>
          <w:tab w:val="left" w:pos="709"/>
        </w:tabs>
        <w:spacing w:before="40" w:line="240" w:lineRule="auto"/>
        <w:outlineLvl w:val="1"/>
        <w:rPr>
          <w:rFonts w:ascii="Calibri Light" w:eastAsia="Times New Roman" w:hAnsi="Calibri Light"/>
          <w:b/>
          <w:bCs/>
          <w:sz w:val="20"/>
        </w:rPr>
      </w:pPr>
      <w:r w:rsidRPr="002E37FA">
        <w:rPr>
          <w:rFonts w:ascii="Calibri Light" w:eastAsia="Times New Roman" w:hAnsi="Calibri Light"/>
          <w:b/>
          <w:bCs/>
          <w:sz w:val="20"/>
        </w:rPr>
        <w:t>Sequential chemical extraction of phosphorus</w:t>
      </w:r>
    </w:p>
    <w:p w14:paraId="6252227A" w14:textId="77777777" w:rsidR="007276E9" w:rsidRPr="002E37FA" w:rsidRDefault="007276E9" w:rsidP="007276E9">
      <w:pPr>
        <w:pStyle w:val="RSCB02ArticleText"/>
        <w:rPr>
          <w:sz w:val="18"/>
          <w:szCs w:val="18"/>
        </w:rPr>
      </w:pPr>
      <w:r w:rsidRPr="002E37FA">
        <w:rPr>
          <w:sz w:val="18"/>
          <w:szCs w:val="18"/>
        </w:rPr>
        <w:t>Chemical P extractions were done according to a modified version of Hedley, Stewart and Chauhan</w:t>
      </w:r>
      <w:r>
        <w:rPr>
          <w:noProof/>
          <w:sz w:val="18"/>
          <w:szCs w:val="18"/>
          <w:vertAlign w:val="superscript"/>
        </w:rPr>
        <w:t xml:space="preserve"> </w:t>
      </w:r>
      <w:r>
        <w:rPr>
          <w:noProof/>
          <w:sz w:val="18"/>
          <w:szCs w:val="18"/>
        </w:rPr>
        <w:t>(Hedley et al. 1982)</w:t>
      </w:r>
      <w:r w:rsidRPr="002E37FA">
        <w:rPr>
          <w:sz w:val="18"/>
          <w:szCs w:val="18"/>
        </w:rPr>
        <w:t xml:space="preserve">. The extractants used were Milli-Q water, 0.5 </w:t>
      </w:r>
      <w:r w:rsidRPr="002E37FA">
        <w:rPr>
          <w:i/>
          <w:iCs/>
          <w:sz w:val="18"/>
          <w:szCs w:val="18"/>
        </w:rPr>
        <w:t>M</w:t>
      </w:r>
      <w:r w:rsidRPr="002E37FA">
        <w:rPr>
          <w:sz w:val="18"/>
          <w:szCs w:val="18"/>
        </w:rPr>
        <w:t xml:space="preserve"> NaHCO</w:t>
      </w:r>
      <w:r w:rsidRPr="002E37FA">
        <w:rPr>
          <w:sz w:val="18"/>
          <w:szCs w:val="18"/>
          <w:vertAlign w:val="subscript"/>
        </w:rPr>
        <w:t xml:space="preserve">3 </w:t>
      </w:r>
      <w:r w:rsidRPr="002E37FA">
        <w:rPr>
          <w:sz w:val="18"/>
          <w:szCs w:val="18"/>
        </w:rPr>
        <w:t xml:space="preserve">(pH 8.5), 0.1 </w:t>
      </w:r>
      <w:r w:rsidRPr="002E37FA">
        <w:rPr>
          <w:i/>
          <w:iCs/>
          <w:sz w:val="18"/>
          <w:szCs w:val="18"/>
        </w:rPr>
        <w:t>M</w:t>
      </w:r>
      <w:r w:rsidRPr="002E37FA">
        <w:rPr>
          <w:sz w:val="18"/>
          <w:szCs w:val="18"/>
        </w:rPr>
        <w:t xml:space="preserve"> NaOH and 1 </w:t>
      </w:r>
      <w:r w:rsidRPr="002E37FA">
        <w:rPr>
          <w:i/>
          <w:iCs/>
          <w:sz w:val="18"/>
          <w:szCs w:val="18"/>
        </w:rPr>
        <w:t>M</w:t>
      </w:r>
      <w:r w:rsidRPr="002E37FA">
        <w:rPr>
          <w:sz w:val="18"/>
          <w:szCs w:val="18"/>
        </w:rPr>
        <w:t xml:space="preserve"> HCl. The weaker extraction agents are meant to capture P in the soil solution, while stronger extractants are meant to assess the P fractions that buffer the soil solution P</w:t>
      </w:r>
      <w:r>
        <w:rPr>
          <w:noProof/>
          <w:sz w:val="18"/>
          <w:szCs w:val="18"/>
          <w:vertAlign w:val="superscript"/>
        </w:rPr>
        <w:t xml:space="preserve"> </w:t>
      </w:r>
      <w:r>
        <w:rPr>
          <w:sz w:val="18"/>
          <w:szCs w:val="18"/>
        </w:rPr>
        <w:t>(Zehetner et al. 2018)</w:t>
      </w:r>
      <w:r w:rsidRPr="002E37FA">
        <w:rPr>
          <w:sz w:val="18"/>
          <w:szCs w:val="18"/>
        </w:rPr>
        <w:t xml:space="preserve">. In the case of the Hedley-protocol, the P fractions are considered as: </w:t>
      </w:r>
      <w:r w:rsidRPr="002E37FA">
        <w:rPr>
          <w:b/>
          <w:bCs/>
          <w:sz w:val="18"/>
          <w:szCs w:val="18"/>
        </w:rPr>
        <w:t>1)</w:t>
      </w:r>
      <w:r w:rsidRPr="002E37FA">
        <w:rPr>
          <w:sz w:val="18"/>
          <w:szCs w:val="18"/>
        </w:rPr>
        <w:t xml:space="preserve"> loosely bound/labile species (extracted with water and NaHCO</w:t>
      </w:r>
      <w:r w:rsidRPr="002E37FA">
        <w:rPr>
          <w:sz w:val="18"/>
          <w:szCs w:val="18"/>
          <w:vertAlign w:val="subscript"/>
        </w:rPr>
        <w:t>3</w:t>
      </w:r>
      <w:r w:rsidRPr="002E37FA">
        <w:rPr>
          <w:sz w:val="18"/>
          <w:szCs w:val="18"/>
        </w:rPr>
        <w:t xml:space="preserve">), </w:t>
      </w:r>
      <w:r w:rsidRPr="002E37FA">
        <w:rPr>
          <w:b/>
          <w:bCs/>
          <w:sz w:val="18"/>
          <w:szCs w:val="18"/>
        </w:rPr>
        <w:t>2)</w:t>
      </w:r>
      <w:r w:rsidRPr="002E37FA">
        <w:rPr>
          <w:sz w:val="18"/>
          <w:szCs w:val="18"/>
        </w:rPr>
        <w:t xml:space="preserve"> moderately labile species bound to Al- and Fe-minerals (extracted with NaOH) and </w:t>
      </w:r>
      <w:r w:rsidRPr="002E37FA">
        <w:rPr>
          <w:b/>
          <w:bCs/>
          <w:sz w:val="18"/>
          <w:szCs w:val="18"/>
        </w:rPr>
        <w:t>3)</w:t>
      </w:r>
      <w:r w:rsidRPr="002E37FA">
        <w:rPr>
          <w:sz w:val="18"/>
          <w:szCs w:val="18"/>
        </w:rPr>
        <w:t xml:space="preserve"> low-lability species bound to Ca- and Mg-minerals (extracted with HCl). </w:t>
      </w:r>
    </w:p>
    <w:p w14:paraId="04018BF9" w14:textId="77777777" w:rsidR="007276E9" w:rsidRPr="002E37FA" w:rsidRDefault="007276E9" w:rsidP="007276E9">
      <w:pPr>
        <w:pStyle w:val="RSCB02ArticleText"/>
        <w:rPr>
          <w:sz w:val="18"/>
          <w:szCs w:val="18"/>
        </w:rPr>
      </w:pPr>
      <w:r w:rsidRPr="002E37FA">
        <w:rPr>
          <w:sz w:val="18"/>
          <w:szCs w:val="18"/>
        </w:rPr>
        <w:t>After 1, 3 and 7 weeks a soil sample equivalent to 0.5 dry soil was weighed into a falcon tube and mixed with 30 mL of the first extractant (water) on an end-over-end shaker for 16 hours. This was followed by centrifugation on a Sigma 3-16L centrifuge (Sigma Laborzentrifugen GmbH, Osterode am Harz, Germany) for 30 min at 3606 rpm and 4 °C. The supernatant was filtered through a Whatman filter paper (no. 5) into a new falcon tube and stored in the fridge for maximum 24 hours. The remaining soil pellet was resuspended in 30 mL of the next extractant (sodium bicarbonate), before shaking for 16 hours. This procedure was repeated for all four extractants. The P concentrations in the extracts were measured using the molybdenum-blue method. NaHCO</w:t>
      </w:r>
      <w:r w:rsidRPr="002E37FA">
        <w:rPr>
          <w:sz w:val="18"/>
          <w:szCs w:val="18"/>
          <w:vertAlign w:val="subscript"/>
        </w:rPr>
        <w:t>3</w:t>
      </w:r>
      <w:r w:rsidRPr="002E37FA">
        <w:rPr>
          <w:sz w:val="18"/>
          <w:szCs w:val="18"/>
        </w:rPr>
        <w:t xml:space="preserve"> and NaOH extracts were acidified using 1.5 </w:t>
      </w:r>
      <w:r w:rsidRPr="002E37FA">
        <w:rPr>
          <w:i/>
          <w:iCs/>
          <w:sz w:val="18"/>
          <w:szCs w:val="18"/>
        </w:rPr>
        <w:t>M</w:t>
      </w:r>
      <w:r w:rsidRPr="002E37FA">
        <w:rPr>
          <w:sz w:val="18"/>
          <w:szCs w:val="18"/>
        </w:rPr>
        <w:t xml:space="preserve"> and 0.5 </w:t>
      </w:r>
      <w:r w:rsidRPr="002E37FA">
        <w:rPr>
          <w:i/>
          <w:iCs/>
          <w:sz w:val="18"/>
          <w:szCs w:val="18"/>
        </w:rPr>
        <w:t>M</w:t>
      </w:r>
      <w:r w:rsidRPr="002E37FA">
        <w:rPr>
          <w:sz w:val="18"/>
          <w:szCs w:val="18"/>
        </w:rPr>
        <w:t xml:space="preserve"> H</w:t>
      </w:r>
      <w:r w:rsidRPr="002E37FA">
        <w:rPr>
          <w:sz w:val="18"/>
          <w:szCs w:val="18"/>
          <w:vertAlign w:val="subscript"/>
        </w:rPr>
        <w:t>2</w:t>
      </w:r>
      <w:r w:rsidRPr="002E37FA">
        <w:rPr>
          <w:sz w:val="18"/>
          <w:szCs w:val="18"/>
        </w:rPr>
        <w:t>SO</w:t>
      </w:r>
      <w:r w:rsidRPr="002E37FA">
        <w:rPr>
          <w:sz w:val="18"/>
          <w:szCs w:val="18"/>
          <w:vertAlign w:val="subscript"/>
        </w:rPr>
        <w:t>4</w:t>
      </w:r>
      <w:r w:rsidRPr="002E37FA">
        <w:rPr>
          <w:sz w:val="18"/>
          <w:szCs w:val="18"/>
        </w:rPr>
        <w:t xml:space="preserve">, respectively, before measuring the P concentrations. </w:t>
      </w:r>
    </w:p>
    <w:p w14:paraId="7847B2B9" w14:textId="77777777" w:rsidR="007276E9" w:rsidRDefault="007276E9" w:rsidP="00FF2C8E">
      <w:pPr>
        <w:pStyle w:val="Heading1"/>
        <w:ind w:left="360" w:hanging="360"/>
        <w:rPr>
          <w:sz w:val="24"/>
          <w:szCs w:val="28"/>
        </w:rPr>
      </w:pPr>
    </w:p>
    <w:p w14:paraId="021E0560" w14:textId="59D26A5F" w:rsidR="00FF2C8E" w:rsidRPr="002E37FA" w:rsidRDefault="00FF2C8E" w:rsidP="00FF2C8E">
      <w:pPr>
        <w:pStyle w:val="Heading1"/>
        <w:ind w:left="360" w:hanging="360"/>
        <w:rPr>
          <w:sz w:val="24"/>
          <w:szCs w:val="28"/>
        </w:rPr>
      </w:pPr>
      <w:r>
        <w:rPr>
          <w:sz w:val="24"/>
          <w:szCs w:val="28"/>
        </w:rPr>
        <w:t>Supplementary</w:t>
      </w:r>
      <w:r w:rsidRPr="002E37FA">
        <w:rPr>
          <w:sz w:val="24"/>
          <w:szCs w:val="28"/>
        </w:rPr>
        <w:t xml:space="preserve"> Figures and Tables</w:t>
      </w:r>
    </w:p>
    <w:p w14:paraId="54C0F4B0" w14:textId="77777777" w:rsidR="00FF2C8E" w:rsidRPr="000C64F1" w:rsidRDefault="00FF2C8E" w:rsidP="00FF2C8E"/>
    <w:p w14:paraId="0977E25A" w14:textId="77777777" w:rsidR="00FF2C8E" w:rsidRDefault="00FF2C8E" w:rsidP="00FF2C8E">
      <w:pPr>
        <w:keepNext/>
        <w:spacing w:before="240"/>
      </w:pPr>
      <w:r w:rsidRPr="002428F2">
        <w:rPr>
          <w:noProof/>
        </w:rPr>
        <w:drawing>
          <wp:inline distT="0" distB="0" distL="0" distR="0" wp14:anchorId="3A5E2435" wp14:editId="489FD3B4">
            <wp:extent cx="5730875" cy="2509520"/>
            <wp:effectExtent l="0" t="0" r="3175" b="5080"/>
            <wp:docPr id="19411045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t="7040"/>
                    <a:stretch>
                      <a:fillRect/>
                    </a:stretch>
                  </pic:blipFill>
                  <pic:spPr bwMode="auto">
                    <a:xfrm>
                      <a:off x="0" y="0"/>
                      <a:ext cx="5730875" cy="2509520"/>
                    </a:xfrm>
                    <a:prstGeom prst="rect">
                      <a:avLst/>
                    </a:prstGeom>
                    <a:noFill/>
                    <a:ln>
                      <a:noFill/>
                    </a:ln>
                  </pic:spPr>
                </pic:pic>
              </a:graphicData>
            </a:graphic>
          </wp:inline>
        </w:drawing>
      </w:r>
    </w:p>
    <w:p w14:paraId="57335C14" w14:textId="77777777" w:rsidR="00FF2C8E" w:rsidRPr="00311CAA" w:rsidRDefault="00FF2C8E" w:rsidP="00FF2C8E">
      <w:pPr>
        <w:pStyle w:val="Caption"/>
        <w:rPr>
          <w:b w:val="0"/>
          <w:bCs/>
          <w:sz w:val="18"/>
          <w:szCs w:val="16"/>
        </w:rPr>
      </w:pPr>
      <w:r w:rsidRPr="00311CAA">
        <w:rPr>
          <w:sz w:val="18"/>
          <w:szCs w:val="16"/>
        </w:rPr>
        <w:t>Fig</w:t>
      </w:r>
      <w:r>
        <w:rPr>
          <w:sz w:val="18"/>
          <w:szCs w:val="16"/>
        </w:rPr>
        <w:t>.</w:t>
      </w:r>
      <w:r w:rsidRPr="00311CAA">
        <w:rPr>
          <w:sz w:val="18"/>
          <w:szCs w:val="16"/>
        </w:rPr>
        <w:t xml:space="preserve"> S</w:t>
      </w:r>
      <w:r w:rsidRPr="00311CAA">
        <w:rPr>
          <w:sz w:val="18"/>
          <w:szCs w:val="16"/>
        </w:rPr>
        <w:fldChar w:fldCharType="begin"/>
      </w:r>
      <w:r w:rsidRPr="00311CAA">
        <w:rPr>
          <w:sz w:val="18"/>
          <w:szCs w:val="16"/>
        </w:rPr>
        <w:instrText xml:space="preserve"> SEQ Figure \* ARABIC </w:instrText>
      </w:r>
      <w:r w:rsidRPr="00311CAA">
        <w:rPr>
          <w:sz w:val="18"/>
          <w:szCs w:val="16"/>
        </w:rPr>
        <w:fldChar w:fldCharType="separate"/>
      </w:r>
      <w:r w:rsidRPr="00311CAA">
        <w:rPr>
          <w:noProof/>
          <w:sz w:val="18"/>
          <w:szCs w:val="16"/>
        </w:rPr>
        <w:t>1</w:t>
      </w:r>
      <w:r w:rsidRPr="00311CAA">
        <w:rPr>
          <w:sz w:val="18"/>
          <w:szCs w:val="16"/>
        </w:rPr>
        <w:fldChar w:fldCharType="end"/>
      </w:r>
      <w:r w:rsidRPr="00311CAA">
        <w:rPr>
          <w:sz w:val="18"/>
          <w:szCs w:val="16"/>
        </w:rPr>
        <w:t>.</w:t>
      </w:r>
      <w:r w:rsidRPr="00311CAA">
        <w:rPr>
          <w:b w:val="0"/>
          <w:bCs/>
          <w:sz w:val="18"/>
          <w:szCs w:val="16"/>
        </w:rPr>
        <w:t xml:space="preserve"> Thermogravimetry measurements of the mass loss (%) of organic material from nano-hydroxyapatite (nHAp) dialyzed in water and 50 </w:t>
      </w:r>
      <w:r w:rsidRPr="00311CAA">
        <w:rPr>
          <w:b w:val="0"/>
          <w:bCs/>
          <w:i/>
          <w:iCs w:val="0"/>
          <w:sz w:val="18"/>
          <w:szCs w:val="16"/>
        </w:rPr>
        <w:t>mM</w:t>
      </w:r>
      <w:r w:rsidRPr="00311CAA">
        <w:rPr>
          <w:b w:val="0"/>
          <w:bCs/>
          <w:sz w:val="18"/>
          <w:szCs w:val="16"/>
        </w:rPr>
        <w:t xml:space="preserve"> ammonium citrate.</w:t>
      </w:r>
    </w:p>
    <w:p w14:paraId="68604CBF" w14:textId="77777777" w:rsidR="00FF2C8E" w:rsidRDefault="00FF2C8E" w:rsidP="00FF2C8E"/>
    <w:p w14:paraId="516D214A" w14:textId="77777777" w:rsidR="00FF2C8E" w:rsidRPr="00311CAA" w:rsidRDefault="00FF2C8E" w:rsidP="00FF2C8E">
      <w:pPr>
        <w:rPr>
          <w:sz w:val="20"/>
          <w:szCs w:val="20"/>
        </w:rPr>
      </w:pPr>
    </w:p>
    <w:p w14:paraId="62A2EEEB" w14:textId="77777777" w:rsidR="00FF2C8E" w:rsidRPr="00311CAA" w:rsidRDefault="00FF2C8E" w:rsidP="00FF2C8E">
      <w:pPr>
        <w:pStyle w:val="Caption"/>
        <w:spacing w:after="240"/>
        <w:rPr>
          <w:b w:val="0"/>
          <w:sz w:val="18"/>
          <w:szCs w:val="16"/>
        </w:rPr>
      </w:pPr>
      <w:r w:rsidRPr="00311CAA">
        <w:rPr>
          <w:bCs/>
          <w:sz w:val="18"/>
          <w:szCs w:val="16"/>
        </w:rPr>
        <w:t>Table S1.</w:t>
      </w:r>
      <w:r w:rsidRPr="00311CAA">
        <w:rPr>
          <w:b w:val="0"/>
          <w:sz w:val="18"/>
          <w:szCs w:val="16"/>
        </w:rPr>
        <w:t xml:space="preserve"> Soil properties of the three soils from Northern Jutland. Values are means (n = 4).</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438"/>
        <w:gridCol w:w="1587"/>
        <w:gridCol w:w="1587"/>
        <w:gridCol w:w="1587"/>
      </w:tblGrid>
      <w:tr w:rsidR="00FF2C8E" w:rsidRPr="003123E3" w14:paraId="67E813C6" w14:textId="77777777" w:rsidTr="006018D5">
        <w:tc>
          <w:tcPr>
            <w:tcW w:w="2438" w:type="dxa"/>
            <w:tcBorders>
              <w:top w:val="single" w:sz="4" w:space="0" w:color="44546A"/>
              <w:left w:val="single" w:sz="4" w:space="0" w:color="44546A"/>
              <w:bottom w:val="single" w:sz="4" w:space="0" w:color="44546A"/>
            </w:tcBorders>
          </w:tcPr>
          <w:p w14:paraId="1FB4A1D0" w14:textId="77777777" w:rsidR="00FF2C8E" w:rsidRPr="003123E3" w:rsidRDefault="00FF2C8E" w:rsidP="006018D5">
            <w:pPr>
              <w:spacing w:before="40" w:after="0" w:line="360" w:lineRule="auto"/>
              <w:rPr>
                <w:rFonts w:cstheme="minorHAnsi"/>
                <w:color w:val="3A3A3A" w:themeColor="background2" w:themeShade="40"/>
                <w:sz w:val="18"/>
                <w:szCs w:val="18"/>
              </w:rPr>
            </w:pPr>
            <w:r w:rsidRPr="003123E3">
              <w:rPr>
                <w:rFonts w:cstheme="minorHAnsi"/>
                <w:b/>
                <w:bCs/>
                <w:color w:val="3A3A3A" w:themeColor="background2" w:themeShade="40"/>
                <w:sz w:val="18"/>
                <w:szCs w:val="18"/>
              </w:rPr>
              <w:t>Soil characteristics</w:t>
            </w:r>
          </w:p>
        </w:tc>
        <w:tc>
          <w:tcPr>
            <w:tcW w:w="1587" w:type="dxa"/>
            <w:tcBorders>
              <w:top w:val="single" w:sz="4" w:space="0" w:color="44546A"/>
              <w:bottom w:val="single" w:sz="4" w:space="0" w:color="44546A"/>
            </w:tcBorders>
          </w:tcPr>
          <w:p w14:paraId="6FB06660" w14:textId="77777777" w:rsidR="00FF2C8E" w:rsidRPr="003123E3" w:rsidRDefault="00FF2C8E" w:rsidP="006018D5">
            <w:pPr>
              <w:spacing w:before="40" w:after="0" w:line="360" w:lineRule="auto"/>
              <w:rPr>
                <w:rFonts w:cstheme="minorHAnsi"/>
                <w:color w:val="3A3A3A" w:themeColor="background2" w:themeShade="40"/>
                <w:sz w:val="18"/>
                <w:szCs w:val="18"/>
              </w:rPr>
            </w:pPr>
            <w:r w:rsidRPr="003123E3">
              <w:rPr>
                <w:rFonts w:cstheme="minorHAnsi"/>
                <w:b/>
                <w:bCs/>
                <w:color w:val="3A3A3A" w:themeColor="background2" w:themeShade="40"/>
                <w:sz w:val="18"/>
                <w:szCs w:val="18"/>
              </w:rPr>
              <w:t>NJ1</w:t>
            </w:r>
          </w:p>
        </w:tc>
        <w:tc>
          <w:tcPr>
            <w:tcW w:w="1587" w:type="dxa"/>
            <w:tcBorders>
              <w:top w:val="single" w:sz="4" w:space="0" w:color="44546A"/>
              <w:bottom w:val="single" w:sz="4" w:space="0" w:color="44546A"/>
            </w:tcBorders>
          </w:tcPr>
          <w:p w14:paraId="5D546B75" w14:textId="77777777" w:rsidR="00FF2C8E" w:rsidRPr="003123E3" w:rsidRDefault="00FF2C8E" w:rsidP="006018D5">
            <w:pPr>
              <w:spacing w:before="40" w:after="0" w:line="360" w:lineRule="auto"/>
              <w:rPr>
                <w:rFonts w:cstheme="minorHAnsi"/>
                <w:color w:val="3A3A3A" w:themeColor="background2" w:themeShade="40"/>
                <w:sz w:val="18"/>
                <w:szCs w:val="18"/>
              </w:rPr>
            </w:pPr>
            <w:r w:rsidRPr="003123E3">
              <w:rPr>
                <w:rFonts w:cstheme="minorHAnsi"/>
                <w:b/>
                <w:bCs/>
                <w:color w:val="3A3A3A" w:themeColor="background2" w:themeShade="40"/>
                <w:sz w:val="18"/>
                <w:szCs w:val="18"/>
              </w:rPr>
              <w:t>NJ2</w:t>
            </w:r>
          </w:p>
        </w:tc>
        <w:tc>
          <w:tcPr>
            <w:tcW w:w="1587" w:type="dxa"/>
            <w:tcBorders>
              <w:top w:val="single" w:sz="4" w:space="0" w:color="44546A"/>
              <w:bottom w:val="single" w:sz="4" w:space="0" w:color="44546A"/>
              <w:right w:val="single" w:sz="4" w:space="0" w:color="44546A"/>
            </w:tcBorders>
          </w:tcPr>
          <w:p w14:paraId="0AAB47A4" w14:textId="77777777" w:rsidR="00FF2C8E" w:rsidRPr="003123E3" w:rsidRDefault="00FF2C8E" w:rsidP="006018D5">
            <w:pPr>
              <w:spacing w:before="40" w:after="0" w:line="360" w:lineRule="auto"/>
              <w:rPr>
                <w:rFonts w:cstheme="minorHAnsi"/>
                <w:color w:val="3A3A3A" w:themeColor="background2" w:themeShade="40"/>
                <w:sz w:val="18"/>
                <w:szCs w:val="18"/>
              </w:rPr>
            </w:pPr>
            <w:r w:rsidRPr="003123E3">
              <w:rPr>
                <w:rFonts w:cstheme="minorHAnsi"/>
                <w:b/>
                <w:bCs/>
                <w:color w:val="3A3A3A" w:themeColor="background2" w:themeShade="40"/>
                <w:sz w:val="18"/>
                <w:szCs w:val="18"/>
              </w:rPr>
              <w:t>NJ3</w:t>
            </w:r>
          </w:p>
        </w:tc>
      </w:tr>
      <w:tr w:rsidR="00FF2C8E" w:rsidRPr="003123E3" w14:paraId="512AF6D0" w14:textId="77777777" w:rsidTr="006018D5">
        <w:tc>
          <w:tcPr>
            <w:tcW w:w="2438" w:type="dxa"/>
            <w:tcBorders>
              <w:top w:val="single" w:sz="4" w:space="0" w:color="44546A"/>
            </w:tcBorders>
            <w:shd w:val="clear" w:color="auto" w:fill="E7E6E6"/>
          </w:tcPr>
          <w:p w14:paraId="4D4B91C8"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pH</w:t>
            </w:r>
          </w:p>
        </w:tc>
        <w:tc>
          <w:tcPr>
            <w:tcW w:w="1587" w:type="dxa"/>
            <w:tcBorders>
              <w:top w:val="single" w:sz="4" w:space="0" w:color="44546A"/>
            </w:tcBorders>
            <w:shd w:val="clear" w:color="auto" w:fill="E7E6E6"/>
          </w:tcPr>
          <w:p w14:paraId="67249359"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5.2</w:t>
            </w:r>
          </w:p>
        </w:tc>
        <w:tc>
          <w:tcPr>
            <w:tcW w:w="1587" w:type="dxa"/>
            <w:tcBorders>
              <w:top w:val="single" w:sz="4" w:space="0" w:color="44546A"/>
            </w:tcBorders>
            <w:shd w:val="clear" w:color="auto" w:fill="E7E6E6"/>
          </w:tcPr>
          <w:p w14:paraId="0135BA8B"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4.7</w:t>
            </w:r>
          </w:p>
        </w:tc>
        <w:tc>
          <w:tcPr>
            <w:tcW w:w="1587" w:type="dxa"/>
            <w:tcBorders>
              <w:top w:val="single" w:sz="4" w:space="0" w:color="44546A"/>
            </w:tcBorders>
            <w:shd w:val="clear" w:color="auto" w:fill="E7E6E6"/>
          </w:tcPr>
          <w:p w14:paraId="0542079E"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5.7</w:t>
            </w:r>
          </w:p>
        </w:tc>
      </w:tr>
      <w:tr w:rsidR="00FF2C8E" w:rsidRPr="003123E3" w14:paraId="44386B5B" w14:textId="77777777" w:rsidTr="006018D5">
        <w:tc>
          <w:tcPr>
            <w:tcW w:w="2438" w:type="dxa"/>
          </w:tcPr>
          <w:p w14:paraId="784B7AA9" w14:textId="77777777" w:rsidR="00FF2C8E" w:rsidRPr="003123E3" w:rsidRDefault="00FF2C8E" w:rsidP="006018D5">
            <w:pPr>
              <w:spacing w:before="100" w:beforeAutospacing="1" w:after="100" w:afterAutospacing="1"/>
              <w:rPr>
                <w:rFonts w:cstheme="minorHAnsi"/>
                <w:color w:val="3A3A3A" w:themeColor="background2" w:themeShade="40"/>
                <w:sz w:val="18"/>
                <w:szCs w:val="18"/>
                <w:lang w:val="da-DK"/>
              </w:rPr>
            </w:pPr>
            <w:r w:rsidRPr="003123E3">
              <w:rPr>
                <w:rFonts w:cstheme="minorHAnsi"/>
                <w:color w:val="3A3A3A" w:themeColor="background2" w:themeShade="40"/>
                <w:sz w:val="18"/>
                <w:szCs w:val="18"/>
                <w:lang w:val="da-DK"/>
              </w:rPr>
              <w:t>Olsen-P (mg kg</w:t>
            </w:r>
            <w:r w:rsidRPr="003123E3">
              <w:rPr>
                <w:rFonts w:cstheme="minorHAnsi"/>
                <w:color w:val="3A3A3A" w:themeColor="background2" w:themeShade="40"/>
                <w:sz w:val="18"/>
                <w:szCs w:val="18"/>
                <w:vertAlign w:val="superscript"/>
                <w:lang w:val="da-DK"/>
              </w:rPr>
              <w:t>-1</w:t>
            </w:r>
            <w:r w:rsidRPr="003123E3">
              <w:rPr>
                <w:rFonts w:cstheme="minorHAnsi"/>
                <w:color w:val="3A3A3A" w:themeColor="background2" w:themeShade="40"/>
                <w:sz w:val="18"/>
                <w:szCs w:val="18"/>
                <w:lang w:val="da-DK"/>
              </w:rPr>
              <w:t>)</w:t>
            </w:r>
          </w:p>
        </w:tc>
        <w:tc>
          <w:tcPr>
            <w:tcW w:w="1587" w:type="dxa"/>
          </w:tcPr>
          <w:p w14:paraId="02AD91F8"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41</w:t>
            </w:r>
          </w:p>
        </w:tc>
        <w:tc>
          <w:tcPr>
            <w:tcW w:w="1587" w:type="dxa"/>
          </w:tcPr>
          <w:p w14:paraId="57C59236"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44</w:t>
            </w:r>
          </w:p>
        </w:tc>
        <w:tc>
          <w:tcPr>
            <w:tcW w:w="1587" w:type="dxa"/>
          </w:tcPr>
          <w:p w14:paraId="51870785"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39</w:t>
            </w:r>
          </w:p>
        </w:tc>
      </w:tr>
      <w:tr w:rsidR="00FF2C8E" w:rsidRPr="003123E3" w14:paraId="68CB9BAF" w14:textId="77777777" w:rsidTr="006018D5">
        <w:tc>
          <w:tcPr>
            <w:tcW w:w="2438" w:type="dxa"/>
            <w:shd w:val="clear" w:color="auto" w:fill="E7E6E6"/>
          </w:tcPr>
          <w:p w14:paraId="437B6D6E"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DGT-P (µg P L</w:t>
            </w:r>
            <w:r w:rsidRPr="003123E3">
              <w:rPr>
                <w:rFonts w:cstheme="minorHAnsi"/>
                <w:color w:val="3A3A3A" w:themeColor="background2" w:themeShade="40"/>
                <w:sz w:val="18"/>
                <w:szCs w:val="18"/>
                <w:vertAlign w:val="superscript"/>
              </w:rPr>
              <w:t>-1</w:t>
            </w:r>
            <w:r w:rsidRPr="003123E3">
              <w:rPr>
                <w:rFonts w:cstheme="minorHAnsi"/>
                <w:color w:val="3A3A3A" w:themeColor="background2" w:themeShade="40"/>
                <w:sz w:val="18"/>
                <w:szCs w:val="18"/>
              </w:rPr>
              <w:t>)</w:t>
            </w:r>
          </w:p>
        </w:tc>
        <w:tc>
          <w:tcPr>
            <w:tcW w:w="1587" w:type="dxa"/>
            <w:shd w:val="clear" w:color="auto" w:fill="E7E6E6"/>
          </w:tcPr>
          <w:p w14:paraId="7121F9F6"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409</w:t>
            </w:r>
          </w:p>
        </w:tc>
        <w:tc>
          <w:tcPr>
            <w:tcW w:w="1587" w:type="dxa"/>
            <w:shd w:val="clear" w:color="auto" w:fill="E7E6E6"/>
          </w:tcPr>
          <w:p w14:paraId="3F7F4CE0"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450</w:t>
            </w:r>
          </w:p>
        </w:tc>
        <w:tc>
          <w:tcPr>
            <w:tcW w:w="1587" w:type="dxa"/>
            <w:shd w:val="clear" w:color="auto" w:fill="E7E6E6"/>
          </w:tcPr>
          <w:p w14:paraId="11B5069E"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291</w:t>
            </w:r>
          </w:p>
        </w:tc>
      </w:tr>
      <w:tr w:rsidR="00FF2C8E" w:rsidRPr="003123E3" w14:paraId="374A6B62" w14:textId="77777777" w:rsidTr="006018D5">
        <w:tc>
          <w:tcPr>
            <w:tcW w:w="2438" w:type="dxa"/>
          </w:tcPr>
          <w:p w14:paraId="662082EE" w14:textId="77777777" w:rsidR="00FF2C8E" w:rsidRPr="003123E3" w:rsidRDefault="00FF2C8E" w:rsidP="006018D5">
            <w:pPr>
              <w:spacing w:before="100" w:beforeAutospacing="1" w:after="100" w:afterAutospacing="1"/>
              <w:rPr>
                <w:rFonts w:cstheme="minorHAnsi"/>
                <w:color w:val="3A3A3A" w:themeColor="background2" w:themeShade="40"/>
                <w:sz w:val="18"/>
                <w:szCs w:val="18"/>
                <w:lang w:val="da-DK"/>
              </w:rPr>
            </w:pPr>
            <w:r w:rsidRPr="003123E3">
              <w:rPr>
                <w:rFonts w:cstheme="minorHAnsi"/>
                <w:color w:val="3A3A3A" w:themeColor="background2" w:themeShade="40"/>
                <w:sz w:val="18"/>
                <w:szCs w:val="18"/>
              </w:rPr>
              <w:lastRenderedPageBreak/>
              <w:t>K (mg 100 g</w:t>
            </w:r>
            <w:r w:rsidRPr="003123E3">
              <w:rPr>
                <w:rFonts w:cstheme="minorHAnsi"/>
                <w:color w:val="3A3A3A" w:themeColor="background2" w:themeShade="40"/>
                <w:sz w:val="18"/>
                <w:szCs w:val="18"/>
                <w:vertAlign w:val="superscript"/>
              </w:rPr>
              <w:t>-1</w:t>
            </w:r>
            <w:r w:rsidRPr="003123E3">
              <w:rPr>
                <w:rFonts w:cstheme="minorHAnsi"/>
                <w:color w:val="3A3A3A" w:themeColor="background2" w:themeShade="40"/>
                <w:sz w:val="18"/>
                <w:szCs w:val="18"/>
              </w:rPr>
              <w:t>)</w:t>
            </w:r>
          </w:p>
        </w:tc>
        <w:tc>
          <w:tcPr>
            <w:tcW w:w="1587" w:type="dxa"/>
          </w:tcPr>
          <w:p w14:paraId="084BD60E"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15.8</w:t>
            </w:r>
          </w:p>
        </w:tc>
        <w:tc>
          <w:tcPr>
            <w:tcW w:w="1587" w:type="dxa"/>
          </w:tcPr>
          <w:p w14:paraId="605F98A6"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9.9</w:t>
            </w:r>
          </w:p>
        </w:tc>
        <w:tc>
          <w:tcPr>
            <w:tcW w:w="1587" w:type="dxa"/>
          </w:tcPr>
          <w:p w14:paraId="4E6FEFAC"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14.3</w:t>
            </w:r>
          </w:p>
        </w:tc>
      </w:tr>
      <w:tr w:rsidR="00FF2C8E" w:rsidRPr="003123E3" w14:paraId="350BF8C3" w14:textId="77777777" w:rsidTr="006018D5">
        <w:tc>
          <w:tcPr>
            <w:tcW w:w="2438" w:type="dxa"/>
            <w:shd w:val="clear" w:color="auto" w:fill="E7E6E6"/>
          </w:tcPr>
          <w:p w14:paraId="3D065689" w14:textId="77777777" w:rsidR="00FF2C8E" w:rsidRPr="003123E3" w:rsidRDefault="00FF2C8E" w:rsidP="006018D5">
            <w:pPr>
              <w:spacing w:before="100" w:beforeAutospacing="1" w:after="100" w:afterAutospacing="1"/>
              <w:rPr>
                <w:rFonts w:cstheme="minorHAnsi"/>
                <w:color w:val="3A3A3A" w:themeColor="background2" w:themeShade="40"/>
                <w:sz w:val="18"/>
                <w:szCs w:val="18"/>
                <w:lang w:val="da-DK"/>
              </w:rPr>
            </w:pPr>
            <w:r w:rsidRPr="003123E3">
              <w:rPr>
                <w:rFonts w:cstheme="minorHAnsi"/>
                <w:color w:val="3A3A3A" w:themeColor="background2" w:themeShade="40"/>
                <w:sz w:val="18"/>
                <w:szCs w:val="18"/>
              </w:rPr>
              <w:t>Mg (mg 100 g</w:t>
            </w:r>
            <w:r w:rsidRPr="003123E3">
              <w:rPr>
                <w:rFonts w:cstheme="minorHAnsi"/>
                <w:color w:val="3A3A3A" w:themeColor="background2" w:themeShade="40"/>
                <w:sz w:val="18"/>
                <w:szCs w:val="18"/>
                <w:vertAlign w:val="superscript"/>
              </w:rPr>
              <w:t>-1</w:t>
            </w:r>
            <w:r w:rsidRPr="003123E3">
              <w:rPr>
                <w:rFonts w:cstheme="minorHAnsi"/>
                <w:color w:val="3A3A3A" w:themeColor="background2" w:themeShade="40"/>
                <w:sz w:val="18"/>
                <w:szCs w:val="18"/>
              </w:rPr>
              <w:t>)</w:t>
            </w:r>
          </w:p>
        </w:tc>
        <w:tc>
          <w:tcPr>
            <w:tcW w:w="1587" w:type="dxa"/>
            <w:shd w:val="clear" w:color="auto" w:fill="E7E6E6"/>
          </w:tcPr>
          <w:p w14:paraId="373287A2"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3.3</w:t>
            </w:r>
          </w:p>
        </w:tc>
        <w:tc>
          <w:tcPr>
            <w:tcW w:w="1587" w:type="dxa"/>
            <w:shd w:val="clear" w:color="auto" w:fill="E7E6E6"/>
          </w:tcPr>
          <w:p w14:paraId="288A1EBB"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3.1</w:t>
            </w:r>
          </w:p>
        </w:tc>
        <w:tc>
          <w:tcPr>
            <w:tcW w:w="1587" w:type="dxa"/>
            <w:shd w:val="clear" w:color="auto" w:fill="E7E6E6"/>
          </w:tcPr>
          <w:p w14:paraId="55C9AD58"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5.7</w:t>
            </w:r>
          </w:p>
        </w:tc>
      </w:tr>
      <w:tr w:rsidR="00FF2C8E" w:rsidRPr="003123E3" w14:paraId="48A9863A" w14:textId="77777777" w:rsidTr="006018D5">
        <w:tc>
          <w:tcPr>
            <w:tcW w:w="2438" w:type="dxa"/>
          </w:tcPr>
          <w:p w14:paraId="27532AFB"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Alox (mmol kg</w:t>
            </w:r>
            <w:r w:rsidRPr="003123E3">
              <w:rPr>
                <w:rFonts w:cstheme="minorHAnsi"/>
                <w:color w:val="3A3A3A" w:themeColor="background2" w:themeShade="40"/>
                <w:sz w:val="18"/>
                <w:szCs w:val="18"/>
                <w:vertAlign w:val="superscript"/>
              </w:rPr>
              <w:t>-1</w:t>
            </w:r>
            <w:r w:rsidRPr="003123E3">
              <w:rPr>
                <w:rFonts w:cstheme="minorHAnsi"/>
                <w:color w:val="3A3A3A" w:themeColor="background2" w:themeShade="40"/>
                <w:sz w:val="18"/>
                <w:szCs w:val="18"/>
              </w:rPr>
              <w:t>)</w:t>
            </w:r>
          </w:p>
        </w:tc>
        <w:tc>
          <w:tcPr>
            <w:tcW w:w="1587" w:type="dxa"/>
          </w:tcPr>
          <w:p w14:paraId="3CA4A65E"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80</w:t>
            </w:r>
          </w:p>
        </w:tc>
        <w:tc>
          <w:tcPr>
            <w:tcW w:w="1587" w:type="dxa"/>
          </w:tcPr>
          <w:p w14:paraId="138F2D0F"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8.5</w:t>
            </w:r>
          </w:p>
        </w:tc>
        <w:tc>
          <w:tcPr>
            <w:tcW w:w="1587" w:type="dxa"/>
          </w:tcPr>
          <w:p w14:paraId="76C041CE"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110</w:t>
            </w:r>
          </w:p>
        </w:tc>
      </w:tr>
      <w:tr w:rsidR="00FF2C8E" w:rsidRPr="003123E3" w14:paraId="6F1B84E8" w14:textId="77777777" w:rsidTr="006018D5">
        <w:tc>
          <w:tcPr>
            <w:tcW w:w="2438" w:type="dxa"/>
            <w:shd w:val="clear" w:color="auto" w:fill="E7E6E6"/>
          </w:tcPr>
          <w:p w14:paraId="2A8F4BCB"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Feox (mmol kg</w:t>
            </w:r>
            <w:r w:rsidRPr="003123E3">
              <w:rPr>
                <w:rFonts w:cstheme="minorHAnsi"/>
                <w:color w:val="3A3A3A" w:themeColor="background2" w:themeShade="40"/>
                <w:sz w:val="18"/>
                <w:szCs w:val="18"/>
                <w:vertAlign w:val="superscript"/>
              </w:rPr>
              <w:t>-1</w:t>
            </w:r>
            <w:r w:rsidRPr="003123E3">
              <w:rPr>
                <w:rFonts w:cstheme="minorHAnsi"/>
                <w:color w:val="3A3A3A" w:themeColor="background2" w:themeShade="40"/>
                <w:sz w:val="18"/>
                <w:szCs w:val="18"/>
              </w:rPr>
              <w:t>)</w:t>
            </w:r>
          </w:p>
        </w:tc>
        <w:tc>
          <w:tcPr>
            <w:tcW w:w="1587" w:type="dxa"/>
            <w:shd w:val="clear" w:color="auto" w:fill="E7E6E6"/>
          </w:tcPr>
          <w:p w14:paraId="565B73BA"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32</w:t>
            </w:r>
          </w:p>
        </w:tc>
        <w:tc>
          <w:tcPr>
            <w:tcW w:w="1587" w:type="dxa"/>
            <w:shd w:val="clear" w:color="auto" w:fill="E7E6E6"/>
          </w:tcPr>
          <w:p w14:paraId="0D737D44"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28</w:t>
            </w:r>
          </w:p>
        </w:tc>
        <w:tc>
          <w:tcPr>
            <w:tcW w:w="1587" w:type="dxa"/>
            <w:shd w:val="clear" w:color="auto" w:fill="E7E6E6"/>
          </w:tcPr>
          <w:p w14:paraId="22995340"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22</w:t>
            </w:r>
          </w:p>
        </w:tc>
      </w:tr>
      <w:tr w:rsidR="00FF2C8E" w:rsidRPr="003123E3" w14:paraId="54905EA7" w14:textId="77777777" w:rsidTr="006018D5">
        <w:tc>
          <w:tcPr>
            <w:tcW w:w="2438" w:type="dxa"/>
          </w:tcPr>
          <w:p w14:paraId="0DC69D23"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Pox (mmol kg</w:t>
            </w:r>
            <w:r w:rsidRPr="003123E3">
              <w:rPr>
                <w:rFonts w:cstheme="minorHAnsi"/>
                <w:color w:val="3A3A3A" w:themeColor="background2" w:themeShade="40"/>
                <w:sz w:val="18"/>
                <w:szCs w:val="18"/>
                <w:vertAlign w:val="superscript"/>
              </w:rPr>
              <w:t>-1</w:t>
            </w:r>
            <w:r w:rsidRPr="003123E3">
              <w:rPr>
                <w:rFonts w:cstheme="minorHAnsi"/>
                <w:color w:val="3A3A3A" w:themeColor="background2" w:themeShade="40"/>
                <w:sz w:val="18"/>
                <w:szCs w:val="18"/>
              </w:rPr>
              <w:t>)</w:t>
            </w:r>
          </w:p>
        </w:tc>
        <w:tc>
          <w:tcPr>
            <w:tcW w:w="1587" w:type="dxa"/>
          </w:tcPr>
          <w:p w14:paraId="17870E13"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18</w:t>
            </w:r>
          </w:p>
        </w:tc>
        <w:tc>
          <w:tcPr>
            <w:tcW w:w="1587" w:type="dxa"/>
          </w:tcPr>
          <w:p w14:paraId="3333B7E2"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8.4</w:t>
            </w:r>
          </w:p>
        </w:tc>
        <w:tc>
          <w:tcPr>
            <w:tcW w:w="1587" w:type="dxa"/>
          </w:tcPr>
          <w:p w14:paraId="62222FCB"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16</w:t>
            </w:r>
          </w:p>
        </w:tc>
      </w:tr>
      <w:tr w:rsidR="00FF2C8E" w:rsidRPr="003123E3" w14:paraId="6B28E764" w14:textId="77777777" w:rsidTr="006018D5">
        <w:tc>
          <w:tcPr>
            <w:tcW w:w="2438" w:type="dxa"/>
            <w:shd w:val="clear" w:color="auto" w:fill="E7E6E6"/>
          </w:tcPr>
          <w:p w14:paraId="418C19B0"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Texture (%):</w:t>
            </w:r>
          </w:p>
          <w:p w14:paraId="36C259CB" w14:textId="77777777" w:rsidR="00FF2C8E" w:rsidRPr="003123E3" w:rsidRDefault="00FF2C8E" w:rsidP="00FF2C8E">
            <w:pPr>
              <w:pStyle w:val="ListParagraph"/>
              <w:numPr>
                <w:ilvl w:val="0"/>
                <w:numId w:val="1"/>
              </w:numPr>
              <w:spacing w:after="0"/>
              <w:jc w:val="left"/>
              <w:rPr>
                <w:rFonts w:cstheme="minorHAnsi"/>
                <w:color w:val="3A3A3A" w:themeColor="background2" w:themeShade="40"/>
                <w:sz w:val="18"/>
                <w:szCs w:val="18"/>
              </w:rPr>
            </w:pPr>
            <w:r w:rsidRPr="003123E3">
              <w:rPr>
                <w:rFonts w:cstheme="minorHAnsi"/>
                <w:color w:val="3A3A3A" w:themeColor="background2" w:themeShade="40"/>
                <w:sz w:val="18"/>
                <w:szCs w:val="18"/>
              </w:rPr>
              <w:t>Clay</w:t>
            </w:r>
          </w:p>
          <w:p w14:paraId="58FB86F4" w14:textId="77777777" w:rsidR="00FF2C8E" w:rsidRPr="003123E3" w:rsidRDefault="00FF2C8E" w:rsidP="00FF2C8E">
            <w:pPr>
              <w:pStyle w:val="ListParagraph"/>
              <w:numPr>
                <w:ilvl w:val="0"/>
                <w:numId w:val="1"/>
              </w:numPr>
              <w:spacing w:after="0"/>
              <w:jc w:val="left"/>
              <w:rPr>
                <w:rFonts w:cstheme="minorHAnsi"/>
                <w:color w:val="3A3A3A" w:themeColor="background2" w:themeShade="40"/>
                <w:sz w:val="18"/>
                <w:szCs w:val="18"/>
              </w:rPr>
            </w:pPr>
            <w:r w:rsidRPr="003123E3">
              <w:rPr>
                <w:rFonts w:cstheme="minorHAnsi"/>
                <w:color w:val="3A3A3A" w:themeColor="background2" w:themeShade="40"/>
                <w:sz w:val="18"/>
                <w:szCs w:val="18"/>
              </w:rPr>
              <w:t>Silt</w:t>
            </w:r>
          </w:p>
          <w:p w14:paraId="4475200C" w14:textId="77777777" w:rsidR="00FF2C8E" w:rsidRPr="003123E3" w:rsidRDefault="00FF2C8E" w:rsidP="00FF2C8E">
            <w:pPr>
              <w:pStyle w:val="ListParagraph"/>
              <w:numPr>
                <w:ilvl w:val="0"/>
                <w:numId w:val="1"/>
              </w:numPr>
              <w:spacing w:after="0"/>
              <w:jc w:val="left"/>
              <w:rPr>
                <w:rFonts w:cstheme="minorHAnsi"/>
                <w:color w:val="3A3A3A" w:themeColor="background2" w:themeShade="40"/>
                <w:sz w:val="18"/>
                <w:szCs w:val="18"/>
              </w:rPr>
            </w:pPr>
            <w:r w:rsidRPr="003123E3">
              <w:rPr>
                <w:rFonts w:cstheme="minorHAnsi"/>
                <w:color w:val="3A3A3A" w:themeColor="background2" w:themeShade="40"/>
                <w:sz w:val="18"/>
                <w:szCs w:val="18"/>
              </w:rPr>
              <w:t>Fine sand</w:t>
            </w:r>
          </w:p>
          <w:p w14:paraId="5C5B4B4B" w14:textId="77777777" w:rsidR="00FF2C8E" w:rsidRPr="003123E3" w:rsidRDefault="00FF2C8E" w:rsidP="00FF2C8E">
            <w:pPr>
              <w:pStyle w:val="ListParagraph"/>
              <w:numPr>
                <w:ilvl w:val="0"/>
                <w:numId w:val="1"/>
              </w:numPr>
              <w:spacing w:after="0"/>
              <w:jc w:val="left"/>
              <w:rPr>
                <w:rFonts w:cstheme="minorHAnsi"/>
                <w:color w:val="3A3A3A" w:themeColor="background2" w:themeShade="40"/>
                <w:sz w:val="18"/>
                <w:szCs w:val="18"/>
              </w:rPr>
            </w:pPr>
            <w:r w:rsidRPr="003123E3">
              <w:rPr>
                <w:rFonts w:cstheme="minorHAnsi"/>
                <w:color w:val="3A3A3A" w:themeColor="background2" w:themeShade="40"/>
                <w:sz w:val="18"/>
                <w:szCs w:val="18"/>
              </w:rPr>
              <w:t>Coarse sand</w:t>
            </w:r>
          </w:p>
          <w:p w14:paraId="35645B68" w14:textId="77777777" w:rsidR="00FF2C8E" w:rsidRPr="003123E3" w:rsidRDefault="00FF2C8E" w:rsidP="00FF2C8E">
            <w:pPr>
              <w:pStyle w:val="ListParagraph"/>
              <w:numPr>
                <w:ilvl w:val="0"/>
                <w:numId w:val="1"/>
              </w:numPr>
              <w:spacing w:after="0"/>
              <w:jc w:val="left"/>
              <w:rPr>
                <w:rFonts w:cstheme="minorHAnsi"/>
                <w:color w:val="3A3A3A" w:themeColor="background2" w:themeShade="40"/>
                <w:sz w:val="18"/>
                <w:szCs w:val="18"/>
              </w:rPr>
            </w:pPr>
            <w:r w:rsidRPr="003123E3">
              <w:rPr>
                <w:rFonts w:cstheme="minorHAnsi"/>
                <w:color w:val="3A3A3A" w:themeColor="background2" w:themeShade="40"/>
                <w:sz w:val="18"/>
                <w:szCs w:val="18"/>
              </w:rPr>
              <w:t>Organic matter</w:t>
            </w:r>
          </w:p>
        </w:tc>
        <w:tc>
          <w:tcPr>
            <w:tcW w:w="1587" w:type="dxa"/>
            <w:shd w:val="clear" w:color="auto" w:fill="E7E6E6"/>
          </w:tcPr>
          <w:p w14:paraId="6613727B" w14:textId="77777777" w:rsidR="00FF2C8E" w:rsidRPr="003123E3" w:rsidRDefault="00FF2C8E" w:rsidP="006018D5">
            <w:pPr>
              <w:spacing w:after="0"/>
              <w:rPr>
                <w:rFonts w:cstheme="minorHAnsi"/>
                <w:color w:val="3A3A3A" w:themeColor="background2" w:themeShade="40"/>
                <w:sz w:val="18"/>
                <w:szCs w:val="18"/>
              </w:rPr>
            </w:pPr>
          </w:p>
          <w:p w14:paraId="131BC063"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5.7</w:t>
            </w:r>
          </w:p>
          <w:p w14:paraId="2AB0586E"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1.4</w:t>
            </w:r>
          </w:p>
          <w:p w14:paraId="4A3D2BDB"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73.1</w:t>
            </w:r>
          </w:p>
          <w:p w14:paraId="27C85DBB"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16.0</w:t>
            </w:r>
          </w:p>
          <w:p w14:paraId="4CC09B5C"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3.9</w:t>
            </w:r>
          </w:p>
        </w:tc>
        <w:tc>
          <w:tcPr>
            <w:tcW w:w="1587" w:type="dxa"/>
            <w:shd w:val="clear" w:color="auto" w:fill="E7E6E6"/>
          </w:tcPr>
          <w:p w14:paraId="1414FCC1" w14:textId="77777777" w:rsidR="00FF2C8E" w:rsidRPr="003123E3" w:rsidRDefault="00FF2C8E" w:rsidP="006018D5">
            <w:pPr>
              <w:spacing w:after="0"/>
              <w:rPr>
                <w:rFonts w:cstheme="minorHAnsi"/>
                <w:color w:val="3A3A3A" w:themeColor="background2" w:themeShade="40"/>
                <w:sz w:val="18"/>
                <w:szCs w:val="18"/>
              </w:rPr>
            </w:pPr>
          </w:p>
          <w:p w14:paraId="043133E9"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6.5</w:t>
            </w:r>
          </w:p>
          <w:p w14:paraId="6EA1232B"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3.5</w:t>
            </w:r>
          </w:p>
          <w:p w14:paraId="36CF2B4C"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73.0</w:t>
            </w:r>
          </w:p>
          <w:p w14:paraId="44BCD40E"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15.0</w:t>
            </w:r>
          </w:p>
          <w:p w14:paraId="1B2007F0"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2.1</w:t>
            </w:r>
          </w:p>
        </w:tc>
        <w:tc>
          <w:tcPr>
            <w:tcW w:w="1587" w:type="dxa"/>
            <w:shd w:val="clear" w:color="auto" w:fill="E7E6E6"/>
          </w:tcPr>
          <w:p w14:paraId="36DD366A" w14:textId="77777777" w:rsidR="00FF2C8E" w:rsidRPr="003123E3" w:rsidRDefault="00FF2C8E" w:rsidP="006018D5">
            <w:pPr>
              <w:spacing w:after="0"/>
              <w:rPr>
                <w:rFonts w:cstheme="minorHAnsi"/>
                <w:color w:val="3A3A3A" w:themeColor="background2" w:themeShade="40"/>
                <w:sz w:val="18"/>
                <w:szCs w:val="18"/>
              </w:rPr>
            </w:pPr>
          </w:p>
          <w:p w14:paraId="5F7D4B23"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6.5</w:t>
            </w:r>
          </w:p>
          <w:p w14:paraId="64B85441"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5.5</w:t>
            </w:r>
          </w:p>
          <w:p w14:paraId="0E8539F4"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68.9</w:t>
            </w:r>
          </w:p>
          <w:p w14:paraId="280CEE2E"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9.2</w:t>
            </w:r>
          </w:p>
          <w:p w14:paraId="131A1874" w14:textId="77777777" w:rsidR="00FF2C8E" w:rsidRPr="003123E3" w:rsidRDefault="00FF2C8E" w:rsidP="006018D5">
            <w:pPr>
              <w:spacing w:after="0"/>
              <w:rPr>
                <w:rFonts w:cstheme="minorHAnsi"/>
                <w:color w:val="3A3A3A" w:themeColor="background2" w:themeShade="40"/>
                <w:sz w:val="18"/>
                <w:szCs w:val="18"/>
              </w:rPr>
            </w:pPr>
            <w:r w:rsidRPr="003123E3">
              <w:rPr>
                <w:rFonts w:cstheme="minorHAnsi"/>
                <w:color w:val="3A3A3A" w:themeColor="background2" w:themeShade="40"/>
                <w:sz w:val="18"/>
                <w:szCs w:val="18"/>
              </w:rPr>
              <w:t>10.0</w:t>
            </w:r>
          </w:p>
        </w:tc>
      </w:tr>
      <w:tr w:rsidR="00FF2C8E" w:rsidRPr="003123E3" w14:paraId="3888E080" w14:textId="77777777" w:rsidTr="006018D5">
        <w:tc>
          <w:tcPr>
            <w:tcW w:w="2438" w:type="dxa"/>
          </w:tcPr>
          <w:p w14:paraId="1B41CB96"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Soil type</w:t>
            </w:r>
          </w:p>
        </w:tc>
        <w:tc>
          <w:tcPr>
            <w:tcW w:w="1587" w:type="dxa"/>
          </w:tcPr>
          <w:p w14:paraId="462BEE77"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Sand</w:t>
            </w:r>
          </w:p>
        </w:tc>
        <w:tc>
          <w:tcPr>
            <w:tcW w:w="1587" w:type="dxa"/>
          </w:tcPr>
          <w:p w14:paraId="1E68352E"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Sand</w:t>
            </w:r>
          </w:p>
        </w:tc>
        <w:tc>
          <w:tcPr>
            <w:tcW w:w="1587" w:type="dxa"/>
          </w:tcPr>
          <w:p w14:paraId="1ECCF968" w14:textId="77777777" w:rsidR="00FF2C8E" w:rsidRPr="003123E3" w:rsidRDefault="00FF2C8E" w:rsidP="006018D5">
            <w:pPr>
              <w:spacing w:before="100" w:beforeAutospacing="1" w:after="100" w:afterAutospacing="1"/>
              <w:rPr>
                <w:rFonts w:cstheme="minorHAnsi"/>
                <w:color w:val="3A3A3A" w:themeColor="background2" w:themeShade="40"/>
                <w:sz w:val="18"/>
                <w:szCs w:val="18"/>
              </w:rPr>
            </w:pPr>
            <w:r w:rsidRPr="003123E3">
              <w:rPr>
                <w:rFonts w:cstheme="minorHAnsi"/>
                <w:color w:val="3A3A3A" w:themeColor="background2" w:themeShade="40"/>
                <w:sz w:val="18"/>
                <w:szCs w:val="18"/>
              </w:rPr>
              <w:t>Loamy sand</w:t>
            </w:r>
          </w:p>
        </w:tc>
      </w:tr>
    </w:tbl>
    <w:p w14:paraId="7619608B" w14:textId="77777777" w:rsidR="00FF2C8E" w:rsidRDefault="00FF2C8E" w:rsidP="00FF2C8E">
      <w:pPr>
        <w:rPr>
          <w:noProof/>
          <w:lang w:val="da-DK"/>
        </w:rPr>
      </w:pPr>
    </w:p>
    <w:p w14:paraId="4699B0BA" w14:textId="77777777" w:rsidR="00FF2C8E" w:rsidRDefault="00FF2C8E" w:rsidP="00FF2C8E">
      <w:pPr>
        <w:rPr>
          <w:lang w:val="da-DK"/>
        </w:rPr>
      </w:pPr>
      <w:r w:rsidRPr="006E3094">
        <w:rPr>
          <w:noProof/>
          <w:lang w:val="da-DK"/>
        </w:rPr>
        <w:drawing>
          <wp:inline distT="0" distB="0" distL="0" distR="0" wp14:anchorId="3689810D" wp14:editId="54288F56">
            <wp:extent cx="5730875" cy="5943600"/>
            <wp:effectExtent l="0" t="0" r="3175" b="0"/>
            <wp:docPr id="7196379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875" cy="5943600"/>
                    </a:xfrm>
                    <a:prstGeom prst="rect">
                      <a:avLst/>
                    </a:prstGeom>
                    <a:noFill/>
                    <a:ln>
                      <a:noFill/>
                    </a:ln>
                  </pic:spPr>
                </pic:pic>
              </a:graphicData>
            </a:graphic>
          </wp:inline>
        </w:drawing>
      </w:r>
    </w:p>
    <w:p w14:paraId="111DAFB5" w14:textId="77777777" w:rsidR="00FF2C8E" w:rsidRPr="00311CAA" w:rsidRDefault="00FF2C8E" w:rsidP="00FF2C8E">
      <w:pPr>
        <w:pStyle w:val="Caption"/>
        <w:spacing w:before="240"/>
        <w:rPr>
          <w:b w:val="0"/>
          <w:bCs/>
          <w:sz w:val="18"/>
          <w:szCs w:val="16"/>
        </w:rPr>
      </w:pPr>
      <w:r w:rsidRPr="00311CAA">
        <w:rPr>
          <w:sz w:val="18"/>
          <w:szCs w:val="16"/>
        </w:rPr>
        <w:t>Fig</w:t>
      </w:r>
      <w:r>
        <w:rPr>
          <w:sz w:val="18"/>
          <w:szCs w:val="16"/>
        </w:rPr>
        <w:t>.</w:t>
      </w:r>
      <w:r w:rsidRPr="00311CAA">
        <w:rPr>
          <w:sz w:val="18"/>
          <w:szCs w:val="16"/>
        </w:rPr>
        <w:t xml:space="preserve"> S2.</w:t>
      </w:r>
      <w:r w:rsidRPr="00311CAA">
        <w:rPr>
          <w:b w:val="0"/>
          <w:bCs/>
          <w:sz w:val="18"/>
          <w:szCs w:val="16"/>
        </w:rPr>
        <w:t xml:space="preserve"> Phosphorus (P) concentration (mg L⁻¹) in leachate (a, c) and cumulative recovery of applied P (%) (b, d) as a function of pore volumes in sandy soil columns (NJ1, NJ2, NJ3). Columns were treated with Pi (a, b) or nano-hydroxyapatite (nHAp) (c, d). Results are means (n = 3).</w:t>
      </w:r>
    </w:p>
    <w:p w14:paraId="3AEA67F4" w14:textId="77777777" w:rsidR="00FF2C8E" w:rsidRDefault="00FF2C8E" w:rsidP="00FF2C8E"/>
    <w:p w14:paraId="4DA2D421" w14:textId="77777777" w:rsidR="00FF2C8E" w:rsidRPr="00B85FB5" w:rsidRDefault="00FF2C8E" w:rsidP="00FF2C8E"/>
    <w:p w14:paraId="7AB0E3AE" w14:textId="77777777" w:rsidR="00FF2C8E" w:rsidRPr="005C71DD" w:rsidRDefault="00FF2C8E" w:rsidP="00FF2C8E">
      <w:r w:rsidRPr="002428F2">
        <w:rPr>
          <w:noProof/>
        </w:rPr>
        <w:drawing>
          <wp:inline distT="0" distB="0" distL="0" distR="0" wp14:anchorId="330FB840" wp14:editId="7D1C3933">
            <wp:extent cx="5730875" cy="3009265"/>
            <wp:effectExtent l="0" t="0" r="3175" b="635"/>
            <wp:docPr id="18288913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t="4594" b="2518"/>
                    <a:stretch>
                      <a:fillRect/>
                    </a:stretch>
                  </pic:blipFill>
                  <pic:spPr bwMode="auto">
                    <a:xfrm>
                      <a:off x="0" y="0"/>
                      <a:ext cx="5730875" cy="3009265"/>
                    </a:xfrm>
                    <a:prstGeom prst="rect">
                      <a:avLst/>
                    </a:prstGeom>
                    <a:noFill/>
                    <a:ln>
                      <a:noFill/>
                    </a:ln>
                  </pic:spPr>
                </pic:pic>
              </a:graphicData>
            </a:graphic>
          </wp:inline>
        </w:drawing>
      </w:r>
    </w:p>
    <w:p w14:paraId="6F1B876A" w14:textId="77777777" w:rsidR="00FF2C8E" w:rsidRDefault="00FF2C8E" w:rsidP="00FF2C8E">
      <w:pPr>
        <w:pStyle w:val="Caption"/>
        <w:spacing w:after="0"/>
        <w:rPr>
          <w:b w:val="0"/>
          <w:bCs/>
          <w:sz w:val="18"/>
          <w:szCs w:val="16"/>
        </w:rPr>
      </w:pPr>
      <w:r w:rsidRPr="0021096B">
        <w:rPr>
          <w:sz w:val="18"/>
          <w:szCs w:val="16"/>
        </w:rPr>
        <w:t>Fig</w:t>
      </w:r>
      <w:r>
        <w:rPr>
          <w:sz w:val="18"/>
          <w:szCs w:val="16"/>
        </w:rPr>
        <w:t xml:space="preserve">. </w:t>
      </w:r>
      <w:r w:rsidRPr="0021096B">
        <w:rPr>
          <w:sz w:val="18"/>
          <w:szCs w:val="16"/>
        </w:rPr>
        <w:t>S3.</w:t>
      </w:r>
      <w:r w:rsidRPr="0021096B">
        <w:rPr>
          <w:b w:val="0"/>
          <w:bCs/>
          <w:sz w:val="18"/>
          <w:szCs w:val="16"/>
        </w:rPr>
        <w:t xml:space="preserve"> Phosphorus (P) concentration in the leachate as a function of pore volumes leached through the control columns where no P fertilizer was added to P0, P1 and P2 (a) and NJ1, NJ2 and NJ3</w:t>
      </w:r>
      <w:r w:rsidRPr="0021096B">
        <w:rPr>
          <w:b w:val="0"/>
          <w:bCs/>
          <w:sz w:val="18"/>
          <w:szCs w:val="16"/>
          <w:vertAlign w:val="subscript"/>
        </w:rPr>
        <w:t xml:space="preserve"> </w:t>
      </w:r>
      <w:r w:rsidRPr="0021096B">
        <w:rPr>
          <w:b w:val="0"/>
          <w:bCs/>
          <w:sz w:val="18"/>
          <w:szCs w:val="16"/>
        </w:rPr>
        <w:t>(b). Values are means (n = 3).</w:t>
      </w:r>
    </w:p>
    <w:p w14:paraId="0E26DB6E" w14:textId="77777777" w:rsidR="00FF2C8E" w:rsidRPr="005242E1" w:rsidRDefault="00FF2C8E" w:rsidP="00FF2C8E"/>
    <w:p w14:paraId="03BCD06C" w14:textId="77777777" w:rsidR="00FF2C8E" w:rsidRPr="0021096B" w:rsidRDefault="00FF2C8E" w:rsidP="00FF2C8E">
      <w:pPr>
        <w:keepNext/>
      </w:pPr>
      <w:r w:rsidRPr="002428F2">
        <w:rPr>
          <w:noProof/>
        </w:rPr>
        <w:lastRenderedPageBreak/>
        <w:drawing>
          <wp:inline distT="0" distB="0" distL="0" distR="0" wp14:anchorId="3ECB6472" wp14:editId="1BD93A44">
            <wp:extent cx="5730875" cy="4135755"/>
            <wp:effectExtent l="0" t="0" r="3175" b="0"/>
            <wp:docPr id="19459912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4135755"/>
                    </a:xfrm>
                    <a:prstGeom prst="rect">
                      <a:avLst/>
                    </a:prstGeom>
                    <a:noFill/>
                    <a:ln>
                      <a:noFill/>
                    </a:ln>
                  </pic:spPr>
                </pic:pic>
              </a:graphicData>
            </a:graphic>
          </wp:inline>
        </w:drawing>
      </w:r>
    </w:p>
    <w:p w14:paraId="7D948151" w14:textId="77777777" w:rsidR="00FF2C8E" w:rsidRPr="005242E1" w:rsidRDefault="00FF2C8E" w:rsidP="00FF2C8E">
      <w:pPr>
        <w:pStyle w:val="Caption"/>
        <w:rPr>
          <w:b w:val="0"/>
          <w:bCs/>
          <w:sz w:val="18"/>
          <w:szCs w:val="16"/>
        </w:rPr>
      </w:pPr>
      <w:r w:rsidRPr="0021096B">
        <w:rPr>
          <w:sz w:val="18"/>
          <w:szCs w:val="16"/>
        </w:rPr>
        <w:t>Fig</w:t>
      </w:r>
      <w:r>
        <w:rPr>
          <w:sz w:val="18"/>
          <w:szCs w:val="16"/>
        </w:rPr>
        <w:t>.</w:t>
      </w:r>
      <w:r w:rsidRPr="0021096B">
        <w:rPr>
          <w:sz w:val="18"/>
          <w:szCs w:val="16"/>
        </w:rPr>
        <w:t xml:space="preserve"> S4.</w:t>
      </w:r>
      <w:r w:rsidRPr="0021096B">
        <w:rPr>
          <w:b w:val="0"/>
          <w:bCs/>
          <w:sz w:val="18"/>
          <w:szCs w:val="16"/>
        </w:rPr>
        <w:t xml:space="preserve"> Phosphorus (P) concentration (mg L⁻¹) in leachate (a) and cumulative recovery of applied P (%) (b) as a function of pore volumes in NJ3 topsoil and subsoil. Columns were treated with nano-hydroxyapatite (nHAp) and TSP. Results are means (n = 3).</w:t>
      </w:r>
    </w:p>
    <w:p w14:paraId="45320892" w14:textId="77777777" w:rsidR="00FF2C8E" w:rsidRPr="005242E1" w:rsidRDefault="00FF2C8E" w:rsidP="00FF2C8E">
      <w:pPr>
        <w:pStyle w:val="Caption"/>
        <w:rPr>
          <w:b w:val="0"/>
          <w:bCs/>
          <w:i/>
          <w:iCs w:val="0"/>
          <w:sz w:val="18"/>
          <w:szCs w:val="16"/>
        </w:rPr>
      </w:pPr>
      <w:r w:rsidRPr="005242E1">
        <w:rPr>
          <w:sz w:val="18"/>
          <w:szCs w:val="16"/>
        </w:rPr>
        <w:t>Table S2.</w:t>
      </w:r>
      <w:r w:rsidRPr="005242E1">
        <w:rPr>
          <w:b w:val="0"/>
          <w:bCs/>
          <w:sz w:val="18"/>
          <w:szCs w:val="16"/>
        </w:rPr>
        <w:t xml:space="preserve"> Dry weight of spring barley shoot biomass from the rhizobox experiment. Values are means (n = 3) </w:t>
      </w:r>
      <w:r w:rsidRPr="005242E1">
        <w:rPr>
          <w:rFonts w:cs="Calibri"/>
          <w:b w:val="0"/>
          <w:bCs/>
          <w:sz w:val="18"/>
        </w:rPr>
        <w:t>± standard error</w:t>
      </w:r>
      <w:r w:rsidRPr="005242E1">
        <w:rPr>
          <w:b w:val="0"/>
          <w:bCs/>
          <w:sz w:val="18"/>
          <w:szCs w:val="16"/>
        </w:rPr>
        <w:t>.</w:t>
      </w:r>
    </w:p>
    <w:tbl>
      <w:tblPr>
        <w:tblStyle w:val="ListTable1Light"/>
        <w:tblW w:w="0" w:type="auto"/>
        <w:jc w:val="center"/>
        <w:tblLook w:val="04A0" w:firstRow="1" w:lastRow="0" w:firstColumn="1" w:lastColumn="0" w:noHBand="0" w:noVBand="1"/>
      </w:tblPr>
      <w:tblGrid>
        <w:gridCol w:w="1701"/>
        <w:gridCol w:w="1701"/>
      </w:tblGrid>
      <w:tr w:rsidR="00FF2C8E" w:rsidRPr="0098425D" w14:paraId="1D37A622" w14:textId="77777777" w:rsidTr="006018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left w:val="single" w:sz="4" w:space="0" w:color="auto"/>
            </w:tcBorders>
          </w:tcPr>
          <w:p w14:paraId="2B7FA487" w14:textId="77777777" w:rsidR="00FF2C8E" w:rsidRPr="0098425D" w:rsidRDefault="00FF2C8E" w:rsidP="006018D5">
            <w:pPr>
              <w:spacing w:before="40" w:after="40"/>
              <w:rPr>
                <w:color w:val="3A3A3A" w:themeColor="background2" w:themeShade="40"/>
                <w:sz w:val="18"/>
                <w:szCs w:val="18"/>
              </w:rPr>
            </w:pPr>
            <w:r w:rsidRPr="0098425D">
              <w:rPr>
                <w:color w:val="3A3A3A" w:themeColor="background2" w:themeShade="40"/>
                <w:sz w:val="18"/>
                <w:szCs w:val="18"/>
              </w:rPr>
              <w:t xml:space="preserve">Treatment </w:t>
            </w:r>
          </w:p>
        </w:tc>
        <w:tc>
          <w:tcPr>
            <w:tcW w:w="1701" w:type="dxa"/>
            <w:tcBorders>
              <w:top w:val="single" w:sz="4" w:space="0" w:color="auto"/>
              <w:right w:val="single" w:sz="4" w:space="0" w:color="auto"/>
            </w:tcBorders>
          </w:tcPr>
          <w:p w14:paraId="5AD7A090" w14:textId="77777777" w:rsidR="00FF2C8E" w:rsidRPr="0098425D" w:rsidRDefault="00FF2C8E" w:rsidP="006018D5">
            <w:pPr>
              <w:spacing w:before="40" w:after="40"/>
              <w:cnfStyle w:val="100000000000" w:firstRow="1" w:lastRow="0" w:firstColumn="0" w:lastColumn="0" w:oddVBand="0" w:evenVBand="0" w:oddHBand="0" w:evenHBand="0" w:firstRowFirstColumn="0" w:firstRowLastColumn="0" w:lastRowFirstColumn="0" w:lastRowLastColumn="0"/>
              <w:rPr>
                <w:color w:val="3A3A3A" w:themeColor="background2" w:themeShade="40"/>
                <w:sz w:val="18"/>
                <w:szCs w:val="18"/>
              </w:rPr>
            </w:pPr>
            <w:r w:rsidRPr="0098425D">
              <w:rPr>
                <w:color w:val="3A3A3A" w:themeColor="background2" w:themeShade="40"/>
                <w:sz w:val="18"/>
                <w:szCs w:val="18"/>
              </w:rPr>
              <w:t>Dry weight (g)</w:t>
            </w:r>
          </w:p>
        </w:tc>
      </w:tr>
      <w:tr w:rsidR="00FF2C8E" w:rsidRPr="0098425D" w14:paraId="6CDABB52" w14:textId="77777777" w:rsidTr="00601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left w:val="single" w:sz="4" w:space="0" w:color="auto"/>
            </w:tcBorders>
            <w:shd w:val="clear" w:color="auto" w:fill="E8E8E8" w:themeFill="background2"/>
          </w:tcPr>
          <w:p w14:paraId="7AED1674" w14:textId="77777777" w:rsidR="00FF2C8E" w:rsidRPr="0098425D" w:rsidRDefault="00FF2C8E" w:rsidP="006018D5">
            <w:pPr>
              <w:spacing w:line="360" w:lineRule="auto"/>
              <w:rPr>
                <w:b w:val="0"/>
                <w:bCs w:val="0"/>
                <w:color w:val="3A3A3A" w:themeColor="background2" w:themeShade="40"/>
                <w:sz w:val="18"/>
                <w:szCs w:val="18"/>
              </w:rPr>
            </w:pPr>
            <w:r w:rsidRPr="0098425D">
              <w:rPr>
                <w:b w:val="0"/>
                <w:bCs w:val="0"/>
                <w:color w:val="3A3A3A" w:themeColor="background2" w:themeShade="40"/>
                <w:sz w:val="18"/>
                <w:szCs w:val="18"/>
              </w:rPr>
              <w:t>Pi</w:t>
            </w:r>
          </w:p>
        </w:tc>
        <w:tc>
          <w:tcPr>
            <w:tcW w:w="1701" w:type="dxa"/>
            <w:tcBorders>
              <w:right w:val="single" w:sz="4" w:space="0" w:color="auto"/>
            </w:tcBorders>
            <w:shd w:val="clear" w:color="auto" w:fill="E8E8E8" w:themeFill="background2"/>
          </w:tcPr>
          <w:p w14:paraId="74835181" w14:textId="77777777" w:rsidR="00FF2C8E" w:rsidRPr="0098425D" w:rsidRDefault="00FF2C8E" w:rsidP="006018D5">
            <w:pPr>
              <w:spacing w:line="360" w:lineRule="auto"/>
              <w:cnfStyle w:val="000000100000" w:firstRow="0" w:lastRow="0" w:firstColumn="0" w:lastColumn="0" w:oddVBand="0" w:evenVBand="0" w:oddHBand="1" w:evenHBand="0" w:firstRowFirstColumn="0" w:firstRowLastColumn="0" w:lastRowFirstColumn="0" w:lastRowLastColumn="0"/>
              <w:rPr>
                <w:color w:val="3A3A3A" w:themeColor="background2" w:themeShade="40"/>
                <w:sz w:val="18"/>
                <w:szCs w:val="18"/>
              </w:rPr>
            </w:pPr>
            <w:r w:rsidRPr="0098425D">
              <w:rPr>
                <w:color w:val="3A3A3A" w:themeColor="background2" w:themeShade="40"/>
                <w:sz w:val="18"/>
                <w:szCs w:val="18"/>
              </w:rPr>
              <w:t xml:space="preserve">4.78 </w:t>
            </w:r>
            <w:r w:rsidRPr="0098425D">
              <w:rPr>
                <w:rFonts w:cs="Calibri"/>
                <w:color w:val="3A3A3A" w:themeColor="background2" w:themeShade="40"/>
                <w:sz w:val="18"/>
                <w:szCs w:val="18"/>
              </w:rPr>
              <w:t>± 1.9</w:t>
            </w:r>
          </w:p>
        </w:tc>
      </w:tr>
      <w:tr w:rsidR="00FF2C8E" w:rsidRPr="0098425D" w14:paraId="63886571" w14:textId="77777777" w:rsidTr="006018D5">
        <w:trPr>
          <w:jc w:val="center"/>
        </w:trPr>
        <w:tc>
          <w:tcPr>
            <w:cnfStyle w:val="001000000000" w:firstRow="0" w:lastRow="0" w:firstColumn="1" w:lastColumn="0" w:oddVBand="0" w:evenVBand="0" w:oddHBand="0" w:evenHBand="0" w:firstRowFirstColumn="0" w:firstRowLastColumn="0" w:lastRowFirstColumn="0" w:lastRowLastColumn="0"/>
            <w:tcW w:w="1701" w:type="dxa"/>
            <w:tcBorders>
              <w:left w:val="single" w:sz="4" w:space="0" w:color="auto"/>
            </w:tcBorders>
          </w:tcPr>
          <w:p w14:paraId="1E512390" w14:textId="77777777" w:rsidR="00FF2C8E" w:rsidRPr="0098425D" w:rsidRDefault="00FF2C8E" w:rsidP="006018D5">
            <w:pPr>
              <w:spacing w:line="360" w:lineRule="auto"/>
              <w:rPr>
                <w:b w:val="0"/>
                <w:bCs w:val="0"/>
                <w:color w:val="3A3A3A" w:themeColor="background2" w:themeShade="40"/>
                <w:sz w:val="18"/>
                <w:szCs w:val="18"/>
              </w:rPr>
            </w:pPr>
            <w:r w:rsidRPr="0098425D">
              <w:rPr>
                <w:b w:val="0"/>
                <w:bCs w:val="0"/>
                <w:color w:val="3A3A3A" w:themeColor="background2" w:themeShade="40"/>
                <w:sz w:val="18"/>
                <w:szCs w:val="18"/>
              </w:rPr>
              <w:t>Pi w. filter</w:t>
            </w:r>
          </w:p>
        </w:tc>
        <w:tc>
          <w:tcPr>
            <w:tcW w:w="1701" w:type="dxa"/>
            <w:tcBorders>
              <w:right w:val="single" w:sz="4" w:space="0" w:color="auto"/>
            </w:tcBorders>
          </w:tcPr>
          <w:p w14:paraId="29CE1F02" w14:textId="77777777" w:rsidR="00FF2C8E" w:rsidRPr="0098425D" w:rsidRDefault="00FF2C8E" w:rsidP="006018D5">
            <w:pPr>
              <w:spacing w:line="360" w:lineRule="auto"/>
              <w:cnfStyle w:val="000000000000" w:firstRow="0" w:lastRow="0" w:firstColumn="0" w:lastColumn="0" w:oddVBand="0" w:evenVBand="0" w:oddHBand="0" w:evenHBand="0" w:firstRowFirstColumn="0" w:firstRowLastColumn="0" w:lastRowFirstColumn="0" w:lastRowLastColumn="0"/>
              <w:rPr>
                <w:color w:val="3A3A3A" w:themeColor="background2" w:themeShade="40"/>
                <w:sz w:val="18"/>
                <w:szCs w:val="18"/>
              </w:rPr>
            </w:pPr>
            <w:r w:rsidRPr="0098425D">
              <w:rPr>
                <w:color w:val="3A3A3A" w:themeColor="background2" w:themeShade="40"/>
                <w:sz w:val="18"/>
                <w:szCs w:val="18"/>
              </w:rPr>
              <w:t xml:space="preserve">5.30 </w:t>
            </w:r>
            <w:r w:rsidRPr="0098425D">
              <w:rPr>
                <w:rFonts w:cs="Calibri"/>
                <w:color w:val="3A3A3A" w:themeColor="background2" w:themeShade="40"/>
                <w:sz w:val="18"/>
                <w:szCs w:val="18"/>
              </w:rPr>
              <w:t>± 0.7</w:t>
            </w:r>
          </w:p>
        </w:tc>
      </w:tr>
      <w:tr w:rsidR="00FF2C8E" w:rsidRPr="0098425D" w14:paraId="736E5848" w14:textId="77777777" w:rsidTr="00601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left w:val="single" w:sz="4" w:space="0" w:color="auto"/>
            </w:tcBorders>
            <w:shd w:val="clear" w:color="auto" w:fill="E8E8E8" w:themeFill="background2"/>
          </w:tcPr>
          <w:p w14:paraId="02A89877" w14:textId="77777777" w:rsidR="00FF2C8E" w:rsidRPr="0098425D" w:rsidRDefault="00FF2C8E" w:rsidP="006018D5">
            <w:pPr>
              <w:spacing w:line="360" w:lineRule="auto"/>
              <w:rPr>
                <w:b w:val="0"/>
                <w:bCs w:val="0"/>
                <w:color w:val="3A3A3A" w:themeColor="background2" w:themeShade="40"/>
                <w:sz w:val="18"/>
                <w:szCs w:val="18"/>
              </w:rPr>
            </w:pPr>
            <w:r w:rsidRPr="0098425D">
              <w:rPr>
                <w:b w:val="0"/>
                <w:bCs w:val="0"/>
                <w:color w:val="3A3A3A" w:themeColor="background2" w:themeShade="40"/>
                <w:sz w:val="18"/>
                <w:szCs w:val="18"/>
              </w:rPr>
              <w:t>nHAp</w:t>
            </w:r>
          </w:p>
        </w:tc>
        <w:tc>
          <w:tcPr>
            <w:tcW w:w="1701" w:type="dxa"/>
            <w:tcBorders>
              <w:right w:val="single" w:sz="4" w:space="0" w:color="auto"/>
            </w:tcBorders>
            <w:shd w:val="clear" w:color="auto" w:fill="E8E8E8" w:themeFill="background2"/>
          </w:tcPr>
          <w:p w14:paraId="18EDBCBD" w14:textId="77777777" w:rsidR="00FF2C8E" w:rsidRPr="0098425D" w:rsidRDefault="00FF2C8E" w:rsidP="006018D5">
            <w:pPr>
              <w:spacing w:line="360" w:lineRule="auto"/>
              <w:cnfStyle w:val="000000100000" w:firstRow="0" w:lastRow="0" w:firstColumn="0" w:lastColumn="0" w:oddVBand="0" w:evenVBand="0" w:oddHBand="1" w:evenHBand="0" w:firstRowFirstColumn="0" w:firstRowLastColumn="0" w:lastRowFirstColumn="0" w:lastRowLastColumn="0"/>
              <w:rPr>
                <w:color w:val="3A3A3A" w:themeColor="background2" w:themeShade="40"/>
                <w:sz w:val="18"/>
                <w:szCs w:val="18"/>
              </w:rPr>
            </w:pPr>
            <w:r w:rsidRPr="0098425D">
              <w:rPr>
                <w:color w:val="3A3A3A" w:themeColor="background2" w:themeShade="40"/>
                <w:sz w:val="18"/>
                <w:szCs w:val="18"/>
              </w:rPr>
              <w:t xml:space="preserve">6.53 </w:t>
            </w:r>
            <w:r w:rsidRPr="0098425D">
              <w:rPr>
                <w:rFonts w:cs="Calibri"/>
                <w:color w:val="3A3A3A" w:themeColor="background2" w:themeShade="40"/>
                <w:sz w:val="18"/>
                <w:szCs w:val="18"/>
              </w:rPr>
              <w:t>± 1.7</w:t>
            </w:r>
          </w:p>
        </w:tc>
      </w:tr>
      <w:tr w:rsidR="00FF2C8E" w:rsidRPr="0098425D" w14:paraId="6B3EBB4A" w14:textId="77777777" w:rsidTr="006018D5">
        <w:trPr>
          <w:jc w:val="center"/>
        </w:trPr>
        <w:tc>
          <w:tcPr>
            <w:cnfStyle w:val="001000000000" w:firstRow="0" w:lastRow="0" w:firstColumn="1" w:lastColumn="0" w:oddVBand="0" w:evenVBand="0" w:oddHBand="0" w:evenHBand="0" w:firstRowFirstColumn="0" w:firstRowLastColumn="0" w:lastRowFirstColumn="0" w:lastRowLastColumn="0"/>
            <w:tcW w:w="1701" w:type="dxa"/>
            <w:tcBorders>
              <w:left w:val="single" w:sz="4" w:space="0" w:color="auto"/>
              <w:bottom w:val="single" w:sz="4" w:space="0" w:color="auto"/>
            </w:tcBorders>
          </w:tcPr>
          <w:p w14:paraId="6B3DA6C8" w14:textId="77777777" w:rsidR="00FF2C8E" w:rsidRPr="0098425D" w:rsidRDefault="00FF2C8E" w:rsidP="006018D5">
            <w:pPr>
              <w:spacing w:line="360" w:lineRule="auto"/>
              <w:rPr>
                <w:b w:val="0"/>
                <w:bCs w:val="0"/>
                <w:color w:val="3A3A3A" w:themeColor="background2" w:themeShade="40"/>
                <w:sz w:val="18"/>
                <w:szCs w:val="18"/>
              </w:rPr>
            </w:pPr>
            <w:r w:rsidRPr="0098425D">
              <w:rPr>
                <w:b w:val="0"/>
                <w:bCs w:val="0"/>
                <w:color w:val="3A3A3A" w:themeColor="background2" w:themeShade="40"/>
                <w:sz w:val="18"/>
                <w:szCs w:val="18"/>
              </w:rPr>
              <w:t>nHAp w. filter</w:t>
            </w:r>
          </w:p>
        </w:tc>
        <w:tc>
          <w:tcPr>
            <w:tcW w:w="1701" w:type="dxa"/>
            <w:tcBorders>
              <w:bottom w:val="single" w:sz="4" w:space="0" w:color="auto"/>
              <w:right w:val="single" w:sz="4" w:space="0" w:color="auto"/>
            </w:tcBorders>
          </w:tcPr>
          <w:p w14:paraId="373444C3" w14:textId="77777777" w:rsidR="00FF2C8E" w:rsidRPr="0098425D" w:rsidRDefault="00FF2C8E" w:rsidP="006018D5">
            <w:pPr>
              <w:spacing w:line="360" w:lineRule="auto"/>
              <w:cnfStyle w:val="000000000000" w:firstRow="0" w:lastRow="0" w:firstColumn="0" w:lastColumn="0" w:oddVBand="0" w:evenVBand="0" w:oddHBand="0" w:evenHBand="0" w:firstRowFirstColumn="0" w:firstRowLastColumn="0" w:lastRowFirstColumn="0" w:lastRowLastColumn="0"/>
              <w:rPr>
                <w:color w:val="3A3A3A" w:themeColor="background2" w:themeShade="40"/>
                <w:sz w:val="18"/>
                <w:szCs w:val="18"/>
              </w:rPr>
            </w:pPr>
            <w:r w:rsidRPr="0098425D">
              <w:rPr>
                <w:color w:val="3A3A3A" w:themeColor="background2" w:themeShade="40"/>
                <w:sz w:val="18"/>
                <w:szCs w:val="18"/>
              </w:rPr>
              <w:t xml:space="preserve">5.58 </w:t>
            </w:r>
            <w:r w:rsidRPr="0098425D">
              <w:rPr>
                <w:rFonts w:cs="Calibri"/>
                <w:color w:val="3A3A3A" w:themeColor="background2" w:themeShade="40"/>
                <w:sz w:val="18"/>
                <w:szCs w:val="18"/>
              </w:rPr>
              <w:t>± 0.2</w:t>
            </w:r>
          </w:p>
        </w:tc>
      </w:tr>
    </w:tbl>
    <w:p w14:paraId="60A3E68A" w14:textId="77777777" w:rsidR="00FF2C8E" w:rsidRDefault="00FF2C8E" w:rsidP="00FF2C8E"/>
    <w:p w14:paraId="0AD02243" w14:textId="77777777" w:rsidR="00FF2C8E" w:rsidRDefault="00FF2C8E" w:rsidP="00FF2C8E"/>
    <w:p w14:paraId="6DBF2DEB" w14:textId="77777777" w:rsidR="00FF2C8E" w:rsidRDefault="00FF2C8E" w:rsidP="00FF2C8E"/>
    <w:p w14:paraId="5A517872" w14:textId="77777777" w:rsidR="00FF2C8E" w:rsidRDefault="00FF2C8E" w:rsidP="00FF2C8E"/>
    <w:p w14:paraId="028692CC" w14:textId="77777777" w:rsidR="00FF2C8E" w:rsidRDefault="00FF2C8E" w:rsidP="00FF2C8E">
      <w:r w:rsidRPr="002428F2">
        <w:rPr>
          <w:noProof/>
        </w:rPr>
        <w:lastRenderedPageBreak/>
        <w:drawing>
          <wp:inline distT="0" distB="0" distL="0" distR="0" wp14:anchorId="779CF5CD" wp14:editId="5B8EB507">
            <wp:extent cx="5730875" cy="2775098"/>
            <wp:effectExtent l="0" t="0" r="3175" b="6350"/>
            <wp:docPr id="1222749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3697"/>
                    <a:stretch>
                      <a:fillRect/>
                    </a:stretch>
                  </pic:blipFill>
                  <pic:spPr bwMode="auto">
                    <a:xfrm>
                      <a:off x="0" y="0"/>
                      <a:ext cx="5730875" cy="2775098"/>
                    </a:xfrm>
                    <a:prstGeom prst="rect">
                      <a:avLst/>
                    </a:prstGeom>
                    <a:noFill/>
                    <a:ln>
                      <a:noFill/>
                    </a:ln>
                    <a:extLst>
                      <a:ext uri="{53640926-AAD7-44D8-BBD7-CCE9431645EC}">
                        <a14:shadowObscured xmlns:a14="http://schemas.microsoft.com/office/drawing/2010/main"/>
                      </a:ext>
                    </a:extLst>
                  </pic:spPr>
                </pic:pic>
              </a:graphicData>
            </a:graphic>
          </wp:inline>
        </w:drawing>
      </w:r>
    </w:p>
    <w:p w14:paraId="7FBA465E" w14:textId="77777777" w:rsidR="00FF2C8E" w:rsidRPr="00864F03" w:rsidRDefault="00FF2C8E" w:rsidP="00FF2C8E">
      <w:pPr>
        <w:pStyle w:val="Caption"/>
        <w:rPr>
          <w:b w:val="0"/>
          <w:bCs/>
          <w:sz w:val="18"/>
          <w:szCs w:val="16"/>
        </w:rPr>
      </w:pPr>
      <w:r w:rsidRPr="00864F03">
        <w:rPr>
          <w:sz w:val="18"/>
          <w:szCs w:val="16"/>
        </w:rPr>
        <w:t>Fig</w:t>
      </w:r>
      <w:r>
        <w:rPr>
          <w:sz w:val="18"/>
          <w:szCs w:val="16"/>
        </w:rPr>
        <w:t>.</w:t>
      </w:r>
      <w:r w:rsidRPr="00864F03">
        <w:rPr>
          <w:sz w:val="18"/>
          <w:szCs w:val="16"/>
        </w:rPr>
        <w:t xml:space="preserve"> S5.</w:t>
      </w:r>
      <w:r w:rsidRPr="00864F03">
        <w:rPr>
          <w:b w:val="0"/>
          <w:bCs/>
          <w:sz w:val="18"/>
          <w:szCs w:val="16"/>
        </w:rPr>
        <w:t xml:space="preserve"> Sequential chemical extractions of </w:t>
      </w:r>
      <w:r w:rsidRPr="00864F03">
        <w:rPr>
          <w:b w:val="0"/>
          <w:bCs/>
          <w:iCs w:val="0"/>
          <w:sz w:val="18"/>
          <w:szCs w:val="16"/>
        </w:rPr>
        <w:t>phosphorus (</w:t>
      </w:r>
      <w:r w:rsidRPr="00864F03">
        <w:rPr>
          <w:b w:val="0"/>
          <w:bCs/>
          <w:sz w:val="18"/>
          <w:szCs w:val="16"/>
        </w:rPr>
        <w:t>P</w:t>
      </w:r>
      <w:r w:rsidRPr="00864F03">
        <w:rPr>
          <w:b w:val="0"/>
          <w:bCs/>
          <w:iCs w:val="0"/>
          <w:sz w:val="18"/>
          <w:szCs w:val="16"/>
        </w:rPr>
        <w:t>)</w:t>
      </w:r>
      <w:r w:rsidRPr="00864F03">
        <w:rPr>
          <w:b w:val="0"/>
          <w:bCs/>
          <w:sz w:val="18"/>
          <w:szCs w:val="16"/>
        </w:rPr>
        <w:t xml:space="preserve"> on P1 and CRUCIAL soils incubated with water, ammonium citrate, nano-hydroxyapatite </w:t>
      </w:r>
      <w:r w:rsidRPr="00864F03">
        <w:rPr>
          <w:b w:val="0"/>
          <w:bCs/>
          <w:iCs w:val="0"/>
          <w:sz w:val="18"/>
          <w:szCs w:val="16"/>
        </w:rPr>
        <w:t xml:space="preserve">(nHAp) </w:t>
      </w:r>
      <w:r w:rsidRPr="00864F03">
        <w:rPr>
          <w:b w:val="0"/>
          <w:bCs/>
          <w:sz w:val="18"/>
          <w:szCs w:val="16"/>
        </w:rPr>
        <w:t>or Pi</w:t>
      </w:r>
      <w:r w:rsidRPr="00864F03">
        <w:rPr>
          <w:b w:val="0"/>
          <w:bCs/>
          <w:iCs w:val="0"/>
          <w:sz w:val="18"/>
          <w:szCs w:val="16"/>
        </w:rPr>
        <w:t xml:space="preserve">, measured </w:t>
      </w:r>
      <w:r w:rsidRPr="00864F03">
        <w:rPr>
          <w:b w:val="0"/>
          <w:bCs/>
          <w:sz w:val="18"/>
          <w:szCs w:val="16"/>
        </w:rPr>
        <w:t xml:space="preserve">after 7, 21 and 49 days. </w:t>
      </w:r>
      <w:r w:rsidRPr="00864F03">
        <w:rPr>
          <w:b w:val="0"/>
          <w:bCs/>
          <w:iCs w:val="0"/>
          <w:sz w:val="18"/>
          <w:szCs w:val="16"/>
        </w:rPr>
        <w:t>Values are means (n = 4). D</w:t>
      </w:r>
      <w:r w:rsidRPr="00864F03">
        <w:rPr>
          <w:b w:val="0"/>
          <w:bCs/>
          <w:sz w:val="18"/>
          <w:szCs w:val="16"/>
        </w:rPr>
        <w:t xml:space="preserve">ifferent letters indicate significant differences </w:t>
      </w:r>
      <w:r w:rsidRPr="00864F03">
        <w:rPr>
          <w:b w:val="0"/>
          <w:bCs/>
          <w:iCs w:val="0"/>
          <w:sz w:val="18"/>
          <w:szCs w:val="16"/>
        </w:rPr>
        <w:t>(</w:t>
      </w:r>
      <w:r w:rsidRPr="00864F03">
        <w:rPr>
          <w:b w:val="0"/>
          <w:bCs/>
          <w:i/>
          <w:sz w:val="18"/>
          <w:szCs w:val="16"/>
        </w:rPr>
        <w:t xml:space="preserve">p </w:t>
      </w:r>
      <w:r w:rsidRPr="00864F03">
        <w:rPr>
          <w:b w:val="0"/>
          <w:bCs/>
          <w:sz w:val="18"/>
          <w:szCs w:val="16"/>
        </w:rPr>
        <w:t>&lt; 0.05</w:t>
      </w:r>
      <w:r w:rsidRPr="00864F03">
        <w:rPr>
          <w:b w:val="0"/>
          <w:bCs/>
          <w:iCs w:val="0"/>
          <w:sz w:val="18"/>
          <w:szCs w:val="16"/>
        </w:rPr>
        <w:t>)</w:t>
      </w:r>
      <w:r w:rsidRPr="00864F03">
        <w:rPr>
          <w:b w:val="0"/>
          <w:bCs/>
          <w:sz w:val="18"/>
          <w:szCs w:val="16"/>
        </w:rPr>
        <w:t xml:space="preserve"> among fractions extracted from the same soil using the same extractant. Bic-P = </w:t>
      </w:r>
      <w:r w:rsidRPr="00864F03">
        <w:rPr>
          <w:b w:val="0"/>
          <w:bCs/>
          <w:iCs w:val="0"/>
          <w:sz w:val="18"/>
          <w:szCs w:val="16"/>
        </w:rPr>
        <w:t>b</w:t>
      </w:r>
      <w:r w:rsidRPr="00864F03">
        <w:rPr>
          <w:b w:val="0"/>
          <w:bCs/>
          <w:sz w:val="18"/>
          <w:szCs w:val="16"/>
        </w:rPr>
        <w:t>icarbonate-extractable P.</w:t>
      </w:r>
    </w:p>
    <w:p w14:paraId="282A6F13" w14:textId="77777777" w:rsidR="00FF2C8E" w:rsidRDefault="00FF2C8E" w:rsidP="00FF2C8E">
      <w:pPr>
        <w:keepNext/>
      </w:pPr>
      <w:r w:rsidRPr="002428F2">
        <w:rPr>
          <w:noProof/>
        </w:rPr>
        <w:drawing>
          <wp:inline distT="0" distB="0" distL="0" distR="0" wp14:anchorId="0CC3BB9E" wp14:editId="4C01495B">
            <wp:extent cx="5730875" cy="2913380"/>
            <wp:effectExtent l="0" t="0" r="0" b="0"/>
            <wp:docPr id="927702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t="4865"/>
                    <a:stretch>
                      <a:fillRect/>
                    </a:stretch>
                  </pic:blipFill>
                  <pic:spPr bwMode="auto">
                    <a:xfrm>
                      <a:off x="0" y="0"/>
                      <a:ext cx="5730875" cy="2913380"/>
                    </a:xfrm>
                    <a:prstGeom prst="rect">
                      <a:avLst/>
                    </a:prstGeom>
                    <a:noFill/>
                    <a:ln>
                      <a:noFill/>
                    </a:ln>
                  </pic:spPr>
                </pic:pic>
              </a:graphicData>
            </a:graphic>
          </wp:inline>
        </w:drawing>
      </w:r>
    </w:p>
    <w:p w14:paraId="7EF3FE18" w14:textId="77777777" w:rsidR="00FF2C8E" w:rsidRPr="00864F03" w:rsidRDefault="00FF2C8E" w:rsidP="00FF2C8E">
      <w:pPr>
        <w:pStyle w:val="Caption"/>
        <w:rPr>
          <w:b w:val="0"/>
          <w:bCs/>
          <w:sz w:val="18"/>
          <w:szCs w:val="16"/>
        </w:rPr>
      </w:pPr>
      <w:r w:rsidRPr="00864F03">
        <w:rPr>
          <w:sz w:val="18"/>
          <w:szCs w:val="16"/>
        </w:rPr>
        <w:t>Fig</w:t>
      </w:r>
      <w:r>
        <w:rPr>
          <w:sz w:val="18"/>
          <w:szCs w:val="16"/>
        </w:rPr>
        <w:t>.</w:t>
      </w:r>
      <w:r w:rsidRPr="00864F03">
        <w:rPr>
          <w:sz w:val="18"/>
          <w:szCs w:val="16"/>
        </w:rPr>
        <w:t xml:space="preserve"> S6.</w:t>
      </w:r>
      <w:r w:rsidRPr="00864F03">
        <w:rPr>
          <w:b w:val="0"/>
          <w:bCs/>
          <w:sz w:val="18"/>
          <w:szCs w:val="16"/>
        </w:rPr>
        <w:t xml:space="preserve"> Phosphorus (P) content (µg) of zirconium oxide binding gels treated with nano-hydroxyapatite (nHAp) and potassium phosphate (Pi) at different P concentrations: 5 mg/L and 1 mg/L. The negative control was water (0 mg P/L). Values are means (n = 3). Error bars show standard errors and different letters indicate significant differences (</w:t>
      </w:r>
      <w:r w:rsidRPr="00864F03">
        <w:rPr>
          <w:b w:val="0"/>
          <w:bCs/>
          <w:i/>
          <w:sz w:val="18"/>
          <w:szCs w:val="16"/>
        </w:rPr>
        <w:t>p</w:t>
      </w:r>
      <w:r w:rsidRPr="00864F03">
        <w:rPr>
          <w:b w:val="0"/>
          <w:bCs/>
          <w:sz w:val="18"/>
          <w:szCs w:val="16"/>
        </w:rPr>
        <w:t xml:space="preserve"> &lt; 0.05).</w:t>
      </w:r>
    </w:p>
    <w:p w14:paraId="7167E8E2" w14:textId="77777777" w:rsidR="00FF2C8E" w:rsidRDefault="00FF2C8E" w:rsidP="00FF2C8E"/>
    <w:p w14:paraId="42345101" w14:textId="77777777" w:rsidR="007276E9" w:rsidRPr="00457719" w:rsidRDefault="007276E9" w:rsidP="007276E9">
      <w:pPr>
        <w:pStyle w:val="RSCB04AHeadingSection"/>
      </w:pPr>
      <w:r w:rsidRPr="00457719">
        <w:t>References</w:t>
      </w:r>
    </w:p>
    <w:p w14:paraId="6C1461BC" w14:textId="77777777" w:rsidR="007276E9" w:rsidRDefault="007276E9" w:rsidP="007276E9">
      <w:pPr>
        <w:widowControl w:val="0"/>
        <w:autoSpaceDE w:val="0"/>
        <w:autoSpaceDN w:val="0"/>
        <w:adjustRightInd w:val="0"/>
        <w:spacing w:after="100"/>
        <w:jc w:val="left"/>
        <w:rPr>
          <w:rFonts w:cs="Calibri"/>
          <w:noProof/>
          <w:sz w:val="18"/>
        </w:rPr>
      </w:pPr>
      <w:r w:rsidRPr="009166A2">
        <w:rPr>
          <w:rFonts w:cs="Calibri"/>
          <w:noProof/>
          <w:sz w:val="18"/>
        </w:rPr>
        <w:t>Hedley MJ, Stewart JWB, Chauhan BS. 1982. Changes in Inorganic and Organic Soil Phosphorus Fractions Induced by Cultivation Practices and by Laboratory Incubations. Soil Sci Soc Am J.</w:t>
      </w:r>
      <w:r>
        <w:rPr>
          <w:rFonts w:cs="Calibri"/>
          <w:noProof/>
          <w:sz w:val="18"/>
        </w:rPr>
        <w:t xml:space="preserve"> </w:t>
      </w:r>
      <w:r w:rsidRPr="009166A2">
        <w:rPr>
          <w:rFonts w:cs="Calibri"/>
          <w:noProof/>
          <w:sz w:val="18"/>
        </w:rPr>
        <w:t>46(5):970–976.</w:t>
      </w:r>
      <w:r>
        <w:rPr>
          <w:rFonts w:cs="Calibri"/>
          <w:noProof/>
          <w:sz w:val="18"/>
        </w:rPr>
        <w:t xml:space="preserve"> </w:t>
      </w:r>
      <w:r w:rsidRPr="009166A2">
        <w:rPr>
          <w:rFonts w:cs="Calibri"/>
          <w:noProof/>
          <w:sz w:val="18"/>
        </w:rPr>
        <w:t>https://doi.org/10.2136/SSSAJ1982.03615995004600050017X</w:t>
      </w:r>
    </w:p>
    <w:p w14:paraId="64F66959" w14:textId="77777777" w:rsidR="007276E9" w:rsidRDefault="007276E9" w:rsidP="007276E9">
      <w:pPr>
        <w:widowControl w:val="0"/>
        <w:autoSpaceDE w:val="0"/>
        <w:autoSpaceDN w:val="0"/>
        <w:adjustRightInd w:val="0"/>
        <w:spacing w:after="100"/>
        <w:jc w:val="left"/>
        <w:rPr>
          <w:rFonts w:cs="Calibri"/>
          <w:noProof/>
          <w:sz w:val="18"/>
        </w:rPr>
      </w:pPr>
      <w:r w:rsidRPr="009166A2">
        <w:rPr>
          <w:rFonts w:cs="Calibri"/>
          <w:noProof/>
          <w:sz w:val="18"/>
        </w:rPr>
        <w:t xml:space="preserve">Koch M, Guppy C, Amelung W, Gypser S, Bol R, Seidel S, Siebers N. 2019. Insights into 33phosphorus utilisation from Fe-and Al-hydroxides in Luvisol and Ferralsol subsoils. Soil Res. 57(5):447–458. </w:t>
      </w:r>
      <w:r w:rsidRPr="00690958">
        <w:rPr>
          <w:rFonts w:cs="Calibri"/>
          <w:noProof/>
          <w:sz w:val="18"/>
        </w:rPr>
        <w:t>https://doi.org/10.1071/SR18223</w:t>
      </w:r>
    </w:p>
    <w:p w14:paraId="5C346581" w14:textId="77777777" w:rsidR="007276E9" w:rsidRPr="005E6726" w:rsidRDefault="007276E9" w:rsidP="007276E9">
      <w:pPr>
        <w:widowControl w:val="0"/>
        <w:autoSpaceDE w:val="0"/>
        <w:autoSpaceDN w:val="0"/>
        <w:adjustRightInd w:val="0"/>
        <w:spacing w:after="100"/>
        <w:jc w:val="left"/>
        <w:rPr>
          <w:rFonts w:cs="Calibri"/>
          <w:noProof/>
          <w:sz w:val="18"/>
        </w:rPr>
      </w:pPr>
      <w:r w:rsidRPr="005E6726">
        <w:rPr>
          <w:rFonts w:cs="Calibri"/>
          <w:noProof/>
          <w:sz w:val="18"/>
        </w:rPr>
        <w:lastRenderedPageBreak/>
        <w:t>Zehetner</w:t>
      </w:r>
      <w:r>
        <w:rPr>
          <w:rFonts w:cs="Calibri"/>
          <w:noProof/>
          <w:sz w:val="18"/>
        </w:rPr>
        <w:t>,</w:t>
      </w:r>
      <w:r w:rsidRPr="005E6726">
        <w:rPr>
          <w:rFonts w:cs="Calibri"/>
          <w:noProof/>
          <w:sz w:val="18"/>
        </w:rPr>
        <w:t>F</w:t>
      </w:r>
      <w:r>
        <w:rPr>
          <w:rFonts w:cs="Calibri"/>
          <w:noProof/>
          <w:sz w:val="18"/>
        </w:rPr>
        <w:t>,</w:t>
      </w:r>
      <w:r w:rsidRPr="005E6726">
        <w:rPr>
          <w:rFonts w:cs="Calibri"/>
          <w:noProof/>
          <w:sz w:val="18"/>
        </w:rPr>
        <w:t xml:space="preserve"> Wuenscher R</w:t>
      </w:r>
      <w:r>
        <w:rPr>
          <w:rFonts w:cs="Calibri"/>
          <w:noProof/>
          <w:sz w:val="18"/>
        </w:rPr>
        <w:t>,</w:t>
      </w:r>
      <w:r w:rsidRPr="005E6726">
        <w:rPr>
          <w:rFonts w:cs="Calibri"/>
          <w:noProof/>
          <w:sz w:val="18"/>
        </w:rPr>
        <w:t xml:space="preserve"> Peticzka R</w:t>
      </w:r>
      <w:r>
        <w:rPr>
          <w:rFonts w:cs="Calibri"/>
          <w:noProof/>
          <w:sz w:val="18"/>
        </w:rPr>
        <w:t>,</w:t>
      </w:r>
      <w:r w:rsidRPr="005E6726">
        <w:rPr>
          <w:rFonts w:cs="Calibri"/>
          <w:noProof/>
          <w:sz w:val="18"/>
        </w:rPr>
        <w:t xml:space="preserve"> Unterfrauner H. </w:t>
      </w:r>
      <w:r>
        <w:rPr>
          <w:rFonts w:cs="Calibri"/>
          <w:noProof/>
          <w:sz w:val="18"/>
        </w:rPr>
        <w:t xml:space="preserve">2018. </w:t>
      </w:r>
      <w:r w:rsidRPr="005E6726">
        <w:rPr>
          <w:rFonts w:cs="Calibri"/>
          <w:noProof/>
          <w:sz w:val="18"/>
        </w:rPr>
        <w:t xml:space="preserve">Correlation of Extractable Soil Phosphorus (P) with Plant P Uptake: 14 Extraction Methods Applied to 50 Agricultural Soils from Central Europe. </w:t>
      </w:r>
      <w:r w:rsidRPr="009166A2">
        <w:rPr>
          <w:rFonts w:cs="Calibri"/>
          <w:noProof/>
          <w:sz w:val="18"/>
        </w:rPr>
        <w:t>Plant, Soil and Env</w:t>
      </w:r>
      <w:r w:rsidRPr="005E6726">
        <w:rPr>
          <w:rFonts w:cs="Calibri"/>
          <w:noProof/>
          <w:sz w:val="18"/>
        </w:rPr>
        <w:t>,</w:t>
      </w:r>
      <w:r>
        <w:rPr>
          <w:rFonts w:cs="Calibri"/>
          <w:noProof/>
          <w:sz w:val="18"/>
        </w:rPr>
        <w:t xml:space="preserve"> 4</w:t>
      </w:r>
      <w:r w:rsidRPr="005E6726">
        <w:rPr>
          <w:rFonts w:cs="Calibri"/>
          <w:noProof/>
          <w:sz w:val="18"/>
        </w:rPr>
        <w:t>(4)</w:t>
      </w:r>
      <w:r>
        <w:rPr>
          <w:rFonts w:cs="Calibri"/>
          <w:noProof/>
          <w:sz w:val="18"/>
        </w:rPr>
        <w:t>:</w:t>
      </w:r>
      <w:r w:rsidRPr="005E6726">
        <w:rPr>
          <w:rFonts w:cs="Calibri"/>
          <w:noProof/>
          <w:sz w:val="18"/>
        </w:rPr>
        <w:t>192–201. https://doi.org/10.17221/70/2018-PSE</w:t>
      </w:r>
    </w:p>
    <w:p w14:paraId="06AED79D"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6530"/>
    <w:multiLevelType w:val="hybridMultilevel"/>
    <w:tmpl w:val="51CC923A"/>
    <w:lvl w:ilvl="0" w:tplc="315E57B6">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305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C8E"/>
    <w:rsid w:val="005B6877"/>
    <w:rsid w:val="007276E9"/>
    <w:rsid w:val="008B0D14"/>
    <w:rsid w:val="00AA0C39"/>
    <w:rsid w:val="00DC2479"/>
    <w:rsid w:val="00FF2C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FD095"/>
  <w15:chartTrackingRefBased/>
  <w15:docId w15:val="{CC981F02-2D2B-46CA-85C9-68C026B3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C8E"/>
    <w:pPr>
      <w:spacing w:after="120" w:line="276" w:lineRule="auto"/>
      <w:jc w:val="both"/>
    </w:pPr>
    <w:rPr>
      <w:kern w:val="0"/>
      <w:sz w:val="22"/>
      <w:szCs w:val="22"/>
      <w:lang w:val="en-GB"/>
      <w14:ligatures w14:val="none"/>
    </w:rPr>
  </w:style>
  <w:style w:type="paragraph" w:styleId="Heading1">
    <w:name w:val="heading 1"/>
    <w:basedOn w:val="Normal"/>
    <w:next w:val="Normal"/>
    <w:link w:val="Heading1Char"/>
    <w:uiPriority w:val="9"/>
    <w:qFormat/>
    <w:rsid w:val="00FF2C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2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2C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F2C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2C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2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C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2C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2C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2C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2C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2C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C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C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C8E"/>
    <w:rPr>
      <w:rFonts w:eastAsiaTheme="majorEastAsia" w:cstheme="majorBidi"/>
      <w:color w:val="272727" w:themeColor="text1" w:themeTint="D8"/>
    </w:rPr>
  </w:style>
  <w:style w:type="paragraph" w:styleId="Title">
    <w:name w:val="Title"/>
    <w:basedOn w:val="Normal"/>
    <w:next w:val="Normal"/>
    <w:link w:val="TitleChar"/>
    <w:uiPriority w:val="10"/>
    <w:qFormat/>
    <w:rsid w:val="00FF2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C8E"/>
    <w:pPr>
      <w:spacing w:before="160"/>
      <w:jc w:val="center"/>
    </w:pPr>
    <w:rPr>
      <w:i/>
      <w:iCs/>
      <w:color w:val="404040" w:themeColor="text1" w:themeTint="BF"/>
    </w:rPr>
  </w:style>
  <w:style w:type="character" w:customStyle="1" w:styleId="QuoteChar">
    <w:name w:val="Quote Char"/>
    <w:basedOn w:val="DefaultParagraphFont"/>
    <w:link w:val="Quote"/>
    <w:uiPriority w:val="29"/>
    <w:rsid w:val="00FF2C8E"/>
    <w:rPr>
      <w:i/>
      <w:iCs/>
      <w:color w:val="404040" w:themeColor="text1" w:themeTint="BF"/>
    </w:rPr>
  </w:style>
  <w:style w:type="paragraph" w:styleId="ListParagraph">
    <w:name w:val="List Paragraph"/>
    <w:basedOn w:val="Normal"/>
    <w:uiPriority w:val="34"/>
    <w:qFormat/>
    <w:rsid w:val="00FF2C8E"/>
    <w:pPr>
      <w:ind w:left="720"/>
      <w:contextualSpacing/>
    </w:pPr>
  </w:style>
  <w:style w:type="character" w:styleId="IntenseEmphasis">
    <w:name w:val="Intense Emphasis"/>
    <w:basedOn w:val="DefaultParagraphFont"/>
    <w:uiPriority w:val="21"/>
    <w:qFormat/>
    <w:rsid w:val="00FF2C8E"/>
    <w:rPr>
      <w:i/>
      <w:iCs/>
      <w:color w:val="0F4761" w:themeColor="accent1" w:themeShade="BF"/>
    </w:rPr>
  </w:style>
  <w:style w:type="paragraph" w:styleId="IntenseQuote">
    <w:name w:val="Intense Quote"/>
    <w:basedOn w:val="Normal"/>
    <w:next w:val="Normal"/>
    <w:link w:val="IntenseQuoteChar"/>
    <w:uiPriority w:val="30"/>
    <w:qFormat/>
    <w:rsid w:val="00FF2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2C8E"/>
    <w:rPr>
      <w:i/>
      <w:iCs/>
      <w:color w:val="0F4761" w:themeColor="accent1" w:themeShade="BF"/>
    </w:rPr>
  </w:style>
  <w:style w:type="character" w:styleId="IntenseReference">
    <w:name w:val="Intense Reference"/>
    <w:basedOn w:val="DefaultParagraphFont"/>
    <w:uiPriority w:val="32"/>
    <w:qFormat/>
    <w:rsid w:val="00FF2C8E"/>
    <w:rPr>
      <w:b/>
      <w:bCs/>
      <w:smallCaps/>
      <w:color w:val="0F4761" w:themeColor="accent1" w:themeShade="BF"/>
      <w:spacing w:val="5"/>
    </w:rPr>
  </w:style>
  <w:style w:type="paragraph" w:styleId="Caption">
    <w:name w:val="caption"/>
    <w:basedOn w:val="Normal"/>
    <w:next w:val="Normal"/>
    <w:uiPriority w:val="35"/>
    <w:unhideWhenUsed/>
    <w:qFormat/>
    <w:rsid w:val="00FF2C8E"/>
    <w:pPr>
      <w:spacing w:after="200" w:line="240" w:lineRule="auto"/>
    </w:pPr>
    <w:rPr>
      <w:b/>
      <w:iCs/>
      <w:color w:val="0E2841" w:themeColor="text2"/>
      <w:sz w:val="20"/>
      <w:szCs w:val="18"/>
    </w:rPr>
  </w:style>
  <w:style w:type="table" w:styleId="ListTable1Light">
    <w:name w:val="List Table 1 Light"/>
    <w:basedOn w:val="TableNormal"/>
    <w:uiPriority w:val="46"/>
    <w:rsid w:val="00FF2C8E"/>
    <w:pPr>
      <w:spacing w:after="0" w:line="240" w:lineRule="auto"/>
      <w:jc w:val="both"/>
    </w:pPr>
    <w:rPr>
      <w:kern w:val="0"/>
      <w:sz w:val="22"/>
      <w:szCs w:val="22"/>
      <w:lang w:val="en-US"/>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SCB02ArticleText">
    <w:name w:val="RSC B02 Article Text"/>
    <w:basedOn w:val="Normal"/>
    <w:link w:val="RSCB02ArticleTextChar"/>
    <w:qFormat/>
    <w:rsid w:val="007276E9"/>
    <w:rPr>
      <w:rFonts w:ascii="Calibri" w:hAnsi="Calibri" w:cs="Calibri"/>
      <w:color w:val="000000"/>
      <w:w w:val="108"/>
      <w:sz w:val="20"/>
      <w:szCs w:val="20"/>
    </w:rPr>
  </w:style>
  <w:style w:type="character" w:customStyle="1" w:styleId="RSCB02ArticleTextChar">
    <w:name w:val="RSC B02 Article Text Char"/>
    <w:basedOn w:val="DefaultParagraphFont"/>
    <w:link w:val="RSCB02ArticleText"/>
    <w:rsid w:val="007276E9"/>
    <w:rPr>
      <w:rFonts w:ascii="Calibri" w:hAnsi="Calibri" w:cs="Calibri"/>
      <w:color w:val="000000"/>
      <w:w w:val="108"/>
      <w:kern w:val="0"/>
      <w:sz w:val="20"/>
      <w:szCs w:val="20"/>
      <w:lang w:val="en-GB"/>
      <w14:ligatures w14:val="none"/>
    </w:rPr>
  </w:style>
  <w:style w:type="paragraph" w:customStyle="1" w:styleId="RSCB04AHeadingSection">
    <w:name w:val="RSC B04 A Heading (Section)"/>
    <w:basedOn w:val="Normal"/>
    <w:link w:val="RSCB04AHeadingSectionChar"/>
    <w:qFormat/>
    <w:rsid w:val="007276E9"/>
    <w:pPr>
      <w:spacing w:before="400" w:after="80" w:line="240" w:lineRule="auto"/>
    </w:pPr>
    <w:rPr>
      <w:b/>
      <w:sz w:val="24"/>
    </w:rPr>
  </w:style>
  <w:style w:type="character" w:customStyle="1" w:styleId="RSCB04AHeadingSectionChar">
    <w:name w:val="RSC B04 A Heading (Section) Char"/>
    <w:basedOn w:val="DefaultParagraphFont"/>
    <w:link w:val="RSCB04AHeadingSection"/>
    <w:rsid w:val="007276E9"/>
    <w:rPr>
      <w:b/>
      <w:kern w:val="0"/>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2137</Words>
  <Characters>12184</Characters>
  <Application>Microsoft Office Word</Application>
  <DocSecurity>0</DocSecurity>
  <Lines>101</Lines>
  <Paragraphs>28</Paragraphs>
  <ScaleCrop>false</ScaleCrop>
  <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2</cp:revision>
  <dcterms:created xsi:type="dcterms:W3CDTF">2026-09-24T17:24:00Z</dcterms:created>
  <dcterms:modified xsi:type="dcterms:W3CDTF">2026-09-24T17:25:00Z</dcterms:modified>
</cp:coreProperties>
</file>