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2E8" w:rsidRPr="00665E96" w:rsidRDefault="00DD72E8" w:rsidP="00DD72E8">
      <w:pPr>
        <w:rPr>
          <w:b/>
          <w:color w:val="auto"/>
        </w:rPr>
      </w:pPr>
      <w:r w:rsidRPr="00665E96">
        <w:rPr>
          <w:b/>
          <w:color w:val="auto"/>
        </w:rPr>
        <w:t>Supplementary material</w:t>
      </w:r>
    </w:p>
    <w:p w:rsidR="00DD72E8" w:rsidRDefault="00DD72E8" w:rsidP="00DD72E8">
      <w:pPr>
        <w:rPr>
          <w:color w:val="auto"/>
        </w:rPr>
      </w:pPr>
      <w:r w:rsidRPr="00065BD3">
        <w:rPr>
          <w:color w:val="auto"/>
        </w:rPr>
        <w:t>Supplementary tables and figures cited in the main text are consolidated below.</w:t>
      </w:r>
    </w:p>
    <w:p w:rsidR="00DD72E8" w:rsidRPr="00065BD3" w:rsidRDefault="00DD72E8" w:rsidP="00DD72E8">
      <w:pPr>
        <w:rPr>
          <w:color w:val="auto"/>
        </w:rPr>
      </w:pPr>
      <w:r w:rsidRPr="00665E96">
        <w:rPr>
          <w:b/>
          <w:color w:val="auto"/>
        </w:rPr>
        <w:t>Supplementary Table S1</w:t>
      </w:r>
      <w:r w:rsidRPr="00065BD3">
        <w:rPr>
          <w:color w:val="auto"/>
        </w:rPr>
        <w:t>. Definitions, coding, and analytical use of variables recorded for verified leopard attacks.</w:t>
      </w:r>
    </w:p>
    <w:tbl>
      <w:tblPr>
        <w:tblW w:w="981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44"/>
        <w:gridCol w:w="2160"/>
        <w:gridCol w:w="4320"/>
        <w:gridCol w:w="1386"/>
      </w:tblGrid>
      <w:tr w:rsidR="00DD72E8" w:rsidRPr="00065BD3" w:rsidTr="00DD72E8">
        <w:trPr>
          <w:tblHeader/>
        </w:trPr>
        <w:tc>
          <w:tcPr>
            <w:tcW w:w="1944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Variable</w:t>
            </w:r>
          </w:p>
        </w:tc>
        <w:tc>
          <w:tcPr>
            <w:tcW w:w="216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Description</w:t>
            </w:r>
          </w:p>
        </w:tc>
        <w:tc>
          <w:tcPr>
            <w:tcW w:w="432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Categories/coding</w:t>
            </w:r>
          </w:p>
        </w:tc>
        <w:tc>
          <w:tcPr>
            <w:tcW w:w="1386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Included in GLM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Attack outcome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Outcome for the victim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Fatal = 1; non-fatal = 0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Response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Age class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Victim age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Child 0-15; adult 16-59; older adult 60 or more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Yes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Gender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Victim gender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Male; female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Yes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Party presence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Companions present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Alone; group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Yes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Season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Season of attack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Summer Mar-Jun; monsoon Jul-Sep; winter Oct-Feb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Yes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Time period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Time of attack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Morning twilight; daytime; evening twilight; nighttime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Yes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Activity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Activity at contact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Agricultural/livelihood; movement/resource use; recreational/resting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Yes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Posture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Body position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Low; upright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Yes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Attack-site context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Dominant local setting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Agricultural; settlement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Yes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Victim response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Reaction during attack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Physical defence; escape; vocal; none; unknown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No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Companion response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Action by companions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Intervention; escape; passive; unknown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No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Tool use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Defensive object used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Present; absent; unknown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No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Barrier context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Physical obstruction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Partial barrier; none; unknown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No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lastRenderedPageBreak/>
              <w:t>Leopard disengagement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How contact ended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Immediate retreat; resistance; intervention; crowd; predation; other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No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Information source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Primary evidentiary source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Victim; relative; community; Forest Department; media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No</w:t>
            </w:r>
          </w:p>
        </w:tc>
      </w:tr>
      <w:tr w:rsidR="00DD72E8" w:rsidRPr="00065BD3" w:rsidTr="00DD72E8">
        <w:tc>
          <w:tcPr>
            <w:tcW w:w="1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Likely predatory</w:t>
            </w:r>
          </w:p>
        </w:tc>
        <w:tc>
          <w:tcPr>
            <w:tcW w:w="2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Prey-oriented indicators</w:t>
            </w:r>
          </w:p>
        </w:tc>
        <w:tc>
          <w:tcPr>
            <w:tcW w:w="43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Likely predatory; not classified</w:t>
            </w:r>
          </w:p>
        </w:tc>
        <w:tc>
          <w:tcPr>
            <w:tcW w:w="13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No</w:t>
            </w:r>
          </w:p>
        </w:tc>
      </w:tr>
    </w:tbl>
    <w:p w:rsidR="00DD72E8" w:rsidRDefault="00DD72E8" w:rsidP="00DD72E8">
      <w:pPr>
        <w:rPr>
          <w:color w:val="auto"/>
        </w:rPr>
      </w:pPr>
    </w:p>
    <w:p w:rsidR="00DD72E8" w:rsidRDefault="00DD72E8" w:rsidP="00DD72E8">
      <w:pPr>
        <w:spacing w:after="0" w:line="240" w:lineRule="auto"/>
        <w:jc w:val="left"/>
        <w:rPr>
          <w:color w:val="auto"/>
        </w:rPr>
      </w:pPr>
      <w:r>
        <w:rPr>
          <w:color w:val="auto"/>
        </w:rPr>
        <w:br w:type="page"/>
      </w:r>
    </w:p>
    <w:p w:rsidR="00DD72E8" w:rsidRPr="00065BD3" w:rsidRDefault="00DD72E8" w:rsidP="00DD72E8">
      <w:pPr>
        <w:rPr>
          <w:color w:val="auto"/>
        </w:rPr>
      </w:pPr>
      <w:r>
        <w:rPr>
          <w:b/>
          <w:color w:val="auto"/>
        </w:rPr>
        <w:t>Supplementary Table S2.</w:t>
      </w:r>
      <w:r w:rsidRPr="00065BD3">
        <w:rPr>
          <w:color w:val="auto"/>
        </w:rPr>
        <w:t xml:space="preserve"> Candidate logistic regression models ranked by Akaike's Information Criterion corrected for small sample size (AICc).</w:t>
      </w:r>
    </w:p>
    <w:tbl>
      <w:tblPr>
        <w:tblW w:w="936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0"/>
        <w:gridCol w:w="3863"/>
        <w:gridCol w:w="691"/>
        <w:gridCol w:w="1026"/>
        <w:gridCol w:w="810"/>
        <w:gridCol w:w="1015"/>
        <w:gridCol w:w="965"/>
      </w:tblGrid>
      <w:tr w:rsidR="00DD72E8" w:rsidRPr="00065BD3" w:rsidTr="00DD72E8">
        <w:trPr>
          <w:tblHeader/>
        </w:trPr>
        <w:tc>
          <w:tcPr>
            <w:tcW w:w="99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Model</w:t>
            </w:r>
          </w:p>
        </w:tc>
        <w:tc>
          <w:tcPr>
            <w:tcW w:w="3863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Predictors</w:t>
            </w:r>
          </w:p>
        </w:tc>
        <w:tc>
          <w:tcPr>
            <w:tcW w:w="691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df</w:t>
            </w:r>
          </w:p>
        </w:tc>
        <w:tc>
          <w:tcPr>
            <w:tcW w:w="1026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LogLik</w:t>
            </w:r>
          </w:p>
        </w:tc>
        <w:tc>
          <w:tcPr>
            <w:tcW w:w="81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AICc</w:t>
            </w:r>
          </w:p>
        </w:tc>
        <w:tc>
          <w:tcPr>
            <w:tcW w:w="1015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ΔAICc</w:t>
            </w:r>
          </w:p>
        </w:tc>
        <w:tc>
          <w:tcPr>
            <w:tcW w:w="965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Weight</w:t>
            </w:r>
          </w:p>
        </w:tc>
      </w:tr>
      <w:tr w:rsidR="00DD72E8" w:rsidRPr="00065BD3" w:rsidTr="00DD72E8">
        <w:tc>
          <w:tcPr>
            <w:tcW w:w="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M6</w:t>
            </w:r>
          </w:p>
        </w:tc>
        <w:tc>
          <w:tcPr>
            <w:tcW w:w="386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Age class + party presence + season</w:t>
            </w:r>
          </w:p>
        </w:tc>
        <w:tc>
          <w:tcPr>
            <w:tcW w:w="6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6</w:t>
            </w:r>
          </w:p>
        </w:tc>
        <w:tc>
          <w:tcPr>
            <w:tcW w:w="102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-62.66</w:t>
            </w:r>
          </w:p>
        </w:tc>
        <w:tc>
          <w:tcPr>
            <w:tcW w:w="81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137.9</w:t>
            </w:r>
          </w:p>
        </w:tc>
        <w:tc>
          <w:tcPr>
            <w:tcW w:w="10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0.00</w:t>
            </w:r>
          </w:p>
        </w:tc>
        <w:tc>
          <w:tcPr>
            <w:tcW w:w="9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0.788</w:t>
            </w:r>
          </w:p>
        </w:tc>
      </w:tr>
      <w:tr w:rsidR="00DD72E8" w:rsidRPr="00065BD3" w:rsidTr="00DD72E8">
        <w:tc>
          <w:tcPr>
            <w:tcW w:w="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M5</w:t>
            </w:r>
          </w:p>
        </w:tc>
        <w:tc>
          <w:tcPr>
            <w:tcW w:w="386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Age class + party presence</w:t>
            </w:r>
          </w:p>
        </w:tc>
        <w:tc>
          <w:tcPr>
            <w:tcW w:w="6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4</w:t>
            </w:r>
          </w:p>
        </w:tc>
        <w:tc>
          <w:tcPr>
            <w:tcW w:w="102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-66.79</w:t>
            </w:r>
          </w:p>
        </w:tc>
        <w:tc>
          <w:tcPr>
            <w:tcW w:w="81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141.9</w:t>
            </w:r>
          </w:p>
        </w:tc>
        <w:tc>
          <w:tcPr>
            <w:tcW w:w="10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3.93</w:t>
            </w:r>
          </w:p>
        </w:tc>
        <w:tc>
          <w:tcPr>
            <w:tcW w:w="9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0.111</w:t>
            </w:r>
          </w:p>
        </w:tc>
      </w:tr>
      <w:tr w:rsidR="00DD72E8" w:rsidRPr="00065BD3" w:rsidTr="00DD72E8">
        <w:tc>
          <w:tcPr>
            <w:tcW w:w="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M7</w:t>
            </w:r>
          </w:p>
        </w:tc>
        <w:tc>
          <w:tcPr>
            <w:tcW w:w="386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Age class + gender + party + season + time + activity + context + posture</w:t>
            </w:r>
          </w:p>
        </w:tc>
        <w:tc>
          <w:tcPr>
            <w:tcW w:w="6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14</w:t>
            </w:r>
          </w:p>
        </w:tc>
        <w:tc>
          <w:tcPr>
            <w:tcW w:w="102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-55.37</w:t>
            </w:r>
          </w:p>
        </w:tc>
        <w:tc>
          <w:tcPr>
            <w:tcW w:w="81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142.0</w:t>
            </w:r>
          </w:p>
        </w:tc>
        <w:tc>
          <w:tcPr>
            <w:tcW w:w="10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4.10</w:t>
            </w:r>
          </w:p>
        </w:tc>
        <w:tc>
          <w:tcPr>
            <w:tcW w:w="9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0.102</w:t>
            </w:r>
          </w:p>
        </w:tc>
      </w:tr>
      <w:tr w:rsidR="00DD72E8" w:rsidRPr="00065BD3" w:rsidTr="00DD72E8">
        <w:tc>
          <w:tcPr>
            <w:tcW w:w="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M2</w:t>
            </w:r>
          </w:p>
        </w:tc>
        <w:tc>
          <w:tcPr>
            <w:tcW w:w="386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Party presence</w:t>
            </w:r>
          </w:p>
        </w:tc>
        <w:tc>
          <w:tcPr>
            <w:tcW w:w="6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2</w:t>
            </w:r>
          </w:p>
        </w:tc>
        <w:tc>
          <w:tcPr>
            <w:tcW w:w="102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-76.53</w:t>
            </w:r>
          </w:p>
        </w:tc>
        <w:tc>
          <w:tcPr>
            <w:tcW w:w="81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157.2</w:t>
            </w:r>
          </w:p>
        </w:tc>
        <w:tc>
          <w:tcPr>
            <w:tcW w:w="10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19.20</w:t>
            </w:r>
          </w:p>
        </w:tc>
        <w:tc>
          <w:tcPr>
            <w:tcW w:w="9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&lt;0.001</w:t>
            </w:r>
          </w:p>
        </w:tc>
      </w:tr>
      <w:tr w:rsidR="00DD72E8" w:rsidRPr="00065BD3" w:rsidTr="00DD72E8">
        <w:tc>
          <w:tcPr>
            <w:tcW w:w="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M3</w:t>
            </w:r>
          </w:p>
        </w:tc>
        <w:tc>
          <w:tcPr>
            <w:tcW w:w="386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Season + time period</w:t>
            </w:r>
          </w:p>
        </w:tc>
        <w:tc>
          <w:tcPr>
            <w:tcW w:w="6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6</w:t>
            </w:r>
          </w:p>
        </w:tc>
        <w:tc>
          <w:tcPr>
            <w:tcW w:w="102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-77.46</w:t>
            </w:r>
          </w:p>
        </w:tc>
        <w:tc>
          <w:tcPr>
            <w:tcW w:w="81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167.5</w:t>
            </w:r>
          </w:p>
        </w:tc>
        <w:tc>
          <w:tcPr>
            <w:tcW w:w="10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29.60</w:t>
            </w:r>
          </w:p>
        </w:tc>
        <w:tc>
          <w:tcPr>
            <w:tcW w:w="9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&lt;0.001</w:t>
            </w:r>
          </w:p>
        </w:tc>
      </w:tr>
      <w:tr w:rsidR="00DD72E8" w:rsidRPr="00065BD3" w:rsidTr="00DD72E8">
        <w:tc>
          <w:tcPr>
            <w:tcW w:w="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M1</w:t>
            </w:r>
          </w:p>
        </w:tc>
        <w:tc>
          <w:tcPr>
            <w:tcW w:w="386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Age class + gender</w:t>
            </w:r>
          </w:p>
        </w:tc>
        <w:tc>
          <w:tcPr>
            <w:tcW w:w="6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4</w:t>
            </w:r>
          </w:p>
        </w:tc>
        <w:tc>
          <w:tcPr>
            <w:tcW w:w="102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-81.36</w:t>
            </w:r>
          </w:p>
        </w:tc>
        <w:tc>
          <w:tcPr>
            <w:tcW w:w="81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171.0</w:t>
            </w:r>
          </w:p>
        </w:tc>
        <w:tc>
          <w:tcPr>
            <w:tcW w:w="10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33.07</w:t>
            </w:r>
          </w:p>
        </w:tc>
        <w:tc>
          <w:tcPr>
            <w:tcW w:w="9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&lt;0.001</w:t>
            </w:r>
          </w:p>
        </w:tc>
      </w:tr>
      <w:tr w:rsidR="00DD72E8" w:rsidRPr="00065BD3" w:rsidTr="00DD72E8">
        <w:tc>
          <w:tcPr>
            <w:tcW w:w="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M4</w:t>
            </w:r>
          </w:p>
        </w:tc>
        <w:tc>
          <w:tcPr>
            <w:tcW w:w="386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Activity + context + posture</w:t>
            </w:r>
          </w:p>
        </w:tc>
        <w:tc>
          <w:tcPr>
            <w:tcW w:w="6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5</w:t>
            </w:r>
          </w:p>
        </w:tc>
        <w:tc>
          <w:tcPr>
            <w:tcW w:w="102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-84.21</w:t>
            </w:r>
          </w:p>
        </w:tc>
        <w:tc>
          <w:tcPr>
            <w:tcW w:w="81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178.9</w:t>
            </w:r>
          </w:p>
        </w:tc>
        <w:tc>
          <w:tcPr>
            <w:tcW w:w="10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40.92</w:t>
            </w:r>
          </w:p>
        </w:tc>
        <w:tc>
          <w:tcPr>
            <w:tcW w:w="9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&lt;0.001</w:t>
            </w:r>
          </w:p>
        </w:tc>
      </w:tr>
      <w:tr w:rsidR="00DD72E8" w:rsidRPr="00065BD3" w:rsidTr="00DD72E8">
        <w:tc>
          <w:tcPr>
            <w:tcW w:w="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M0</w:t>
            </w:r>
          </w:p>
        </w:tc>
        <w:tc>
          <w:tcPr>
            <w:tcW w:w="386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Intercept only</w:t>
            </w:r>
          </w:p>
        </w:tc>
        <w:tc>
          <w:tcPr>
            <w:tcW w:w="69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1</w:t>
            </w:r>
          </w:p>
        </w:tc>
        <w:tc>
          <w:tcPr>
            <w:tcW w:w="102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-88.68</w:t>
            </w:r>
          </w:p>
        </w:tc>
        <w:tc>
          <w:tcPr>
            <w:tcW w:w="81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179.4</w:t>
            </w:r>
          </w:p>
        </w:tc>
        <w:tc>
          <w:tcPr>
            <w:tcW w:w="10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41.44</w:t>
            </w:r>
          </w:p>
        </w:tc>
        <w:tc>
          <w:tcPr>
            <w:tcW w:w="9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&lt;0.001</w:t>
            </w:r>
          </w:p>
        </w:tc>
      </w:tr>
    </w:tbl>
    <w:p w:rsidR="00DD72E8" w:rsidRPr="00665E96" w:rsidRDefault="00DD72E8" w:rsidP="00DD72E8">
      <w:pPr>
        <w:rPr>
          <w:b/>
          <w:color w:val="auto"/>
        </w:rPr>
      </w:pPr>
    </w:p>
    <w:p w:rsidR="00DD72E8" w:rsidRPr="00665E96" w:rsidRDefault="00DD72E8" w:rsidP="00DD72E8">
      <w:pPr>
        <w:rPr>
          <w:color w:val="auto"/>
        </w:rPr>
      </w:pPr>
      <w:r w:rsidRPr="00665E96">
        <w:rPr>
          <w:color w:val="auto"/>
        </w:rPr>
        <w:t>Notes: df is the number of estimated parameters. Weights may sum to 1.001 because of rounding.</w:t>
      </w:r>
    </w:p>
    <w:p w:rsidR="00DD72E8" w:rsidRDefault="00DD72E8" w:rsidP="00DD72E8">
      <w:pPr>
        <w:rPr>
          <w:color w:val="auto"/>
        </w:rPr>
      </w:pPr>
    </w:p>
    <w:p w:rsidR="00DD72E8" w:rsidRPr="00065BD3" w:rsidRDefault="00DD72E8" w:rsidP="00DD72E8">
      <w:pPr>
        <w:rPr>
          <w:color w:val="auto"/>
        </w:rPr>
      </w:pPr>
      <w:r>
        <w:rPr>
          <w:color w:val="auto"/>
        </w:rPr>
        <w:br w:type="page"/>
      </w:r>
      <w:r>
        <w:rPr>
          <w:b/>
          <w:color w:val="auto"/>
        </w:rPr>
        <w:lastRenderedPageBreak/>
        <w:t>Supplementary Table S3</w:t>
      </w:r>
      <w:r w:rsidRPr="00065BD3">
        <w:rPr>
          <w:color w:val="auto"/>
        </w:rPr>
        <w:t>. Tukey-adjusted pairwise comparisons of estimated marginal means for predictors in the top-ranked model. Estimates are on the log-odds scale.</w:t>
      </w:r>
    </w:p>
    <w:tbl>
      <w:tblPr>
        <w:tblW w:w="936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6"/>
        <w:gridCol w:w="2952"/>
        <w:gridCol w:w="1224"/>
        <w:gridCol w:w="1037"/>
        <w:gridCol w:w="1037"/>
        <w:gridCol w:w="1454"/>
      </w:tblGrid>
      <w:tr w:rsidR="00DD72E8" w:rsidRPr="00065BD3" w:rsidTr="00DD72E8">
        <w:trPr>
          <w:tblHeader/>
        </w:trPr>
        <w:tc>
          <w:tcPr>
            <w:tcW w:w="1656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Variable</w:t>
            </w:r>
          </w:p>
        </w:tc>
        <w:tc>
          <w:tcPr>
            <w:tcW w:w="2952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Contrast</w:t>
            </w:r>
          </w:p>
        </w:tc>
        <w:tc>
          <w:tcPr>
            <w:tcW w:w="1224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Estimate</w:t>
            </w:r>
          </w:p>
        </w:tc>
        <w:tc>
          <w:tcPr>
            <w:tcW w:w="1037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SE</w:t>
            </w:r>
          </w:p>
        </w:tc>
        <w:tc>
          <w:tcPr>
            <w:tcW w:w="1037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>z</w:t>
            </w:r>
          </w:p>
        </w:tc>
        <w:tc>
          <w:tcPr>
            <w:tcW w:w="1454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665E96" w:rsidRDefault="00DD72E8" w:rsidP="00DD72E8">
            <w:pPr>
              <w:rPr>
                <w:b/>
                <w:color w:val="auto"/>
              </w:rPr>
            </w:pPr>
            <w:r w:rsidRPr="00665E96">
              <w:rPr>
                <w:b/>
                <w:color w:val="auto"/>
              </w:rPr>
              <w:t xml:space="preserve">Adjusted </w:t>
            </w:r>
            <w:r w:rsidRPr="00665E96">
              <w:rPr>
                <w:b/>
                <w:i/>
                <w:color w:val="auto"/>
              </w:rPr>
              <w:t>P</w:t>
            </w:r>
          </w:p>
        </w:tc>
      </w:tr>
      <w:tr w:rsidR="00DD72E8" w:rsidRPr="00065BD3" w:rsidTr="00DD72E8"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Age class</w:t>
            </w:r>
          </w:p>
        </w:tc>
        <w:tc>
          <w:tcPr>
            <w:tcW w:w="29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Adult vs child</w:t>
            </w:r>
          </w:p>
        </w:tc>
        <w:tc>
          <w:tcPr>
            <w:tcW w:w="122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-2.217</w:t>
            </w:r>
          </w:p>
        </w:tc>
        <w:tc>
          <w:tcPr>
            <w:tcW w:w="10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0.566</w:t>
            </w:r>
          </w:p>
        </w:tc>
        <w:tc>
          <w:tcPr>
            <w:tcW w:w="10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-3.915</w:t>
            </w:r>
          </w:p>
        </w:tc>
        <w:tc>
          <w:tcPr>
            <w:tcW w:w="145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&lt;0.001</w:t>
            </w:r>
          </w:p>
        </w:tc>
      </w:tr>
      <w:tr w:rsidR="00DD72E8" w:rsidRPr="00065BD3" w:rsidTr="00DD72E8"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</w:p>
        </w:tc>
        <w:tc>
          <w:tcPr>
            <w:tcW w:w="29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Adult vs older adult</w:t>
            </w:r>
          </w:p>
        </w:tc>
        <w:tc>
          <w:tcPr>
            <w:tcW w:w="122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-0.265</w:t>
            </w:r>
          </w:p>
        </w:tc>
        <w:tc>
          <w:tcPr>
            <w:tcW w:w="10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0.774</w:t>
            </w:r>
          </w:p>
        </w:tc>
        <w:tc>
          <w:tcPr>
            <w:tcW w:w="10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-0.343</w:t>
            </w:r>
          </w:p>
        </w:tc>
        <w:tc>
          <w:tcPr>
            <w:tcW w:w="145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0.937</w:t>
            </w:r>
          </w:p>
        </w:tc>
      </w:tr>
      <w:tr w:rsidR="00DD72E8" w:rsidRPr="00065BD3" w:rsidTr="00DD72E8"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</w:p>
        </w:tc>
        <w:tc>
          <w:tcPr>
            <w:tcW w:w="29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Child vs older adult</w:t>
            </w:r>
          </w:p>
        </w:tc>
        <w:tc>
          <w:tcPr>
            <w:tcW w:w="122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1.952</w:t>
            </w:r>
          </w:p>
        </w:tc>
        <w:tc>
          <w:tcPr>
            <w:tcW w:w="10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0.857</w:t>
            </w:r>
          </w:p>
        </w:tc>
        <w:tc>
          <w:tcPr>
            <w:tcW w:w="10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2.277</w:t>
            </w:r>
          </w:p>
        </w:tc>
        <w:tc>
          <w:tcPr>
            <w:tcW w:w="145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0.059</w:t>
            </w:r>
          </w:p>
        </w:tc>
      </w:tr>
      <w:tr w:rsidR="00DD72E8" w:rsidRPr="00065BD3" w:rsidTr="00DD72E8"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Party presence</w:t>
            </w:r>
          </w:p>
        </w:tc>
        <w:tc>
          <w:tcPr>
            <w:tcW w:w="29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Group vs alone</w:t>
            </w:r>
          </w:p>
        </w:tc>
        <w:tc>
          <w:tcPr>
            <w:tcW w:w="122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-2.505</w:t>
            </w:r>
          </w:p>
        </w:tc>
        <w:tc>
          <w:tcPr>
            <w:tcW w:w="10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0.544</w:t>
            </w:r>
          </w:p>
        </w:tc>
        <w:tc>
          <w:tcPr>
            <w:tcW w:w="10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-4.606</w:t>
            </w:r>
          </w:p>
        </w:tc>
        <w:tc>
          <w:tcPr>
            <w:tcW w:w="145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&lt;0.001</w:t>
            </w:r>
          </w:p>
        </w:tc>
      </w:tr>
      <w:tr w:rsidR="00DD72E8" w:rsidRPr="00065BD3" w:rsidTr="00DD72E8"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Season</w:t>
            </w:r>
          </w:p>
        </w:tc>
        <w:tc>
          <w:tcPr>
            <w:tcW w:w="29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Summer vs monsoon</w:t>
            </w:r>
          </w:p>
        </w:tc>
        <w:tc>
          <w:tcPr>
            <w:tcW w:w="122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-1.550</w:t>
            </w:r>
          </w:p>
        </w:tc>
        <w:tc>
          <w:tcPr>
            <w:tcW w:w="10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0.581</w:t>
            </w:r>
          </w:p>
        </w:tc>
        <w:tc>
          <w:tcPr>
            <w:tcW w:w="10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-2.668</w:t>
            </w:r>
          </w:p>
        </w:tc>
        <w:tc>
          <w:tcPr>
            <w:tcW w:w="145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0.021</w:t>
            </w:r>
          </w:p>
        </w:tc>
      </w:tr>
      <w:tr w:rsidR="00DD72E8" w:rsidRPr="00065BD3" w:rsidTr="00DD72E8"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</w:p>
        </w:tc>
        <w:tc>
          <w:tcPr>
            <w:tcW w:w="29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Summer vs winter</w:t>
            </w:r>
          </w:p>
        </w:tc>
        <w:tc>
          <w:tcPr>
            <w:tcW w:w="122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-0.212</w:t>
            </w:r>
          </w:p>
        </w:tc>
        <w:tc>
          <w:tcPr>
            <w:tcW w:w="10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0.529</w:t>
            </w:r>
          </w:p>
        </w:tc>
        <w:tc>
          <w:tcPr>
            <w:tcW w:w="10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-0.401</w:t>
            </w:r>
          </w:p>
        </w:tc>
        <w:tc>
          <w:tcPr>
            <w:tcW w:w="145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0.915</w:t>
            </w:r>
          </w:p>
        </w:tc>
      </w:tr>
      <w:tr w:rsidR="00DD72E8" w:rsidRPr="00065BD3" w:rsidTr="00DD72E8">
        <w:tc>
          <w:tcPr>
            <w:tcW w:w="16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</w:p>
        </w:tc>
        <w:tc>
          <w:tcPr>
            <w:tcW w:w="29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Monsoon vs winter</w:t>
            </w:r>
          </w:p>
        </w:tc>
        <w:tc>
          <w:tcPr>
            <w:tcW w:w="122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1.338</w:t>
            </w:r>
          </w:p>
        </w:tc>
        <w:tc>
          <w:tcPr>
            <w:tcW w:w="10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0.588</w:t>
            </w:r>
          </w:p>
        </w:tc>
        <w:tc>
          <w:tcPr>
            <w:tcW w:w="10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2.274</w:t>
            </w:r>
          </w:p>
        </w:tc>
        <w:tc>
          <w:tcPr>
            <w:tcW w:w="145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DD72E8" w:rsidRPr="00065BD3" w:rsidRDefault="00DD72E8" w:rsidP="00DD72E8">
            <w:pPr>
              <w:rPr>
                <w:color w:val="auto"/>
              </w:rPr>
            </w:pPr>
            <w:r w:rsidRPr="00065BD3">
              <w:rPr>
                <w:color w:val="auto"/>
              </w:rPr>
              <w:t>0.060</w:t>
            </w:r>
          </w:p>
        </w:tc>
      </w:tr>
    </w:tbl>
    <w:p w:rsidR="00DD72E8" w:rsidRDefault="00DD72E8" w:rsidP="00DD72E8">
      <w:pPr>
        <w:rPr>
          <w:color w:val="auto"/>
        </w:rPr>
      </w:pPr>
    </w:p>
    <w:p w:rsidR="00DD72E8" w:rsidRPr="00065BD3" w:rsidRDefault="00DD72E8" w:rsidP="00DD72E8">
      <w:pPr>
        <w:rPr>
          <w:color w:val="auto"/>
        </w:rPr>
      </w:pPr>
      <w:r w:rsidRPr="00665E96">
        <w:rPr>
          <w:color w:val="auto"/>
        </w:rPr>
        <w:t>Notes:</w:t>
      </w:r>
      <w:r w:rsidRPr="00065BD3">
        <w:rPr>
          <w:color w:val="auto"/>
        </w:rPr>
        <w:t>The group-versus-alone contrast is -2.505, consistent with the fitted coefficient and OR = 0.08.</w:t>
      </w:r>
    </w:p>
    <w:p w:rsidR="00DD72E8" w:rsidRPr="00065BD3" w:rsidRDefault="00DD72E8" w:rsidP="00DD72E8">
      <w:pPr>
        <w:rPr>
          <w:color w:val="auto"/>
        </w:rPr>
      </w:pPr>
      <w:r w:rsidRPr="00065BD3">
        <w:rPr>
          <w:color w:val="auto"/>
        </w:rPr>
        <w:br w:type="page"/>
      </w:r>
    </w:p>
    <w:p w:rsidR="00DD72E8" w:rsidRPr="00065BD3" w:rsidRDefault="00C15EBC" w:rsidP="00DD72E8">
      <w:pPr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5486400" cy="6447790"/>
            <wp:effectExtent l="1905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4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2E8" w:rsidRDefault="00DD72E8" w:rsidP="00DD72E8">
      <w:pPr>
        <w:rPr>
          <w:color w:val="auto"/>
        </w:rPr>
      </w:pPr>
      <w:r w:rsidRPr="00665E96">
        <w:rPr>
          <w:b/>
          <w:color w:val="auto"/>
        </w:rPr>
        <w:t>Supplementary Figure S1.</w:t>
      </w:r>
      <w:r w:rsidRPr="00065BD3">
        <w:rPr>
          <w:color w:val="auto"/>
        </w:rPr>
        <w:t xml:space="preserve"> Workflow for compilation, verification, eligibility screening, and construction of the descriptive and common complete-case model datasets.</w:t>
      </w:r>
    </w:p>
    <w:p w:rsidR="00DD72E8" w:rsidRDefault="00DD72E8" w:rsidP="00DD72E8">
      <w:pPr>
        <w:spacing w:after="0" w:line="240" w:lineRule="auto"/>
        <w:jc w:val="left"/>
        <w:rPr>
          <w:color w:val="auto"/>
        </w:rPr>
      </w:pPr>
      <w:r>
        <w:rPr>
          <w:color w:val="auto"/>
        </w:rPr>
        <w:br w:type="page"/>
      </w:r>
    </w:p>
    <w:p w:rsidR="00DD72E8" w:rsidRDefault="00DD72E8" w:rsidP="00DD72E8">
      <w:pPr>
        <w:rPr>
          <w:color w:val="auto"/>
        </w:rPr>
      </w:pPr>
    </w:p>
    <w:p w:rsidR="00DD72E8" w:rsidRDefault="00C15EBC" w:rsidP="00DD72E8">
      <w:pPr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5668010" cy="3534410"/>
            <wp:effectExtent l="19050" t="0" r="889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010" cy="353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2E8" w:rsidRDefault="00DD72E8" w:rsidP="00DD72E8">
      <w:pPr>
        <w:rPr>
          <w:color w:val="auto"/>
        </w:rPr>
      </w:pPr>
    </w:p>
    <w:p w:rsidR="00DD72E8" w:rsidRDefault="00DD72E8" w:rsidP="00DD72E8">
      <w:pPr>
        <w:rPr>
          <w:color w:val="auto"/>
        </w:rPr>
      </w:pPr>
      <w:r w:rsidRPr="00F41E69">
        <w:rPr>
          <w:b/>
          <w:color w:val="auto"/>
        </w:rPr>
        <w:t>Supplementary Figure S2</w:t>
      </w:r>
      <w:r>
        <w:rPr>
          <w:color w:val="auto"/>
        </w:rPr>
        <w:t>. Adjusted odds ratios and 95% confidence intervals from the top-ranked model. The vertical dashed line indicates no difference (OR = 1). Estimates are plotted on a logarithmic scale.</w:t>
      </w:r>
    </w:p>
    <w:p w:rsidR="00DD72E8" w:rsidRDefault="00DD72E8" w:rsidP="00DD72E8">
      <w:pPr>
        <w:spacing w:after="0" w:line="240" w:lineRule="auto"/>
        <w:jc w:val="left"/>
        <w:rPr>
          <w:color w:val="auto"/>
        </w:rPr>
      </w:pPr>
      <w:r>
        <w:rPr>
          <w:color w:val="auto"/>
        </w:rPr>
        <w:br w:type="page"/>
      </w:r>
    </w:p>
    <w:p w:rsidR="00DD72E8" w:rsidRPr="00065BD3" w:rsidRDefault="00C15EBC" w:rsidP="00DD72E8">
      <w:pPr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4847590" cy="4847590"/>
            <wp:effectExtent l="19050" t="0" r="0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590" cy="484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2E8" w:rsidRDefault="00DD72E8" w:rsidP="00DD72E8">
      <w:pPr>
        <w:rPr>
          <w:color w:val="auto"/>
        </w:rPr>
      </w:pPr>
      <w:r w:rsidRPr="00665E96">
        <w:rPr>
          <w:b/>
          <w:color w:val="auto"/>
        </w:rPr>
        <w:t>Supplementary Figure S3</w:t>
      </w:r>
      <w:r w:rsidRPr="00065BD3">
        <w:rPr>
          <w:color w:val="auto"/>
        </w:rPr>
        <w:t>. Receiver operating characteristic curve for the top-ranked model. AUC = 0.837 (95% CI = 0.769-0.905). This is internal, not external, discrimination.</w:t>
      </w:r>
    </w:p>
    <w:p w:rsidR="00DD72E8" w:rsidRPr="00065BD3" w:rsidRDefault="00DD72E8" w:rsidP="00DD72E8">
      <w:pPr>
        <w:rPr>
          <w:color w:val="auto"/>
        </w:rPr>
      </w:pPr>
      <w:r>
        <w:rPr>
          <w:color w:val="auto"/>
        </w:rPr>
        <w:br w:type="page"/>
      </w:r>
      <w:r w:rsidR="00C15EBC">
        <w:rPr>
          <w:noProof/>
          <w:color w:val="auto"/>
        </w:rPr>
        <w:lastRenderedPageBreak/>
        <w:drawing>
          <wp:inline distT="0" distB="0" distL="0" distR="0">
            <wp:extent cx="5943600" cy="4953000"/>
            <wp:effectExtent l="19050" t="0" r="0" b="0"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2E8" w:rsidRDefault="00DD72E8" w:rsidP="00DD72E8">
      <w:pPr>
        <w:rPr>
          <w:color w:val="auto"/>
        </w:rPr>
      </w:pPr>
      <w:r>
        <w:rPr>
          <w:b/>
          <w:color w:val="auto"/>
        </w:rPr>
        <w:t>Supplementary Figure S4</w:t>
      </w:r>
      <w:r w:rsidRPr="00065BD3">
        <w:rPr>
          <w:color w:val="auto"/>
        </w:rPr>
        <w:t>. Diagnostics for the top-ranked logistic regression model: conditional quantile residuals (A), Q-Q plot and global tests (B), simulated residual distribution (C), and Cook's distance (D). The combined conditional-quantile test indicates localized departures even though the displayed global uniformity, dispersion, and outlier tests are non-significant; several Cook's-distance values exceed the plotted heuristic threshold.</w:t>
      </w:r>
    </w:p>
    <w:p w:rsidR="00DD72E8" w:rsidRPr="001B7473" w:rsidRDefault="00DD72E8" w:rsidP="00DD72E8">
      <w:pPr>
        <w:spacing w:after="0" w:line="240" w:lineRule="auto"/>
        <w:jc w:val="left"/>
        <w:rPr>
          <w:color w:val="auto"/>
        </w:rPr>
      </w:pPr>
    </w:p>
    <w:p w:rsidR="0030559D" w:rsidRDefault="0030559D"/>
    <w:sectPr w:rsidR="0030559D" w:rsidSect="00DD72E8"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676" w:rsidRDefault="00AF2676">
      <w:pPr>
        <w:spacing w:after="0" w:line="240" w:lineRule="auto"/>
      </w:pPr>
      <w:r>
        <w:separator/>
      </w:r>
    </w:p>
  </w:endnote>
  <w:endnote w:type="continuationSeparator" w:id="1">
    <w:p w:rsidR="00AF2676" w:rsidRDefault="00AF2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2E8" w:rsidRDefault="00DD72E8">
    <w:pPr>
      <w:pStyle w:val="Footer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C15EBC">
      <w:rPr>
        <w:noProof/>
        <w:sz w:val="18"/>
      </w:rPr>
      <w:t>8</w:t>
    </w:r>
    <w:r>
      <w:rPr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676" w:rsidRDefault="00AF2676">
      <w:pPr>
        <w:spacing w:after="0" w:line="240" w:lineRule="auto"/>
      </w:pPr>
      <w:r>
        <w:separator/>
      </w:r>
    </w:p>
  </w:footnote>
  <w:footnote w:type="continuationSeparator" w:id="1">
    <w:p w:rsidR="00AF2676" w:rsidRDefault="00AF2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72E8"/>
    <w:rsid w:val="0030559D"/>
    <w:rsid w:val="00AF2676"/>
    <w:rsid w:val="00C15EBC"/>
    <w:rsid w:val="00DD7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2E8"/>
    <w:pPr>
      <w:spacing w:after="120" w:line="276" w:lineRule="auto"/>
      <w:jc w:val="both"/>
    </w:pPr>
    <w:rPr>
      <w:rFonts w:ascii="Times New Roman" w:eastAsia="MS Mincho" w:hAnsi="Times New Roman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D72E8"/>
    <w:pPr>
      <w:tabs>
        <w:tab w:val="center" w:pos="4680"/>
        <w:tab w:val="right" w:pos="9360"/>
      </w:tabs>
      <w:spacing w:after="0" w:line="240" w:lineRule="auto"/>
    </w:pPr>
    <w:rPr>
      <w:lang/>
    </w:rPr>
  </w:style>
  <w:style w:type="character" w:customStyle="1" w:styleId="FooterChar">
    <w:name w:val="Footer Char"/>
    <w:basedOn w:val="DefaultParagraphFont"/>
    <w:link w:val="Footer"/>
    <w:uiPriority w:val="99"/>
    <w:rsid w:val="00DD72E8"/>
    <w:rPr>
      <w:rFonts w:ascii="Times New Roman" w:eastAsia="MS Mincho" w:hAnsi="Times New Roman" w:cs="Times New Roman"/>
      <w:color w:val="000000"/>
      <w:lang/>
    </w:rPr>
  </w:style>
  <w:style w:type="character" w:styleId="LineNumber">
    <w:name w:val="line number"/>
    <w:basedOn w:val="DefaultParagraphFont"/>
    <w:uiPriority w:val="99"/>
    <w:semiHidden/>
    <w:unhideWhenUsed/>
    <w:rsid w:val="00DD72E8"/>
  </w:style>
  <w:style w:type="paragraph" w:styleId="BalloonText">
    <w:name w:val="Balloon Text"/>
    <w:basedOn w:val="Normal"/>
    <w:link w:val="BalloonTextChar"/>
    <w:uiPriority w:val="99"/>
    <w:semiHidden/>
    <w:unhideWhenUsed/>
    <w:rsid w:val="00DD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2E8"/>
    <w:rPr>
      <w:rFonts w:ascii="Tahoma" w:eastAsia="MS Mincho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HP{</dc:creator>
  <cp:lastModifiedBy>HP{</cp:lastModifiedBy>
  <cp:revision>2</cp:revision>
  <dcterms:created xsi:type="dcterms:W3CDTF">2026-08-24T06:16:00Z</dcterms:created>
  <dcterms:modified xsi:type="dcterms:W3CDTF">2026-08-24T06:16:00Z</dcterms:modified>
</cp:coreProperties>
</file>