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DC9252" w14:textId="77777777" w:rsidR="005D4A51" w:rsidRPr="00A80268" w:rsidRDefault="00000000">
      <w:pPr>
        <w:jc w:val="center"/>
        <w:rPr>
          <w:sz w:val="22"/>
        </w:rPr>
      </w:pPr>
      <w:r w:rsidRPr="00A80268">
        <w:rPr>
          <w:b/>
          <w:sz w:val="22"/>
        </w:rPr>
        <w:t>Supplementary File 1</w:t>
      </w:r>
      <w:r w:rsidRPr="00A80268">
        <w:rPr>
          <w:b/>
          <w:sz w:val="22"/>
        </w:rPr>
        <w:br/>
        <w:t>CONSORT 2010 Checklist</w:t>
      </w:r>
    </w:p>
    <w:p w14:paraId="4DE64827" w14:textId="77777777" w:rsidR="005D4A51" w:rsidRPr="00A80268" w:rsidRDefault="00000000">
      <w:pPr>
        <w:jc w:val="center"/>
        <w:rPr>
          <w:sz w:val="22"/>
        </w:rPr>
      </w:pPr>
      <w:r w:rsidRPr="00A80268">
        <w:rPr>
          <w:b/>
          <w:sz w:val="22"/>
        </w:rPr>
        <w:t>Effects of a Modified Play Activity Program on Balance and Motor Control in Children with Mild Intellectual Disabilities: A Randomized Controlled Trial</w:t>
      </w:r>
    </w:p>
    <w:p w14:paraId="166ADD62" w14:textId="77777777" w:rsidR="005D4A51" w:rsidRPr="00A80268" w:rsidRDefault="00000000">
      <w:pPr>
        <w:jc w:val="center"/>
        <w:rPr>
          <w:sz w:val="22"/>
        </w:rPr>
      </w:pPr>
      <w:r w:rsidRPr="00A80268">
        <w:rPr>
          <w:sz w:val="22"/>
        </w:rPr>
        <w:t>Hedi Ardiyanto Hermawan; Willy Ihsan Rizkyanto; Dewi Kiani Cakrawati; Jose V. Garcia-Jimenez; Zarizi Ab Rahman</w:t>
      </w:r>
    </w:p>
    <w:p w14:paraId="1CBBAA95" w14:textId="77777777" w:rsidR="005D4A51" w:rsidRPr="00A80268" w:rsidRDefault="00000000">
      <w:pPr>
        <w:rPr>
          <w:sz w:val="22"/>
        </w:rPr>
      </w:pPr>
      <w:r w:rsidRPr="00A80268">
        <w:rPr>
          <w:i/>
          <w:sz w:val="22"/>
        </w:rPr>
        <w:t>Note: Section-based locations are used rather than fixed page numbers because pagination may change during final journal formatting.</w:t>
      </w:r>
    </w:p>
    <w:tbl>
      <w:tblPr>
        <w:tblW w:w="3666" w:type="pct"/>
        <w:jc w:val="center"/>
        <w:tblLook w:val="04A0" w:firstRow="1" w:lastRow="0" w:firstColumn="1" w:lastColumn="0" w:noHBand="0" w:noVBand="1"/>
      </w:tblPr>
      <w:tblGrid>
        <w:gridCol w:w="1342"/>
        <w:gridCol w:w="2621"/>
        <w:gridCol w:w="2318"/>
        <w:gridCol w:w="1610"/>
      </w:tblGrid>
      <w:tr w:rsidR="005D4A51" w:rsidRPr="00A80268" w14:paraId="2B13B965" w14:textId="77777777" w:rsidTr="00A80268">
        <w:trPr>
          <w:jc w:val="center"/>
        </w:trPr>
        <w:tc>
          <w:tcPr>
            <w:tcW w:w="924" w:type="pct"/>
            <w:shd w:val="clear" w:color="auto" w:fill="D9EAF7"/>
            <w:vAlign w:val="center"/>
          </w:tcPr>
          <w:p w14:paraId="668BCF8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CONSORT item</w:t>
            </w:r>
          </w:p>
        </w:tc>
        <w:tc>
          <w:tcPr>
            <w:tcW w:w="1734" w:type="pct"/>
            <w:shd w:val="clear" w:color="auto" w:fill="D9EAF7"/>
            <w:vAlign w:val="center"/>
          </w:tcPr>
          <w:p w14:paraId="1CA526C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Reporting requirement</w:t>
            </w:r>
          </w:p>
        </w:tc>
        <w:tc>
          <w:tcPr>
            <w:tcW w:w="1542" w:type="pct"/>
            <w:shd w:val="clear" w:color="auto" w:fill="D9EAF7"/>
            <w:vAlign w:val="center"/>
          </w:tcPr>
          <w:p w14:paraId="06CCF3F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Location in manuscript</w:t>
            </w:r>
          </w:p>
        </w:tc>
        <w:tc>
          <w:tcPr>
            <w:tcW w:w="800" w:type="pct"/>
            <w:shd w:val="clear" w:color="auto" w:fill="D9EAF7"/>
            <w:vAlign w:val="center"/>
          </w:tcPr>
          <w:p w14:paraId="7FB703A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Status</w:t>
            </w:r>
          </w:p>
        </w:tc>
      </w:tr>
      <w:tr w:rsidR="005D4A51" w:rsidRPr="00A80268" w14:paraId="31D0F54E" w14:textId="77777777" w:rsidTr="00A80268">
        <w:trPr>
          <w:jc w:val="center"/>
        </w:trPr>
        <w:tc>
          <w:tcPr>
            <w:tcW w:w="924" w:type="pct"/>
            <w:vAlign w:val="center"/>
          </w:tcPr>
          <w:p w14:paraId="2EBC131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1a</w:t>
            </w:r>
          </w:p>
        </w:tc>
        <w:tc>
          <w:tcPr>
            <w:tcW w:w="1734" w:type="pct"/>
            <w:vAlign w:val="center"/>
          </w:tcPr>
          <w:p w14:paraId="0035F49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Title identifies the study as a randomized trial.</w:t>
            </w:r>
          </w:p>
        </w:tc>
        <w:tc>
          <w:tcPr>
            <w:tcW w:w="1542" w:type="pct"/>
            <w:vAlign w:val="center"/>
          </w:tcPr>
          <w:p w14:paraId="30F4E90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Title</w:t>
            </w:r>
          </w:p>
        </w:tc>
        <w:tc>
          <w:tcPr>
            <w:tcW w:w="800" w:type="pct"/>
            <w:vAlign w:val="center"/>
          </w:tcPr>
          <w:p w14:paraId="3E9D40E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A5F291A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385F7B1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1b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42010AD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Structured abstract summarizes design, participants, interventions, outcomes, results, and conclusions.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3D091DB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Abstract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21C5BFE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37E4770" w14:textId="77777777" w:rsidTr="00A80268">
        <w:trPr>
          <w:jc w:val="center"/>
        </w:trPr>
        <w:tc>
          <w:tcPr>
            <w:tcW w:w="924" w:type="pct"/>
            <w:vAlign w:val="center"/>
          </w:tcPr>
          <w:p w14:paraId="6FB8A8C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2a</w:t>
            </w:r>
          </w:p>
        </w:tc>
        <w:tc>
          <w:tcPr>
            <w:tcW w:w="1734" w:type="pct"/>
            <w:vAlign w:val="center"/>
          </w:tcPr>
          <w:p w14:paraId="1A2FCE6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Scientific background and rationale are provided.</w:t>
            </w:r>
          </w:p>
        </w:tc>
        <w:tc>
          <w:tcPr>
            <w:tcW w:w="1542" w:type="pct"/>
            <w:vAlign w:val="center"/>
          </w:tcPr>
          <w:p w14:paraId="370F40A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Introduction</w:t>
            </w:r>
          </w:p>
        </w:tc>
        <w:tc>
          <w:tcPr>
            <w:tcW w:w="800" w:type="pct"/>
            <w:vAlign w:val="center"/>
          </w:tcPr>
          <w:p w14:paraId="5F2F453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4B38D0EB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0E8756F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2b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79206CA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Specific objectives and hypotheses are stated.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6BF4B5C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Introduction, final paragraph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25EE8A3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74ACF7A" w14:textId="77777777" w:rsidTr="00A80268">
        <w:trPr>
          <w:jc w:val="center"/>
        </w:trPr>
        <w:tc>
          <w:tcPr>
            <w:tcW w:w="924" w:type="pct"/>
            <w:vAlign w:val="center"/>
          </w:tcPr>
          <w:p w14:paraId="5DB3B40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3a</w:t>
            </w:r>
          </w:p>
        </w:tc>
        <w:tc>
          <w:tcPr>
            <w:tcW w:w="1734" w:type="pct"/>
            <w:vAlign w:val="center"/>
          </w:tcPr>
          <w:p w14:paraId="520DE5D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 xml:space="preserve">Trial design, parallel-group framework, and 1:1 allocation ratio </w:t>
            </w:r>
            <w:proofErr w:type="gramStart"/>
            <w:r w:rsidRPr="00A80268">
              <w:rPr>
                <w:sz w:val="22"/>
              </w:rPr>
              <w:t>are</w:t>
            </w:r>
            <w:proofErr w:type="gramEnd"/>
            <w:r w:rsidRPr="00A80268">
              <w:rPr>
                <w:sz w:val="22"/>
              </w:rPr>
              <w:t xml:space="preserve"> described.</w:t>
            </w:r>
          </w:p>
        </w:tc>
        <w:tc>
          <w:tcPr>
            <w:tcW w:w="1542" w:type="pct"/>
            <w:vAlign w:val="center"/>
          </w:tcPr>
          <w:p w14:paraId="7A36D0D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Research Design</w:t>
            </w:r>
          </w:p>
        </w:tc>
        <w:tc>
          <w:tcPr>
            <w:tcW w:w="800" w:type="pct"/>
            <w:vAlign w:val="center"/>
          </w:tcPr>
          <w:p w14:paraId="23F6348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6345DA47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4C06556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3b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2A06772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Important methodological changes after trial commencement are reported; the manuscript states that no important changes were made.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5516ECB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Research Design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6B84DE0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23DCA720" w14:textId="77777777" w:rsidTr="00A80268">
        <w:trPr>
          <w:jc w:val="center"/>
        </w:trPr>
        <w:tc>
          <w:tcPr>
            <w:tcW w:w="924" w:type="pct"/>
            <w:vAlign w:val="center"/>
          </w:tcPr>
          <w:p w14:paraId="09D3B0A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4a</w:t>
            </w:r>
          </w:p>
        </w:tc>
        <w:tc>
          <w:tcPr>
            <w:tcW w:w="1734" w:type="pct"/>
            <w:vAlign w:val="center"/>
          </w:tcPr>
          <w:p w14:paraId="192DE9B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Eligibility criteria for participants are stated.</w:t>
            </w:r>
          </w:p>
        </w:tc>
        <w:tc>
          <w:tcPr>
            <w:tcW w:w="1542" w:type="pct"/>
            <w:vAlign w:val="center"/>
          </w:tcPr>
          <w:p w14:paraId="116BD78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</w:t>
            </w:r>
          </w:p>
        </w:tc>
        <w:tc>
          <w:tcPr>
            <w:tcW w:w="800" w:type="pct"/>
            <w:vAlign w:val="center"/>
          </w:tcPr>
          <w:p w14:paraId="71389C9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7EDF4CCC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63042EB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4b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3282311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Settings and locations of recruitment and data collection are stated.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47A2728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Research Design / Participants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3E0FCAA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5BFFD8D8" w14:textId="77777777" w:rsidTr="00A80268">
        <w:trPr>
          <w:jc w:val="center"/>
        </w:trPr>
        <w:tc>
          <w:tcPr>
            <w:tcW w:w="924" w:type="pct"/>
            <w:vAlign w:val="center"/>
          </w:tcPr>
          <w:p w14:paraId="57923B4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5</w:t>
            </w:r>
          </w:p>
        </w:tc>
        <w:tc>
          <w:tcPr>
            <w:tcW w:w="1734" w:type="pct"/>
            <w:vAlign w:val="center"/>
          </w:tcPr>
          <w:p w14:paraId="1FF8CE5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Interventions for both groups are described sufficiently for replication.</w:t>
            </w:r>
          </w:p>
        </w:tc>
        <w:tc>
          <w:tcPr>
            <w:tcW w:w="1542" w:type="pct"/>
            <w:vAlign w:val="center"/>
          </w:tcPr>
          <w:p w14:paraId="271188C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Intervention; Table 1</w:t>
            </w:r>
          </w:p>
        </w:tc>
        <w:tc>
          <w:tcPr>
            <w:tcW w:w="800" w:type="pct"/>
            <w:vAlign w:val="center"/>
          </w:tcPr>
          <w:p w14:paraId="66B8D63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2AF6C34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012ECBE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6a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7B5068C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 xml:space="preserve">Primary outcome measures, measurement methods, and assessment </w:t>
            </w:r>
            <w:r w:rsidRPr="00A80268">
              <w:rPr>
                <w:sz w:val="22"/>
              </w:rPr>
              <w:lastRenderedPageBreak/>
              <w:t>timing are defined.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56D085A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lastRenderedPageBreak/>
              <w:t>Materials and Methods – Instruments and Measurements; Table 3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18A4BB3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A0C1644" w14:textId="77777777" w:rsidTr="00A80268">
        <w:trPr>
          <w:jc w:val="center"/>
        </w:trPr>
        <w:tc>
          <w:tcPr>
            <w:tcW w:w="924" w:type="pct"/>
            <w:vAlign w:val="center"/>
          </w:tcPr>
          <w:p w14:paraId="1ED6A8F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6b</w:t>
            </w:r>
          </w:p>
        </w:tc>
        <w:tc>
          <w:tcPr>
            <w:tcW w:w="1734" w:type="pct"/>
            <w:vAlign w:val="center"/>
          </w:tcPr>
          <w:p w14:paraId="2C1D97D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Changes to prespecified outcomes after trial commencement are reported; the manuscript states that no changes were made.</w:t>
            </w:r>
          </w:p>
        </w:tc>
        <w:tc>
          <w:tcPr>
            <w:tcW w:w="1542" w:type="pct"/>
            <w:vAlign w:val="center"/>
          </w:tcPr>
          <w:p w14:paraId="0656670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Instruments and Measurements</w:t>
            </w:r>
          </w:p>
        </w:tc>
        <w:tc>
          <w:tcPr>
            <w:tcW w:w="800" w:type="pct"/>
            <w:vAlign w:val="center"/>
          </w:tcPr>
          <w:p w14:paraId="3BBC18B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76C435AB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7CBF11F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7a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4921BDD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How the sample size was determined is explained.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2E7DFF3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Sample Size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32B577D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63DFAC72" w14:textId="77777777" w:rsidTr="00A80268">
        <w:trPr>
          <w:jc w:val="center"/>
        </w:trPr>
        <w:tc>
          <w:tcPr>
            <w:tcW w:w="924" w:type="pct"/>
            <w:vAlign w:val="center"/>
          </w:tcPr>
          <w:p w14:paraId="604BDFE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7b</w:t>
            </w:r>
          </w:p>
        </w:tc>
        <w:tc>
          <w:tcPr>
            <w:tcW w:w="1734" w:type="pct"/>
            <w:vAlign w:val="center"/>
          </w:tcPr>
          <w:p w14:paraId="59D96148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Interim analyses and formal stopping rules are addressed; none were used.</w:t>
            </w:r>
          </w:p>
        </w:tc>
        <w:tc>
          <w:tcPr>
            <w:tcW w:w="1542" w:type="pct"/>
            <w:vAlign w:val="center"/>
          </w:tcPr>
          <w:p w14:paraId="0375E22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Statistical Analysis</w:t>
            </w:r>
          </w:p>
        </w:tc>
        <w:tc>
          <w:tcPr>
            <w:tcW w:w="800" w:type="pct"/>
            <w:vAlign w:val="center"/>
          </w:tcPr>
          <w:p w14:paraId="5C70865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F75752C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16E78BA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8a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4BE4366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Method used to generate the random allocation sequence is described.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0D0870A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17D77378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4D4058CA" w14:textId="77777777" w:rsidTr="00A80268">
        <w:trPr>
          <w:jc w:val="center"/>
        </w:trPr>
        <w:tc>
          <w:tcPr>
            <w:tcW w:w="924" w:type="pct"/>
            <w:vAlign w:val="center"/>
          </w:tcPr>
          <w:p w14:paraId="181CE3C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8b</w:t>
            </w:r>
          </w:p>
        </w:tc>
        <w:tc>
          <w:tcPr>
            <w:tcW w:w="1734" w:type="pct"/>
            <w:vAlign w:val="center"/>
          </w:tcPr>
          <w:p w14:paraId="275A945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Type of randomization and allocation ratio/restrictions are described.</w:t>
            </w:r>
          </w:p>
        </w:tc>
        <w:tc>
          <w:tcPr>
            <w:tcW w:w="1542" w:type="pct"/>
            <w:vAlign w:val="center"/>
          </w:tcPr>
          <w:p w14:paraId="58F8D78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</w:t>
            </w:r>
          </w:p>
        </w:tc>
        <w:tc>
          <w:tcPr>
            <w:tcW w:w="800" w:type="pct"/>
            <w:vAlign w:val="center"/>
          </w:tcPr>
          <w:p w14:paraId="5D70D8F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52BA226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389B2E2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9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34464FC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Mechanism for concealing allocation until assignment is described.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0870702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5C8C15C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4DD656E0" w14:textId="77777777" w:rsidTr="00A80268">
        <w:trPr>
          <w:jc w:val="center"/>
        </w:trPr>
        <w:tc>
          <w:tcPr>
            <w:tcW w:w="924" w:type="pct"/>
            <w:vAlign w:val="center"/>
          </w:tcPr>
          <w:p w14:paraId="75F84A2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10</w:t>
            </w:r>
          </w:p>
        </w:tc>
        <w:tc>
          <w:tcPr>
            <w:tcW w:w="1734" w:type="pct"/>
            <w:vAlign w:val="center"/>
          </w:tcPr>
          <w:p w14:paraId="51414C1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Who generated the sequence, enrolled participants, and assigned participants is described.</w:t>
            </w:r>
          </w:p>
        </w:tc>
        <w:tc>
          <w:tcPr>
            <w:tcW w:w="1542" w:type="pct"/>
            <w:vAlign w:val="center"/>
          </w:tcPr>
          <w:p w14:paraId="51105EA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</w:t>
            </w:r>
          </w:p>
        </w:tc>
        <w:tc>
          <w:tcPr>
            <w:tcW w:w="800" w:type="pct"/>
            <w:vAlign w:val="center"/>
          </w:tcPr>
          <w:p w14:paraId="7C0B054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52F5010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32CFA06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11a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624843E9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Who was blinded after assignment and how blinding was achieved are stated.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096234F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Randomization; Instruments and Measurements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179689C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3BBD4BB" w14:textId="77777777" w:rsidTr="00A80268">
        <w:trPr>
          <w:jc w:val="center"/>
        </w:trPr>
        <w:tc>
          <w:tcPr>
            <w:tcW w:w="924" w:type="pct"/>
            <w:vAlign w:val="center"/>
          </w:tcPr>
          <w:p w14:paraId="031F29F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11b</w:t>
            </w:r>
          </w:p>
        </w:tc>
        <w:tc>
          <w:tcPr>
            <w:tcW w:w="1734" w:type="pct"/>
            <w:vAlign w:val="center"/>
          </w:tcPr>
          <w:p w14:paraId="5D99AC6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 xml:space="preserve">Similarity of interventions, where relevant to blinding, is addressed; participant/intervention-provider blinding was not </w:t>
            </w:r>
            <w:proofErr w:type="gramStart"/>
            <w:r w:rsidRPr="00A80268">
              <w:rPr>
                <w:sz w:val="22"/>
              </w:rPr>
              <w:t>feasible</w:t>
            </w:r>
            <w:proofErr w:type="gramEnd"/>
            <w:r w:rsidRPr="00A80268">
              <w:rPr>
                <w:sz w:val="22"/>
              </w:rPr>
              <w:t xml:space="preserve"> and outcome assessors were blinded.</w:t>
            </w:r>
          </w:p>
        </w:tc>
        <w:tc>
          <w:tcPr>
            <w:tcW w:w="1542" w:type="pct"/>
            <w:vAlign w:val="center"/>
          </w:tcPr>
          <w:p w14:paraId="6B7752F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Participants / Randomization</w:t>
            </w:r>
          </w:p>
        </w:tc>
        <w:tc>
          <w:tcPr>
            <w:tcW w:w="800" w:type="pct"/>
            <w:shd w:val="clear" w:color="auto" w:fill="F2F2F2"/>
            <w:vAlign w:val="center"/>
          </w:tcPr>
          <w:p w14:paraId="5BB7C2DF" w14:textId="07FDC8A3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NOT APPLICABLE / REPORTED</w:t>
            </w:r>
            <w:r w:rsidR="009D5840" w:rsidRPr="00A80268">
              <w:rPr>
                <w:sz w:val="22"/>
              </w:rPr>
              <w:t xml:space="preserve"> - </w:t>
            </w:r>
            <w:r w:rsidR="009D5840" w:rsidRPr="00A80268">
              <w:rPr>
                <w:sz w:val="22"/>
              </w:rPr>
              <w:t>The intervention and control conditions were inherently distinguishable; outcome assessors were blinded.</w:t>
            </w:r>
          </w:p>
        </w:tc>
      </w:tr>
      <w:tr w:rsidR="005D4A51" w:rsidRPr="00A80268" w14:paraId="49240D81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47DCDD1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12a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7F1B201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 xml:space="preserve">Statistical methods used to compare groups and </w:t>
            </w:r>
            <w:r w:rsidRPr="00A80268">
              <w:rPr>
                <w:sz w:val="22"/>
              </w:rPr>
              <w:lastRenderedPageBreak/>
              <w:t>analyze repeated measurements are described.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4EABC11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lastRenderedPageBreak/>
              <w:t xml:space="preserve">Materials and Methods – Statistical Analysis; </w:t>
            </w:r>
            <w:r w:rsidRPr="00A80268">
              <w:rPr>
                <w:sz w:val="22"/>
              </w:rPr>
              <w:lastRenderedPageBreak/>
              <w:t>Table 4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2E1A7C6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lastRenderedPageBreak/>
              <w:t>REPORTED</w:t>
            </w:r>
          </w:p>
        </w:tc>
      </w:tr>
      <w:tr w:rsidR="005D4A51" w:rsidRPr="00A80268" w14:paraId="28D1E5EB" w14:textId="77777777" w:rsidTr="00A80268">
        <w:trPr>
          <w:jc w:val="center"/>
        </w:trPr>
        <w:tc>
          <w:tcPr>
            <w:tcW w:w="924" w:type="pct"/>
            <w:vAlign w:val="center"/>
          </w:tcPr>
          <w:p w14:paraId="0726F8A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12b</w:t>
            </w:r>
          </w:p>
        </w:tc>
        <w:tc>
          <w:tcPr>
            <w:tcW w:w="1734" w:type="pct"/>
            <w:vAlign w:val="center"/>
          </w:tcPr>
          <w:p w14:paraId="7D1D58D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Additional or adjusted analyses are identified; no subgroup or adjusted efficacy analyses were conducted.</w:t>
            </w:r>
          </w:p>
        </w:tc>
        <w:tc>
          <w:tcPr>
            <w:tcW w:w="1542" w:type="pct"/>
            <w:vAlign w:val="center"/>
          </w:tcPr>
          <w:p w14:paraId="69E5D87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Statistical Analysis</w:t>
            </w:r>
          </w:p>
        </w:tc>
        <w:tc>
          <w:tcPr>
            <w:tcW w:w="800" w:type="pct"/>
            <w:shd w:val="clear" w:color="auto" w:fill="F2F2F2"/>
            <w:vAlign w:val="center"/>
          </w:tcPr>
          <w:p w14:paraId="31AF3004" w14:textId="48C1E59E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  <w:r w:rsidR="009D5840" w:rsidRPr="00A80268">
              <w:rPr>
                <w:sz w:val="22"/>
              </w:rPr>
              <w:t xml:space="preserve"> - </w:t>
            </w:r>
            <w:r w:rsidR="009D5840" w:rsidRPr="00A80268">
              <w:rPr>
                <w:sz w:val="22"/>
              </w:rPr>
              <w:t>No subgroup or adjusted efficacy analyses were conducted.</w:t>
            </w:r>
          </w:p>
        </w:tc>
      </w:tr>
      <w:tr w:rsidR="005D4A51" w:rsidRPr="00A80268" w14:paraId="388E7B09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176E216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13a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7703DBE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Participant flow through enrollment, allocation, follow-up, and analysis is reported.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6A193B29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Participant Characteristics; Figure 1 (CONSORT flow diagram)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64FF7DE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3E1BA0F8" w14:textId="77777777" w:rsidTr="00A80268">
        <w:trPr>
          <w:jc w:val="center"/>
        </w:trPr>
        <w:tc>
          <w:tcPr>
            <w:tcW w:w="924" w:type="pct"/>
            <w:vAlign w:val="center"/>
          </w:tcPr>
          <w:p w14:paraId="4D12D9D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13b</w:t>
            </w:r>
          </w:p>
        </w:tc>
        <w:tc>
          <w:tcPr>
            <w:tcW w:w="1734" w:type="pct"/>
            <w:vAlign w:val="center"/>
          </w:tcPr>
          <w:p w14:paraId="673CEC1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Numbers lost to follow-up or excluded from analysis, with reasons, are reported.</w:t>
            </w:r>
          </w:p>
        </w:tc>
        <w:tc>
          <w:tcPr>
            <w:tcW w:w="1542" w:type="pct"/>
            <w:vAlign w:val="center"/>
          </w:tcPr>
          <w:p w14:paraId="273940E3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Participant Characteristics; Figure 1</w:t>
            </w:r>
          </w:p>
        </w:tc>
        <w:tc>
          <w:tcPr>
            <w:tcW w:w="800" w:type="pct"/>
            <w:vAlign w:val="center"/>
          </w:tcPr>
          <w:p w14:paraId="5A7B0FD7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2659800E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44FB1938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14a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70034BF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Dates defining recruitment, intervention, and post-intervention assessment are reported.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49871029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Materials and Methods – Research Design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5D83DA4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27D29065" w14:textId="77777777" w:rsidTr="00A80268">
        <w:trPr>
          <w:jc w:val="center"/>
        </w:trPr>
        <w:tc>
          <w:tcPr>
            <w:tcW w:w="924" w:type="pct"/>
            <w:vAlign w:val="center"/>
          </w:tcPr>
          <w:p w14:paraId="52925DA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14b</w:t>
            </w:r>
          </w:p>
        </w:tc>
        <w:tc>
          <w:tcPr>
            <w:tcW w:w="1734" w:type="pct"/>
            <w:vAlign w:val="center"/>
          </w:tcPr>
          <w:p w14:paraId="541F647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Reason for ending the trial is reported; the trial ended as planned after the 12-week intervention and immediate post-intervention assessment.</w:t>
            </w:r>
          </w:p>
        </w:tc>
        <w:tc>
          <w:tcPr>
            <w:tcW w:w="1542" w:type="pct"/>
            <w:vAlign w:val="center"/>
          </w:tcPr>
          <w:p w14:paraId="535F490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Participant Characteristics</w:t>
            </w:r>
          </w:p>
        </w:tc>
        <w:tc>
          <w:tcPr>
            <w:tcW w:w="800" w:type="pct"/>
            <w:vAlign w:val="center"/>
          </w:tcPr>
          <w:p w14:paraId="0980A8A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12F55376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53FA2CF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15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3F9CA58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Baseline demographic and clinical characteristics for each group are presented.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7786E7A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Participant Characteristics and Baseline Comparability; Table 5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0D7314E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148D71D8" w14:textId="77777777" w:rsidTr="00A80268">
        <w:trPr>
          <w:jc w:val="center"/>
        </w:trPr>
        <w:tc>
          <w:tcPr>
            <w:tcW w:w="924" w:type="pct"/>
            <w:vAlign w:val="center"/>
          </w:tcPr>
          <w:p w14:paraId="688F872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16</w:t>
            </w:r>
          </w:p>
        </w:tc>
        <w:tc>
          <w:tcPr>
            <w:tcW w:w="1734" w:type="pct"/>
            <w:vAlign w:val="center"/>
          </w:tcPr>
          <w:p w14:paraId="65416A6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Numbers included in each analysis and whether analyses followed randomized groups are reported.</w:t>
            </w:r>
          </w:p>
        </w:tc>
        <w:tc>
          <w:tcPr>
            <w:tcW w:w="1542" w:type="pct"/>
            <w:vAlign w:val="center"/>
          </w:tcPr>
          <w:p w14:paraId="199B5C2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Participant Characteristics; Results tables</w:t>
            </w:r>
          </w:p>
        </w:tc>
        <w:tc>
          <w:tcPr>
            <w:tcW w:w="800" w:type="pct"/>
            <w:vAlign w:val="center"/>
          </w:tcPr>
          <w:p w14:paraId="782A947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66A27ADB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1155273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17a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0ACD2D5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For each primary outcome, intervention effects and precision, including 95% confidence intervals, are reported.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7C5202D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Effects on Balance and Motor Control; Tables 7–8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71445CA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D794CE1" w14:textId="77777777" w:rsidTr="00A80268">
        <w:trPr>
          <w:jc w:val="center"/>
        </w:trPr>
        <w:tc>
          <w:tcPr>
            <w:tcW w:w="924" w:type="pct"/>
            <w:vAlign w:val="center"/>
          </w:tcPr>
          <w:p w14:paraId="025012D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17b</w:t>
            </w:r>
          </w:p>
        </w:tc>
        <w:tc>
          <w:tcPr>
            <w:tcW w:w="1734" w:type="pct"/>
            <w:vAlign w:val="center"/>
          </w:tcPr>
          <w:p w14:paraId="54EF1EB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For binary outcomes, absolute and relative effect estimates would be reported; no binary efficacy outcomes were analyzed.</w:t>
            </w:r>
          </w:p>
        </w:tc>
        <w:tc>
          <w:tcPr>
            <w:tcW w:w="1542" w:type="pct"/>
            <w:vAlign w:val="center"/>
          </w:tcPr>
          <w:p w14:paraId="747B1CB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Primary Outcomes</w:t>
            </w:r>
          </w:p>
        </w:tc>
        <w:tc>
          <w:tcPr>
            <w:tcW w:w="800" w:type="pct"/>
            <w:shd w:val="clear" w:color="auto" w:fill="F2F2F2"/>
            <w:vAlign w:val="center"/>
          </w:tcPr>
          <w:p w14:paraId="32088F96" w14:textId="6495104D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NOT APPLICABLE</w:t>
            </w:r>
            <w:r w:rsidR="009D5840" w:rsidRPr="00A80268">
              <w:rPr>
                <w:sz w:val="22"/>
              </w:rPr>
              <w:t xml:space="preserve"> - </w:t>
            </w:r>
            <w:r w:rsidR="009D5840" w:rsidRPr="00A80268">
              <w:rPr>
                <w:sz w:val="22"/>
              </w:rPr>
              <w:t>No binary efficacy outcomes were analyzed.</w:t>
            </w:r>
          </w:p>
        </w:tc>
      </w:tr>
      <w:tr w:rsidR="005D4A51" w:rsidRPr="00A80268" w14:paraId="67128DFC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01870FF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lastRenderedPageBreak/>
              <w:t>18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357CEB8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of other analyses, such as subgroup or adjusted analyses, are reported; none were conducted.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14643745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Primary Outcomes / Statistical Analysis</w:t>
            </w:r>
          </w:p>
        </w:tc>
        <w:tc>
          <w:tcPr>
            <w:tcW w:w="800" w:type="pct"/>
            <w:shd w:val="clear" w:color="auto" w:fill="F2F2F2"/>
            <w:vAlign w:val="center"/>
          </w:tcPr>
          <w:p w14:paraId="63A90ADC" w14:textId="6E03905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NOT APPLICABLE</w:t>
            </w:r>
            <w:r w:rsidR="009D5840" w:rsidRPr="00A80268">
              <w:rPr>
                <w:sz w:val="22"/>
              </w:rPr>
              <w:t xml:space="preserve"> - </w:t>
            </w:r>
            <w:r w:rsidR="009D5840" w:rsidRPr="00A80268">
              <w:rPr>
                <w:sz w:val="22"/>
              </w:rPr>
              <w:t>No subgroup or adjusted analyses were conducted.</w:t>
            </w:r>
          </w:p>
        </w:tc>
      </w:tr>
      <w:tr w:rsidR="005D4A51" w:rsidRPr="00A80268" w14:paraId="03CDCDCA" w14:textId="77777777" w:rsidTr="00A80268">
        <w:trPr>
          <w:jc w:val="center"/>
        </w:trPr>
        <w:tc>
          <w:tcPr>
            <w:tcW w:w="924" w:type="pct"/>
            <w:vAlign w:val="center"/>
          </w:tcPr>
          <w:p w14:paraId="4DDDE43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19</w:t>
            </w:r>
          </w:p>
        </w:tc>
        <w:tc>
          <w:tcPr>
            <w:tcW w:w="1734" w:type="pct"/>
            <w:vAlign w:val="center"/>
          </w:tcPr>
          <w:p w14:paraId="548A2DB6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All important harms or unintended effects in each group are reported.</w:t>
            </w:r>
          </w:p>
        </w:tc>
        <w:tc>
          <w:tcPr>
            <w:tcW w:w="1542" w:type="pct"/>
            <w:vAlign w:val="center"/>
          </w:tcPr>
          <w:p w14:paraId="54087D6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Results – Safety / Adverse Events</w:t>
            </w:r>
          </w:p>
        </w:tc>
        <w:tc>
          <w:tcPr>
            <w:tcW w:w="800" w:type="pct"/>
            <w:vAlign w:val="center"/>
          </w:tcPr>
          <w:p w14:paraId="64BEB90B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60128EF7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095C7C5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20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3C1B447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Trial limitations, including potential sources of bias and imprecision, are discussed.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7D1F474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Discussion – Limitations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33FF3149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5845FA9" w14:textId="77777777" w:rsidTr="00A80268">
        <w:trPr>
          <w:jc w:val="center"/>
        </w:trPr>
        <w:tc>
          <w:tcPr>
            <w:tcW w:w="924" w:type="pct"/>
            <w:vAlign w:val="center"/>
          </w:tcPr>
          <w:p w14:paraId="43038494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21</w:t>
            </w:r>
          </w:p>
        </w:tc>
        <w:tc>
          <w:tcPr>
            <w:tcW w:w="1734" w:type="pct"/>
            <w:vAlign w:val="center"/>
          </w:tcPr>
          <w:p w14:paraId="7901FC5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Generalizability/external validity of the findings is discussed.</w:t>
            </w:r>
          </w:p>
        </w:tc>
        <w:tc>
          <w:tcPr>
            <w:tcW w:w="1542" w:type="pct"/>
            <w:vAlign w:val="center"/>
          </w:tcPr>
          <w:p w14:paraId="5C3AF9B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Discussion – Generalizability / Implications</w:t>
            </w:r>
          </w:p>
        </w:tc>
        <w:tc>
          <w:tcPr>
            <w:tcW w:w="800" w:type="pct"/>
            <w:vAlign w:val="center"/>
          </w:tcPr>
          <w:p w14:paraId="5D89AB7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6618C2E2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42567EE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22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0B505492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Interpretation is consistent with benefits, harms, and other relevant evidence.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23C90BE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Discussion – Interpretation / Conclusion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72DB6759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</w:p>
        </w:tc>
      </w:tr>
      <w:tr w:rsidR="005D4A51" w:rsidRPr="00A80268" w14:paraId="02574887" w14:textId="77777777" w:rsidTr="00A80268">
        <w:trPr>
          <w:jc w:val="center"/>
        </w:trPr>
        <w:tc>
          <w:tcPr>
            <w:tcW w:w="924" w:type="pct"/>
            <w:vAlign w:val="center"/>
          </w:tcPr>
          <w:p w14:paraId="5EF93430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23</w:t>
            </w:r>
          </w:p>
        </w:tc>
        <w:tc>
          <w:tcPr>
            <w:tcW w:w="1734" w:type="pct"/>
            <w:vAlign w:val="center"/>
          </w:tcPr>
          <w:p w14:paraId="1953F858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Trial registration identifier and registration name are provided.</w:t>
            </w:r>
          </w:p>
        </w:tc>
        <w:tc>
          <w:tcPr>
            <w:tcW w:w="1542" w:type="pct"/>
            <w:vAlign w:val="center"/>
          </w:tcPr>
          <w:p w14:paraId="456B18D1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Declarations – Trial Registration</w:t>
            </w:r>
          </w:p>
        </w:tc>
        <w:tc>
          <w:tcPr>
            <w:tcW w:w="800" w:type="pct"/>
            <w:shd w:val="clear" w:color="auto" w:fill="FFF2CC"/>
            <w:vAlign w:val="center"/>
          </w:tcPr>
          <w:p w14:paraId="38A3E364" w14:textId="74A5A31E" w:rsidR="005D4A51" w:rsidRPr="00A80268" w:rsidRDefault="007A57B7">
            <w:pPr>
              <w:rPr>
                <w:sz w:val="22"/>
              </w:rPr>
            </w:pPr>
            <w:r w:rsidRPr="007A57B7">
              <w:rPr>
                <w:sz w:val="22"/>
              </w:rPr>
              <w:t>REPORTED — Indonesia Clinical Research Registry (INA-CRR): INA-02F776F (provisional registration number; final registration confirmation pending).</w:t>
            </w:r>
          </w:p>
        </w:tc>
      </w:tr>
      <w:tr w:rsidR="005D4A51" w:rsidRPr="00A80268" w14:paraId="38C0C20C" w14:textId="77777777" w:rsidTr="00A80268">
        <w:trPr>
          <w:jc w:val="center"/>
        </w:trPr>
        <w:tc>
          <w:tcPr>
            <w:tcW w:w="924" w:type="pct"/>
            <w:shd w:val="clear" w:color="auto" w:fill="F7FBFE"/>
            <w:vAlign w:val="center"/>
          </w:tcPr>
          <w:p w14:paraId="6986044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24</w:t>
            </w:r>
          </w:p>
        </w:tc>
        <w:tc>
          <w:tcPr>
            <w:tcW w:w="1734" w:type="pct"/>
            <w:shd w:val="clear" w:color="auto" w:fill="F7FBFE"/>
            <w:vAlign w:val="center"/>
          </w:tcPr>
          <w:p w14:paraId="55603D6A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Availability of the full study protocol is stated; the protocol is not publicly available.</w:t>
            </w:r>
          </w:p>
        </w:tc>
        <w:tc>
          <w:tcPr>
            <w:tcW w:w="1542" w:type="pct"/>
            <w:shd w:val="clear" w:color="auto" w:fill="F7FBFE"/>
            <w:vAlign w:val="center"/>
          </w:tcPr>
          <w:p w14:paraId="6820FFDF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Declarations – Protocol Availability</w:t>
            </w:r>
          </w:p>
        </w:tc>
        <w:tc>
          <w:tcPr>
            <w:tcW w:w="800" w:type="pct"/>
            <w:shd w:val="clear" w:color="auto" w:fill="F7FBFE"/>
            <w:vAlign w:val="center"/>
          </w:tcPr>
          <w:p w14:paraId="5504EB39" w14:textId="22AF858F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</w:t>
            </w:r>
            <w:r w:rsidR="003F1788" w:rsidRPr="00A80268">
              <w:rPr>
                <w:sz w:val="22"/>
              </w:rPr>
              <w:t xml:space="preserve"> - </w:t>
            </w:r>
            <w:r w:rsidR="003F1788" w:rsidRPr="00A80268">
              <w:rPr>
                <w:sz w:val="22"/>
              </w:rPr>
              <w:t>The full study protocol is not publicly available.</w:t>
            </w:r>
          </w:p>
        </w:tc>
      </w:tr>
      <w:tr w:rsidR="005D4A51" w:rsidRPr="00A80268" w14:paraId="4496937C" w14:textId="77777777" w:rsidTr="00A80268">
        <w:trPr>
          <w:jc w:val="center"/>
        </w:trPr>
        <w:tc>
          <w:tcPr>
            <w:tcW w:w="924" w:type="pct"/>
            <w:vAlign w:val="center"/>
          </w:tcPr>
          <w:p w14:paraId="55E1261E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b/>
                <w:sz w:val="22"/>
              </w:rPr>
              <w:t>25</w:t>
            </w:r>
          </w:p>
        </w:tc>
        <w:tc>
          <w:tcPr>
            <w:tcW w:w="1734" w:type="pct"/>
            <w:vAlign w:val="center"/>
          </w:tcPr>
          <w:p w14:paraId="39802BFC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Source of funding and role of the funder are reported.</w:t>
            </w:r>
          </w:p>
        </w:tc>
        <w:tc>
          <w:tcPr>
            <w:tcW w:w="1542" w:type="pct"/>
            <w:vAlign w:val="center"/>
          </w:tcPr>
          <w:p w14:paraId="05242948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Declarations – Funding Statement</w:t>
            </w:r>
          </w:p>
        </w:tc>
        <w:tc>
          <w:tcPr>
            <w:tcW w:w="800" w:type="pct"/>
            <w:vAlign w:val="center"/>
          </w:tcPr>
          <w:p w14:paraId="5750749D" w14:textId="77777777" w:rsidR="005D4A51" w:rsidRPr="00A80268" w:rsidRDefault="00000000">
            <w:pPr>
              <w:rPr>
                <w:sz w:val="22"/>
              </w:rPr>
            </w:pPr>
            <w:r w:rsidRPr="00A80268">
              <w:rPr>
                <w:sz w:val="22"/>
              </w:rPr>
              <w:t>REPORTED — No specific funding; funder role not applicable</w:t>
            </w:r>
          </w:p>
        </w:tc>
      </w:tr>
    </w:tbl>
    <w:p w14:paraId="5FA4DDD4" w14:textId="77777777" w:rsidR="005D4A51" w:rsidRPr="00A80268" w:rsidRDefault="005D4A51">
      <w:pPr>
        <w:rPr>
          <w:sz w:val="22"/>
        </w:rPr>
      </w:pPr>
    </w:p>
    <w:p w14:paraId="52DEE96D" w14:textId="7F880A53" w:rsidR="005D4A51" w:rsidRPr="00A80268" w:rsidRDefault="007A57B7">
      <w:pPr>
        <w:rPr>
          <w:sz w:val="22"/>
        </w:rPr>
      </w:pPr>
      <w:r w:rsidRPr="007A57B7">
        <w:rPr>
          <w:i/>
          <w:sz w:val="22"/>
        </w:rPr>
        <w:t>Prepared for submission as an additional/supplementary file. The provisional trial registration number is INA-02F776F; final registration confirmation is pending.</w:t>
      </w:r>
      <w:r w:rsidR="00000000" w:rsidRPr="00A80268">
        <w:rPr>
          <w:i/>
          <w:sz w:val="22"/>
        </w:rPr>
        <w:t>.</w:t>
      </w:r>
    </w:p>
    <w:sectPr w:rsidR="005D4A51" w:rsidRPr="00A80268" w:rsidSect="00A80268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3838007">
    <w:abstractNumId w:val="8"/>
  </w:num>
  <w:num w:numId="2" w16cid:durableId="613288649">
    <w:abstractNumId w:val="6"/>
  </w:num>
  <w:num w:numId="3" w16cid:durableId="1183860708">
    <w:abstractNumId w:val="5"/>
  </w:num>
  <w:num w:numId="4" w16cid:durableId="601495555">
    <w:abstractNumId w:val="4"/>
  </w:num>
  <w:num w:numId="5" w16cid:durableId="2137987097">
    <w:abstractNumId w:val="7"/>
  </w:num>
  <w:num w:numId="6" w16cid:durableId="587663501">
    <w:abstractNumId w:val="3"/>
  </w:num>
  <w:num w:numId="7" w16cid:durableId="1745489417">
    <w:abstractNumId w:val="2"/>
  </w:num>
  <w:num w:numId="8" w16cid:durableId="168837079">
    <w:abstractNumId w:val="1"/>
  </w:num>
  <w:num w:numId="9" w16cid:durableId="12893621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A69"/>
    <w:rsid w:val="0015074B"/>
    <w:rsid w:val="0029639D"/>
    <w:rsid w:val="00326F90"/>
    <w:rsid w:val="00363737"/>
    <w:rsid w:val="003F1788"/>
    <w:rsid w:val="005D4A51"/>
    <w:rsid w:val="007A57B7"/>
    <w:rsid w:val="009D5840"/>
    <w:rsid w:val="00A8026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45FF3"/>
  <w14:defaultImageDpi w14:val="300"/>
  <w15:docId w15:val="{D92EC1C7-7E93-6342-8DE1-D2EF3CBA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Fadli Ihsan</cp:lastModifiedBy>
  <cp:revision>6</cp:revision>
  <dcterms:created xsi:type="dcterms:W3CDTF">2013-12-23T23:15:00Z</dcterms:created>
  <dcterms:modified xsi:type="dcterms:W3CDTF">2026-09-01T07:01:00Z</dcterms:modified>
  <cp:category/>
</cp:coreProperties>
</file>