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 w:line="24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Table 5. Multivariable logistic regression — reduced (parsimonious) model for delayed cerebral ischemia (DCI).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08"/>
        <w:gridCol w:w="1310"/>
        <w:gridCol w:w="1310"/>
        <w:gridCol w:w="1310"/>
        <w:gridCol w:w="1310"/>
        <w:gridCol w:w="1310"/>
      </w:tblGrid>
      <w:tr>
        <w:trPr>
          <w:tblHeader/>
        </w:trPr>
        <w:tc>
          <w:tcPr>
            <w:tcW w:type="dxa" w:w="2808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Variable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OR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SE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95% CI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z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p-value</w:t>
            </w:r>
          </w:p>
        </w:tc>
      </w:tr>
      <w:tr>
        <w:trPr>
          <w:tblHeader w:val="false"/>
        </w:trPr>
        <w:tc>
          <w:tcPr>
            <w:tcW w:type="dxa" w:w="2808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WFNS score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1.33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0.06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1.22 – 1.45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6.52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&lt;0.001</w:t>
            </w:r>
          </w:p>
        </w:tc>
      </w:tr>
      <w:tr>
        <w:trPr>
          <w:tblHeader w:val="false"/>
        </w:trPr>
        <w:tc>
          <w:tcPr>
            <w:tcW w:type="dxa" w:w="2808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Age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1.00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0.005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0.99 – 1.01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0.65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0.518</w:t>
            </w:r>
          </w:p>
        </w:tc>
      </w:tr>
      <w:tr>
        <w:trPr>
          <w:tblHeader w:val="false"/>
        </w:trPr>
        <w:tc>
          <w:tcPr>
            <w:tcW w:type="dxa" w:w="2808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Female sex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1.18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0.17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0.90 – 1.56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1.16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0.246</w:t>
            </w:r>
          </w:p>
        </w:tc>
      </w:tr>
      <w:tr>
        <w:trPr>
          <w:tblHeader w:val="false"/>
        </w:trPr>
        <w:tc>
          <w:tcPr>
            <w:tcW w:type="dxa" w:w="2808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Diabetes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0.64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0.14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0.40 – 0.98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-2.00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0.046</w:t>
            </w:r>
          </w:p>
        </w:tc>
      </w:tr>
      <w:tr>
        <w:trPr>
          <w:tblHeader w:val="false"/>
        </w:trPr>
        <w:tc>
          <w:tcPr>
            <w:tcW w:type="dxa" w:w="2808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Hypertension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1.42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0.18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1.11 – 1.83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2.73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0.006</w:t>
            </w:r>
          </w:p>
        </w:tc>
      </w:tr>
      <w:tr>
        <w:trPr>
          <w:tblHeader w:val="false"/>
        </w:trPr>
        <w:tc>
          <w:tcPr>
            <w:tcW w:type="dxa" w:w="2808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mFisher grade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1.05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0.06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0.93 – 1.17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0.77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0.441</w:t>
            </w:r>
          </w:p>
        </w:tc>
      </w:tr>
      <w:tr>
        <w:trPr>
          <w:tblHeader w:val="false"/>
        </w:trPr>
        <w:tc>
          <w:tcPr>
            <w:tcW w:type="dxa" w:w="2808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Treatment: coil (ref clip)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1.23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0.16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0.95 – 1.58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1.56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0.119</w:t>
            </w:r>
          </w:p>
        </w:tc>
      </w:tr>
      <w:tr>
        <w:trPr>
          <w:tblHeader w:val="false"/>
        </w:trPr>
        <w:tc>
          <w:tcPr>
            <w:tcW w:type="dxa" w:w="2808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Treatment: none (ref clip)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0.35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0.08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0.22 – 0.55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-4.47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&lt;0.001</w:t>
            </w:r>
          </w:p>
        </w:tc>
      </w:tr>
      <w:tr>
        <w:trPr>
          <w:tblHeader w:val="false"/>
        </w:trPr>
        <w:tc>
          <w:tcPr>
            <w:tcW w:type="dxa" w:w="2808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Vasospasm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2.51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0.31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1.96 – 3.21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7.35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&lt;0.001</w:t>
            </w:r>
          </w:p>
        </w:tc>
      </w:tr>
      <w:tr>
        <w:trPr>
          <w:tblHeader w:val="false"/>
        </w:trPr>
        <w:tc>
          <w:tcPr>
            <w:tcW w:type="dxa" w:w="2808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Hydrocephalus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0.90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0.12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0.69 – 1.18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-0.75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0.450</w:t>
            </w:r>
          </w:p>
        </w:tc>
      </w:tr>
      <w:tr>
        <w:trPr>
          <w:tblHeader w:val="false"/>
        </w:trPr>
        <w:tc>
          <w:tcPr>
            <w:tcW w:type="dxa" w:w="2808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Rebleeding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1.45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0.29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0.97 – 2.14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1.85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0.064</w:t>
            </w:r>
          </w:p>
        </w:tc>
      </w:tr>
      <w:tr>
        <w:trPr>
          <w:tblHeader w:val="false"/>
        </w:trPr>
        <w:tc>
          <w:tcPr>
            <w:tcW w:type="dxa" w:w="2808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Seizures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1.49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0.23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1.10 – 2.01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2.59</w:t>
            </w:r>
          </w:p>
        </w:tc>
        <w:tc>
          <w:tcPr>
            <w:tcW w:type="dxa" w:w="1310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0.010</w:t>
            </w:r>
          </w:p>
        </w:tc>
      </w:tr>
    </w:tbl>
    <w:p>
      <w:pPr>
        <w:spacing w:before="200" w:line="240"/>
      </w:pPr>
      <w:r>
        <w:rPr>
          <w:rFonts w:ascii="Times New Roman" w:cs="Times New Roman" w:eastAsia="Times New Roman" w:hAnsi="Times New Roman"/>
          <w:i/>
          <w:iCs/>
          <w:sz w:val="18"/>
          <w:szCs w:val="18"/>
        </w:rPr>
        <w:t xml:space="preserve">Outcome: DCI-related cerebral infarction. n = 1,755; Akaike information criterion 1,783.3, lower than the full model (1,793.3). Abbreviations: CI, confidence interval; DCI, delayed cerebral ischemia; OR, odds ratio; SE, standard error; WFNS, World Federation of Neurosurgical Societies.</w:t>
      </w:r>
    </w:p>
    <w:sectPr>
      <w:footerReference w:type="default" r:id="rId7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Times New Roman" w:cs="Times New Roman" w:eastAsia="Times New Roman" w:hAnsi="Times New Roman"/>
        <w:sz w:val="20"/>
        <w:szCs w:val="20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2026-08-23T01:01:38.742Z</dcterms:created>
  <dcterms:modified xsi:type="dcterms:W3CDTF">2026-08-23T01:01:38.742Z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