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line="24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Table 1. Baseline demographics of patients with aneurysmal subarachnoid hemorrhage stratified by the presence or absence of delayed cerebral ischemia (DCI)-related cerebral infarction.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8"/>
        <w:gridCol w:w="1310"/>
        <w:gridCol w:w="1310"/>
        <w:gridCol w:w="1310"/>
        <w:gridCol w:w="1310"/>
        <w:gridCol w:w="1310"/>
      </w:tblGrid>
      <w:tr>
        <w:trPr>
          <w:tblHeader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Characteristic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N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Overall (N = 1,789)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No DCI (N = 1,350)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DCI (N = 439)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p-value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Age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1,782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55 (46, 63)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55 (46, 63)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55 (45, 64)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&gt;0.9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Sex (female)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1,783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1,300 (73%)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962 (72%)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338 (77%)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0.027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Premorbid conditions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Diabetes mellitus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1,789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164 (9.2%)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133 (9.9%)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31 (7.1%)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0.078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Alcohol use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1,789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207 (12%)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150 (11%)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57 (13%)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0.3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Arterial hypertension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1,789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1,050 (59%)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773 (57%)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277 (63%)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0.031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Smoking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1,789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700 (39%)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515 (38%)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185 (42%)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0.14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Admission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WFNS grade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1,789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&lt;0.001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1–3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1,240 (69%)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992 (73%)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248 (56%)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4–5 (high-grade)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549 (31%)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358 (27%)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191 (44%)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Modified Fisher scale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1,775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&lt;0.001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0–2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500 (28%)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417 (31%)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83 (19%)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3–4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1,275 (72%)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921 (69%)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354 (81%)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Aneurysm location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1,789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0.004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MCA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337 (19%)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248 (18%)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89 (20%)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ICA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176 (9.8%)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128 (9.5%)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48 (11%)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Communicating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782 (44%)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570 (42%)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212 (48%)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Other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421 (24%)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347 (26%)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74 (17%)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Vertebrobasilar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73 (4.1%)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57 (4.2%)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16 (3.6%)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Aneurysm treatment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1,781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&lt;0.001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Clip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1,014 (57%)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775 (58%)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239 (54%)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Coil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523 (29%)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352 (26%)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171 (39%)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None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244 (14%)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215 (16%)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29 (6.6%)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Days from admission to occlusion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1,528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1.0 (1.0, 3.0)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1.0 (1.0, 3.0)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1.0 (0.0, 2.0)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&lt;0.001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Days from ictus to occlusion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1,528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6 (2, 12)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6 (2, 13)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5 (2, 9)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&lt;0.001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Hospital complications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ICP monitoring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1,786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458 (26%)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268 (20%)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190 (43%)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&lt;0.001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Seizures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1,789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260 (15%)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161 (12%)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99 (23%)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&lt;0.001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Intracerebral haemorrhage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1,789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216 (12%)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143 (11%)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73 (17%)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&lt;0.001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Herniation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1,789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70 (3.9%)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32 (2.4%)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38 (8.7%)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&lt;0.001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Hydrocephalus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1,789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533 (30%)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365 (27%)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168 (38%)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&lt;0.001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Meningitis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1,789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310 (17%)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225 (17%)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85 (19%)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0.2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Brain death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1,789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202 (11%)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121 (9.0%)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81 (18%)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&lt;0.001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Rebleeding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1,789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147 (8.2%)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96 (7.1%)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51 (12%)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0.003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Vasospasm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1,789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723 (40%)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457 (34%)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266 (61%)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&lt;0.001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New postoperative neurological deficit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1,774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426 (24%)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234 (17%)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192 (44%)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&lt;0.001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Outcomes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Withdrawal of life-sustaining therapy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1,787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129 (7.2%)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79 (5.9%)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50 (11%)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&lt;0.001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Hospital length of stay (days)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1,788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16 (10, 30)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16 (9, 27)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20 (11, 40)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&lt;0.001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In-hospital death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1,789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441 (25%)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269 (20%)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172 (39%)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&lt;0.001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mRS 4–6 at discharge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1,789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929 (52%)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598 (44%)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331 (75%)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&lt;0.001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Unfavourable outcome (mRS 4–6)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1,671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743 (44%)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442 (35%)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301 (71%)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&lt;0.001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mRS 3–6 at follow-up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1,671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852 (51%)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525 (42%)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327 (78%)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&lt;0.001</w:t>
            </w:r>
          </w:p>
        </w:tc>
      </w:tr>
    </w:tbl>
    <w:p>
      <w:pPr>
        <w:spacing w:before="200" w:line="240"/>
      </w:pPr>
      <w:r>
        <w:rPr>
          <w:rFonts w:ascii="Times New Roman" w:cs="Times New Roman" w:eastAsia="Times New Roman" w:hAnsi="Times New Roman"/>
          <w:i/>
          <w:iCs/>
          <w:sz w:val="18"/>
          <w:szCs w:val="18"/>
        </w:rPr>
        <w:t xml:space="preserve">Data are n (%) or median (Q1, Q3). P values: Pearson chi-square, Wilcoxon rank-sum, or Fisher exact test. Abbreviations: DCI, delayed cerebral ischemia; ICA, internal carotid artery; ICP, intracranial pressure; MCA, middle cerebral artery; mRS, modified Rankin Scale; WFNS, World Federation of Neurosurgical Societies.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Times New Roman" w:cs="Times New Roman" w:eastAsia="Times New Roman" w:hAnsi="Times New Roman"/>
        <w:sz w:val="20"/>
        <w:szCs w:val="20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2026-08-23T01:01:38.366Z</dcterms:created>
  <dcterms:modified xsi:type="dcterms:W3CDTF">2026-08-23T01:01:38.366Z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