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8A86F1" w14:textId="77777777" w:rsidR="004538C9" w:rsidRPr="00767883" w:rsidRDefault="00000000" w:rsidP="00CF56F9">
      <w:pPr>
        <w:rPr>
          <w:rFonts w:ascii="Times New Roman" w:hAnsi="Times New Roman" w:cs="Times New Roman"/>
          <w:lang w:val="en-MX"/>
        </w:rPr>
      </w:pPr>
      <w:r w:rsidRPr="00767883">
        <w:rPr>
          <w:rFonts w:ascii="Times New Roman" w:eastAsia="Times New Roman" w:hAnsi="Times New Roman" w:cs="Times New Roman"/>
          <w:b/>
          <w:bCs/>
          <w:color w:val="000000"/>
          <w:kern w:val="36"/>
          <w:sz w:val="48"/>
          <w:szCs w:val="48"/>
          <w:lang w:val="en-MX"/>
          <w14:ligatures w14:val="none"/>
        </w:rPr>
        <w:t>Supplementary Material File</w:t>
      </w:r>
    </w:p>
    <w:p w14:paraId="3C8C3176" w14:textId="77777777" w:rsidR="00F671DE" w:rsidRPr="00767883" w:rsidRDefault="00F671DE" w:rsidP="00F671DE">
      <w:pPr>
        <w:spacing w:before="100" w:beforeAutospacing="1" w:after="100" w:afterAutospacing="1" w:line="300" w:lineRule="atLeast"/>
        <w:rPr>
          <w:rFonts w:ascii="Times New Roman" w:eastAsia="Times New Roman" w:hAnsi="Times New Roman" w:cs="Times New Roman"/>
          <w:color w:val="000000"/>
          <w:kern w:val="0"/>
          <w:sz w:val="21"/>
          <w:szCs w:val="21"/>
          <w:lang w:val="en-MX"/>
          <w14:ligatures w14:val="none"/>
        </w:rPr>
      </w:pPr>
      <w:r w:rsidRPr="00767883">
        <w:rPr>
          <w:rFonts w:ascii="Times New Roman" w:eastAsia="Times New Roman" w:hAnsi="Times New Roman" w:cs="Times New Roman"/>
          <w:color w:val="000000"/>
          <w:kern w:val="0"/>
          <w:sz w:val="21"/>
          <w:szCs w:val="21"/>
          <w:lang w:val="en-MX"/>
          <w14:ligatures w14:val="none"/>
        </w:rPr>
        <w:t>The supplementary material documents eligibility, search methods, overlap handling, source mapping, domain confidence, quantitative estimates, safety interpretation, phenotype-to-evidence aids, and reproducibility materials for this umbrella review.</w:t>
      </w:r>
    </w:p>
    <w:p w14:paraId="59D09DA2" w14:textId="77777777" w:rsidR="000B329A" w:rsidRDefault="000B329A">
      <w:pPr>
        <w:rPr>
          <w:kern w:val="0"/>
          <w14:ligatures w14:val="none"/>
        </w:rPr>
      </w:pPr>
      <w:r>
        <w:rPr>
          <w:rFonts w:ascii="Times New Roman" w:hAnsi="Times New Roman"/>
          <w:color w:val="000000"/>
          <w:sz w:val="21"/>
          <w:szCs w:val="21"/>
        </w:rPr>
        <w:t>In summary, this supplement provides the methodological audit trail for the umbrella review, including prespecified eligibility criteria, database search strategies, review-level extraction, AMSTAR 2 appraisal, primary-study overlap mapping, CCA and exploratory wCCA calculations, evidence-domain coding rules, safety interpretation, and phenotype-to-evidence aids. Across the supplement, domain-specific CCA was treated as the operative overlap measure, wCCA was retained only as an exploratory supplementary sensitivity analysis, and evidence-category assignment was based on methodological confidence, directness, clinical relevance, consistency, overlap, and nonredundant contribution rather than the number of overlapping reviews alone.</w:t>
      </w:r>
    </w:p>
    <w:p w14:paraId="52E10CE5" w14:textId="77777777" w:rsidR="000B329A" w:rsidRDefault="000B329A">
      <w:pPr>
        <w:rPr>
          <w:kern w:val="0"/>
          <w14:ligatures w14:val="none"/>
        </w:rPr>
      </w:pPr>
      <w:r>
        <w:rPr>
          <w:rFonts w:ascii="Times New Roman" w:hAnsi="Times New Roman"/>
          <w:color w:val="000000"/>
          <w:sz w:val="21"/>
          <w:szCs w:val="21"/>
        </w:rPr>
        <w:t>The tables are organized to move from eligibility and search methods, to review weighting and overlap handling, to evidence-domain summaries, safety interpretation, phenotype guidance, and reproducibility materials.</w:t>
      </w:r>
    </w:p>
    <w:p w14:paraId="695251A8"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Supplementary material roadmap</w:t>
      </w:r>
    </w:p>
    <w:tbl>
      <w:tblPr>
        <w:tblStyle w:val="TableGrid"/>
        <w:tblW w:w="5000" w:type="pct"/>
        <w:tblLook w:val="04A0" w:firstRow="1" w:lastRow="0" w:firstColumn="1" w:lastColumn="0" w:noHBand="0" w:noVBand="1"/>
      </w:tblPr>
      <w:tblGrid>
        <w:gridCol w:w="2411"/>
        <w:gridCol w:w="4456"/>
        <w:gridCol w:w="2120"/>
      </w:tblGrid>
      <w:tr w:rsidR="00812147" w14:paraId="24BDFDDD"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29CD99E2" w14:textId="77777777" w:rsidR="00812147" w:rsidRDefault="00812147">
            <w:pPr>
              <w:jc w:val="center"/>
              <w:rPr>
                <w:kern w:val="0"/>
                <w14:ligatures w14:val="none"/>
              </w:rPr>
            </w:pPr>
            <w:r>
              <w:rPr>
                <w:rFonts w:ascii="Times New Roman" w:hAnsi="Times New Roman"/>
                <w:b/>
                <w:bCs/>
                <w:color w:val="000000"/>
                <w:sz w:val="24"/>
                <w:szCs w:val="24"/>
              </w:rPr>
              <w:t>Supplementary section</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4F954C6A" w14:textId="77777777" w:rsidR="00812147" w:rsidRDefault="00812147">
            <w:pPr>
              <w:jc w:val="center"/>
            </w:pPr>
            <w:r>
              <w:rPr>
                <w:rFonts w:ascii="Times New Roman" w:hAnsi="Times New Roman"/>
                <w:b/>
                <w:bCs/>
                <w:color w:val="000000"/>
                <w:sz w:val="24"/>
                <w:szCs w:val="24"/>
              </w:rPr>
              <w:t>Purpose</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2DA16C21" w14:textId="77777777" w:rsidR="00812147" w:rsidRDefault="00812147">
            <w:pPr>
              <w:jc w:val="center"/>
            </w:pPr>
            <w:r>
              <w:rPr>
                <w:rFonts w:ascii="Times New Roman" w:hAnsi="Times New Roman"/>
                <w:b/>
                <w:bCs/>
                <w:color w:val="000000"/>
                <w:sz w:val="24"/>
                <w:szCs w:val="24"/>
              </w:rPr>
              <w:t>Where to look</w:t>
            </w:r>
          </w:p>
        </w:tc>
      </w:tr>
      <w:tr w:rsidR="00812147" w14:paraId="678F1AB3" w14:textId="77777777">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27C0D2E4" w14:textId="77777777" w:rsidR="00812147" w:rsidRDefault="00812147">
            <w:r>
              <w:rPr>
                <w:rFonts w:ascii="Times New Roman" w:hAnsi="Times New Roman"/>
              </w:rPr>
              <w:t>Eligibility and search methods</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2B6732DF" w14:textId="77777777" w:rsidR="00812147" w:rsidRDefault="00812147">
            <w:r>
              <w:rPr>
                <w:rFonts w:ascii="Times New Roman" w:hAnsi="Times New Roman"/>
              </w:rPr>
              <w:t>Documents PICOS eligibility, PROSPERO registration, search concepts, result counts, and Boolean strings.</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311757C6" w14:textId="77777777" w:rsidR="00812147" w:rsidRDefault="00812147">
            <w:r>
              <w:rPr>
                <w:rFonts w:ascii="Times New Roman" w:hAnsi="Times New Roman"/>
              </w:rPr>
              <w:t>Tables S1, S1A, S1B, and S1C</w:t>
            </w:r>
          </w:p>
        </w:tc>
      </w:tr>
      <w:tr w:rsidR="00812147" w14:paraId="1C992DA5" w14:textId="77777777">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780021B6" w14:textId="77777777" w:rsidR="00812147" w:rsidRDefault="00812147">
            <w:r>
              <w:rPr>
                <w:rFonts w:ascii="Times New Roman" w:hAnsi="Times New Roman"/>
              </w:rPr>
              <w:t>Overlap workflow and evidence weighting</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381A3768" w14:textId="77777777" w:rsidR="00812147" w:rsidRDefault="00812147">
            <w:r>
              <w:rPr>
                <w:rFonts w:ascii="Times New Roman" w:hAnsi="Times New Roman"/>
              </w:rPr>
              <w:t>Explains how reviews were grouped, overlap was handled, AMSTAR 2 confidence was used, and evidence-category assignment was made.</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60CC6706" w14:textId="4BE87AE9" w:rsidR="00812147" w:rsidRPr="009370B1" w:rsidRDefault="009370B1" w:rsidP="009370B1">
            <w:pPr>
              <w:rPr>
                <w:kern w:val="0"/>
                <w14:ligatures w14:val="none"/>
              </w:rPr>
            </w:pPr>
            <w:r>
              <w:rPr>
                <w:rFonts w:ascii="Times New Roman" w:hAnsi="Times New Roman"/>
              </w:rPr>
              <w:t>Tables S2A, S4, S6, and Box S1</w:t>
            </w:r>
          </w:p>
        </w:tc>
      </w:tr>
      <w:tr w:rsidR="00812147" w14:paraId="5CCCE2B1" w14:textId="77777777">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3B78CBF6" w14:textId="77777777" w:rsidR="00812147" w:rsidRDefault="00812147">
            <w:r>
              <w:rPr>
                <w:rFonts w:ascii="Times New Roman" w:hAnsi="Times New Roman"/>
              </w:rPr>
              <w:t>Evidence-domain summaries</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24357EFA" w14:textId="77777777" w:rsidR="00812147" w:rsidRDefault="00812147">
            <w:r>
              <w:rPr>
                <w:rFonts w:ascii="Times New Roman" w:hAnsi="Times New Roman"/>
              </w:rPr>
              <w:t>Maps review-level evidence domains, direction of evidence, source studies, representative estimates, and main conclusion support.</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3354F1CC" w14:textId="77777777" w:rsidR="00812147" w:rsidRDefault="00812147">
            <w:r>
              <w:rPr>
                <w:rFonts w:ascii="Times New Roman" w:hAnsi="Times New Roman"/>
              </w:rPr>
              <w:t>Tables S3, S5, S7, and S8</w:t>
            </w:r>
          </w:p>
        </w:tc>
      </w:tr>
      <w:tr w:rsidR="00812147" w14:paraId="0B1B757F" w14:textId="77777777">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3B219A5C" w14:textId="77777777" w:rsidR="00812147" w:rsidRDefault="00812147">
            <w:r>
              <w:rPr>
                <w:rFonts w:ascii="Times New Roman" w:hAnsi="Times New Roman"/>
              </w:rPr>
              <w:t>Phenotype, safety, and contextual interpretation</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132B9125" w14:textId="77777777" w:rsidR="00812147" w:rsidRDefault="00812147">
            <w:r>
              <w:rPr>
                <w:rFonts w:ascii="Times New Roman" w:hAnsi="Times New Roman"/>
              </w:rPr>
              <w:t>Provides patient-context modifiers, safety interpretation, PDS contextual material handling, and phenotype-to-evidence guidance.</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096BE421" w14:textId="77777777" w:rsidR="00812147" w:rsidRDefault="00812147">
            <w:r>
              <w:rPr>
                <w:rFonts w:ascii="Times New Roman" w:hAnsi="Times New Roman"/>
              </w:rPr>
              <w:t>Boxes S2–S4 and Tables S9–S10</w:t>
            </w:r>
          </w:p>
        </w:tc>
      </w:tr>
      <w:tr w:rsidR="00812147" w14:paraId="72B4C35E" w14:textId="77777777">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377742C2" w14:textId="77777777" w:rsidR="00812147" w:rsidRDefault="00812147">
            <w:r>
              <w:rPr>
                <w:rFonts w:ascii="Times New Roman" w:hAnsi="Times New Roman"/>
              </w:rPr>
              <w:t>Overlap calculations and reproducibility materials</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7548DA19" w14:textId="77777777" w:rsidR="00812147" w:rsidRDefault="00812147">
            <w:r>
              <w:rPr>
                <w:rFonts w:ascii="Times New Roman" w:hAnsi="Times New Roman"/>
              </w:rPr>
              <w:t>Reports detailed CCA, exploratory wCCA, overlap implications, source Study IDs, and the supplementary audit files needed to reproduce the methods.</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06E3F82E" w14:textId="77777777" w:rsidR="00812147" w:rsidRDefault="00812147">
            <w:r>
              <w:rPr>
                <w:rFonts w:ascii="Times New Roman" w:hAnsi="Times New Roman"/>
              </w:rPr>
              <w:t>Table S11 and Supplementary Data Files 1–7</w:t>
            </w:r>
          </w:p>
        </w:tc>
      </w:tr>
    </w:tbl>
    <w:p w14:paraId="72FE04AD" w14:textId="77777777" w:rsidR="00DD0540" w:rsidRPr="00767883" w:rsidRDefault="00DD0540">
      <w:pPr>
        <w:rPr>
          <w:rFonts w:ascii="Times New Roman" w:hAnsi="Times New Roman" w:cs="Times New Roman"/>
          <w:kern w:val="0"/>
          <w14:ligatures w14:val="none"/>
        </w:rPr>
      </w:pPr>
      <w:r w:rsidRPr="00767883">
        <w:rPr>
          <w:rFonts w:ascii="Times New Roman" w:hAnsi="Times New Roman" w:cs="Times New Roman"/>
          <w:b/>
          <w:bCs/>
          <w:color w:val="000000"/>
          <w:sz w:val="21"/>
          <w:szCs w:val="21"/>
        </w:rPr>
        <w:t>Supplementary data file inventory:</w:t>
      </w:r>
      <w:r w:rsidRPr="00767883">
        <w:rPr>
          <w:rFonts w:ascii="Times New Roman" w:hAnsi="Times New Roman" w:cs="Times New Roman"/>
          <w:color w:val="000000"/>
          <w:sz w:val="21"/>
          <w:szCs w:val="21"/>
        </w:rPr>
        <w:t xml:space="preserve"> The accompanying peer-review data files are: </w:t>
      </w:r>
      <w:r w:rsidRPr="00767883">
        <w:rPr>
          <w:rFonts w:ascii="Times New Roman" w:hAnsi="Times New Roman" w:cs="Times New Roman"/>
          <w:i/>
          <w:iCs/>
          <w:color w:val="000000"/>
          <w:sz w:val="21"/>
          <w:szCs w:val="21"/>
        </w:rPr>
        <w:t>Supplementary_Data_File_1_Search_Strategies.xlsx</w:t>
      </w:r>
      <w:r w:rsidRPr="00767883">
        <w:rPr>
          <w:rFonts w:ascii="Times New Roman" w:hAnsi="Times New Roman" w:cs="Times New Roman"/>
          <w:color w:val="000000"/>
          <w:sz w:val="21"/>
          <w:szCs w:val="21"/>
        </w:rPr>
        <w:t xml:space="preserve">; </w:t>
      </w:r>
      <w:r w:rsidRPr="00767883">
        <w:rPr>
          <w:rFonts w:ascii="Times New Roman" w:hAnsi="Times New Roman" w:cs="Times New Roman"/>
          <w:i/>
          <w:iCs/>
          <w:color w:val="000000"/>
          <w:sz w:val="21"/>
          <w:szCs w:val="21"/>
        </w:rPr>
        <w:t>Supplementary_Data_File_2_Review_Extraction.xlsx</w:t>
      </w:r>
      <w:r w:rsidRPr="00767883">
        <w:rPr>
          <w:rFonts w:ascii="Times New Roman" w:hAnsi="Times New Roman" w:cs="Times New Roman"/>
          <w:color w:val="000000"/>
          <w:sz w:val="21"/>
          <w:szCs w:val="21"/>
        </w:rPr>
        <w:t xml:space="preserve">; </w:t>
      </w:r>
      <w:r w:rsidRPr="00767883">
        <w:rPr>
          <w:rFonts w:ascii="Times New Roman" w:hAnsi="Times New Roman" w:cs="Times New Roman"/>
          <w:i/>
          <w:iCs/>
          <w:color w:val="000000"/>
          <w:sz w:val="21"/>
          <w:szCs w:val="21"/>
        </w:rPr>
        <w:t>Supplementary_Data_File_3_AMSTAR2_Item_Level_Ratings.xlsx</w:t>
      </w:r>
      <w:r w:rsidRPr="00767883">
        <w:rPr>
          <w:rFonts w:ascii="Times New Roman" w:hAnsi="Times New Roman" w:cs="Times New Roman"/>
          <w:color w:val="000000"/>
          <w:sz w:val="21"/>
          <w:szCs w:val="21"/>
        </w:rPr>
        <w:t xml:space="preserve">; </w:t>
      </w:r>
      <w:r w:rsidRPr="00767883">
        <w:rPr>
          <w:rFonts w:ascii="Times New Roman" w:hAnsi="Times New Roman" w:cs="Times New Roman"/>
          <w:i/>
          <w:iCs/>
          <w:color w:val="000000"/>
          <w:sz w:val="21"/>
          <w:szCs w:val="21"/>
        </w:rPr>
        <w:t>Supplementary_Data_File_4_Reviewer_Agreement_Conflict_Resolution.xlsx</w:t>
      </w:r>
      <w:r w:rsidRPr="00767883">
        <w:rPr>
          <w:rFonts w:ascii="Times New Roman" w:hAnsi="Times New Roman" w:cs="Times New Roman"/>
          <w:color w:val="000000"/>
          <w:sz w:val="21"/>
          <w:szCs w:val="21"/>
        </w:rPr>
        <w:t xml:space="preserve">; </w:t>
      </w:r>
      <w:r w:rsidRPr="00767883">
        <w:rPr>
          <w:rFonts w:ascii="Times New Roman" w:hAnsi="Times New Roman" w:cs="Times New Roman"/>
          <w:i/>
          <w:iCs/>
          <w:color w:val="000000"/>
          <w:sz w:val="21"/>
          <w:szCs w:val="21"/>
        </w:rPr>
        <w:t>Supplementary_Data_File_5_Primary_Study_Overlap_Matrix.xlsx</w:t>
      </w:r>
      <w:r w:rsidRPr="00767883">
        <w:rPr>
          <w:rFonts w:ascii="Times New Roman" w:hAnsi="Times New Roman" w:cs="Times New Roman"/>
          <w:color w:val="000000"/>
          <w:sz w:val="21"/>
          <w:szCs w:val="21"/>
        </w:rPr>
        <w:t xml:space="preserve">; </w:t>
      </w:r>
      <w:r w:rsidRPr="00767883">
        <w:rPr>
          <w:rFonts w:ascii="Times New Roman" w:hAnsi="Times New Roman" w:cs="Times New Roman"/>
          <w:i/>
          <w:iCs/>
          <w:color w:val="000000"/>
          <w:sz w:val="21"/>
          <w:szCs w:val="21"/>
        </w:rPr>
        <w:t>Supplementary_Data_File_6_CCA_wCCA_Calculations.xlsx</w:t>
      </w:r>
      <w:r w:rsidRPr="00767883">
        <w:rPr>
          <w:rFonts w:ascii="Times New Roman" w:hAnsi="Times New Roman" w:cs="Times New Roman"/>
          <w:color w:val="000000"/>
          <w:sz w:val="21"/>
          <w:szCs w:val="21"/>
        </w:rPr>
        <w:t xml:space="preserve">; and </w:t>
      </w:r>
      <w:r w:rsidRPr="00767883">
        <w:rPr>
          <w:rFonts w:ascii="Times New Roman" w:hAnsi="Times New Roman" w:cs="Times New Roman"/>
          <w:i/>
          <w:iCs/>
          <w:color w:val="000000"/>
          <w:sz w:val="21"/>
          <w:szCs w:val="21"/>
        </w:rPr>
        <w:t>Supplementary_Data_File_7_Evidence_Domain_Coding_Rules.xlsx</w:t>
      </w:r>
      <w:r w:rsidRPr="00767883">
        <w:rPr>
          <w:rFonts w:ascii="Times New Roman" w:hAnsi="Times New Roman" w:cs="Times New Roman"/>
          <w:color w:val="000000"/>
          <w:sz w:val="21"/>
          <w:szCs w:val="21"/>
        </w:rPr>
        <w:t>.</w:t>
      </w:r>
    </w:p>
    <w:p w14:paraId="54C055E2" w14:textId="77777777" w:rsidR="00E62E8F" w:rsidRDefault="00E62E8F">
      <w:pPr>
        <w:spacing w:line="300" w:lineRule="atLeast"/>
        <w:rPr>
          <w:kern w:val="0"/>
          <w14:ligatures w14:val="none"/>
        </w:rPr>
      </w:pPr>
      <w:r>
        <w:rPr>
          <w:rFonts w:ascii="Times New Roman" w:hAnsi="Times New Roman"/>
          <w:b/>
          <w:bCs/>
          <w:color w:val="000000"/>
          <w:sz w:val="21"/>
          <w:szCs w:val="21"/>
        </w:rPr>
        <w:lastRenderedPageBreak/>
        <w:t>Submission audit note:</w:t>
      </w:r>
      <w:r>
        <w:rPr>
          <w:rFonts w:ascii="Times New Roman" w:hAnsi="Times New Roman"/>
          <w:color w:val="000000"/>
          <w:sz w:val="21"/>
          <w:szCs w:val="21"/>
        </w:rPr>
        <w:t> Before submission, table numbering, Source Study IDs, AMSTAR 2 confidence labels, CCA/wCCA terminology, supplementary data-file names, and contextual-only material labels were reviewed for consistency. Duplicate evidentiary weight was minimized by treating domain-specific CCA as the operative overlap measure and by retaining exploratory wCCA only as a descriptive sensitivity analysis.</w:t>
      </w:r>
    </w:p>
    <w:p w14:paraId="0FE4D523" w14:textId="77777777" w:rsidR="00E62E8F" w:rsidRDefault="00E62E8F">
      <w:pPr>
        <w:spacing w:line="300" w:lineRule="atLeast"/>
        <w:rPr>
          <w:kern w:val="0"/>
          <w14:ligatures w14:val="none"/>
        </w:rPr>
      </w:pPr>
      <w:r>
        <w:rPr>
          <w:rFonts w:ascii="Times New Roman" w:hAnsi="Times New Roman"/>
          <w:b/>
          <w:bCs/>
          <w:color w:val="000000"/>
          <w:sz w:val="21"/>
          <w:szCs w:val="21"/>
        </w:rPr>
        <w:t>Reproducibility note:</w:t>
      </w:r>
      <w:r>
        <w:rPr>
          <w:rFonts w:ascii="Times New Roman" w:hAnsi="Times New Roman"/>
          <w:color w:val="000000"/>
          <w:sz w:val="21"/>
          <w:szCs w:val="21"/>
        </w:rPr>
        <w:t> The review-level extraction file (</w:t>
      </w:r>
      <w:r>
        <w:rPr>
          <w:rFonts w:ascii="Times New Roman" w:hAnsi="Times New Roman"/>
          <w:i/>
          <w:iCs/>
          <w:color w:val="000000"/>
          <w:sz w:val="21"/>
          <w:szCs w:val="21"/>
        </w:rPr>
        <w:t>Supplementary_Data_File_2_Review_Extraction.xlsx</w:t>
      </w:r>
      <w:r>
        <w:rPr>
          <w:rFonts w:ascii="Times New Roman" w:hAnsi="Times New Roman"/>
          <w:color w:val="000000"/>
          <w:sz w:val="21"/>
          <w:szCs w:val="21"/>
        </w:rPr>
        <w:t>), AMSTAR 2 item-level ratings (</w:t>
      </w:r>
      <w:r>
        <w:rPr>
          <w:rFonts w:ascii="Times New Roman" w:hAnsi="Times New Roman"/>
          <w:i/>
          <w:iCs/>
          <w:color w:val="000000"/>
          <w:sz w:val="21"/>
          <w:szCs w:val="21"/>
        </w:rPr>
        <w:t>Supplementary_Data_File_3_AMSTAR2_Item_Level_Ratings.xlsx</w:t>
      </w:r>
      <w:r>
        <w:rPr>
          <w:rFonts w:ascii="Times New Roman" w:hAnsi="Times New Roman"/>
          <w:color w:val="000000"/>
          <w:sz w:val="21"/>
          <w:szCs w:val="21"/>
        </w:rPr>
        <w:t>), reviewer agreement and conflict-resolution notes (</w:t>
      </w:r>
      <w:r>
        <w:rPr>
          <w:rFonts w:ascii="Times New Roman" w:hAnsi="Times New Roman"/>
          <w:i/>
          <w:iCs/>
          <w:color w:val="000000"/>
          <w:sz w:val="21"/>
          <w:szCs w:val="21"/>
        </w:rPr>
        <w:t>Supplementary_Data_File_4_Reviewer_Agreement_Conflict_Resolution.xlsx</w:t>
      </w:r>
      <w:r>
        <w:rPr>
          <w:rFonts w:ascii="Times New Roman" w:hAnsi="Times New Roman"/>
          <w:color w:val="000000"/>
          <w:sz w:val="21"/>
          <w:szCs w:val="21"/>
        </w:rPr>
        <w:t>), primary-study overlap matrix (</w:t>
      </w:r>
      <w:r>
        <w:rPr>
          <w:rFonts w:ascii="Times New Roman" w:hAnsi="Times New Roman"/>
          <w:i/>
          <w:iCs/>
          <w:color w:val="000000"/>
          <w:sz w:val="21"/>
          <w:szCs w:val="21"/>
        </w:rPr>
        <w:t>Supplementary_Data_File_5_Primary_Study_Overlap_Matrix.xlsx</w:t>
      </w:r>
      <w:r>
        <w:rPr>
          <w:rFonts w:ascii="Times New Roman" w:hAnsi="Times New Roman"/>
          <w:color w:val="000000"/>
          <w:sz w:val="21"/>
          <w:szCs w:val="21"/>
        </w:rPr>
        <w:t>), exact CCA and exploratory wCCA calculations (</w:t>
      </w:r>
      <w:r>
        <w:rPr>
          <w:rFonts w:ascii="Times New Roman" w:hAnsi="Times New Roman"/>
          <w:i/>
          <w:iCs/>
          <w:color w:val="000000"/>
          <w:sz w:val="21"/>
          <w:szCs w:val="21"/>
        </w:rPr>
        <w:t>Supplementary_Data_File_6_CCA_wCCA_Calculations.xlsx</w:t>
      </w:r>
      <w:r>
        <w:rPr>
          <w:rFonts w:ascii="Times New Roman" w:hAnsi="Times New Roman"/>
          <w:color w:val="000000"/>
          <w:sz w:val="21"/>
          <w:szCs w:val="21"/>
        </w:rPr>
        <w:t>), and evidence-domain coding rules (</w:t>
      </w:r>
      <w:r>
        <w:rPr>
          <w:rFonts w:ascii="Times New Roman" w:hAnsi="Times New Roman"/>
          <w:i/>
          <w:iCs/>
          <w:color w:val="000000"/>
          <w:sz w:val="21"/>
          <w:szCs w:val="21"/>
        </w:rPr>
        <w:t>Supplementary_Data_File_7_Evidence_Domain_Coding_Rules.xlsx</w:t>
      </w:r>
      <w:r>
        <w:rPr>
          <w:rFonts w:ascii="Times New Roman" w:hAnsi="Times New Roman"/>
          <w:color w:val="000000"/>
          <w:sz w:val="21"/>
          <w:szCs w:val="21"/>
        </w:rPr>
        <w:t>) are provided as supplementary peer-review materials to allow independent reproduction of the overlap calculations and evidence-category decisions.</w:t>
      </w:r>
    </w:p>
    <w:p w14:paraId="4CEA60B7" w14:textId="77777777" w:rsidR="00B07C9E" w:rsidRDefault="00B07C9E">
      <w:pPr>
        <w:rPr>
          <w:kern w:val="0"/>
          <w14:ligatures w14:val="none"/>
        </w:rPr>
      </w:pPr>
      <w:r>
        <w:rPr>
          <w:rFonts w:ascii="Times New Roman" w:hAnsi="Times New Roman"/>
          <w:b/>
          <w:bCs/>
          <w:color w:val="000000"/>
          <w:sz w:val="36"/>
          <w:szCs w:val="36"/>
        </w:rPr>
        <w:t>Supplementary Methods: Exploratory AMSTAR 2-weighted CCA sensitivity analysis</w:t>
      </w:r>
    </w:p>
    <w:p w14:paraId="1C404160" w14:textId="77777777" w:rsidR="00B07C9E" w:rsidRDefault="00B07C9E">
      <w:pPr>
        <w:spacing w:line="300" w:lineRule="atLeast"/>
        <w:rPr>
          <w:kern w:val="0"/>
          <w14:ligatures w14:val="none"/>
        </w:rPr>
      </w:pPr>
      <w:r>
        <w:rPr>
          <w:rFonts w:ascii="Times New Roman" w:hAnsi="Times New Roman"/>
          <w:color w:val="000000"/>
          <w:sz w:val="21"/>
          <w:szCs w:val="21"/>
        </w:rPr>
        <w:t>As a supplementary sensitivity exercise, we calculated an exploratory AMSTAR 2-weighted corrected covered area (wCCA) to examine whether overlap patterns were materially influenced by repeated inclusion of lower-confidence reviews. Review occurrences were weighted using pragmatic AMSTAR 2-based weights. This approach was author-defined, nonstandard, and not externally validated. Therefore, wCCA was interpreted only descriptively and was not used to assign, upgrade, downgrade, or otherwise modify evidence categories. Evidence-category assignment was based on standard domain-specific CCA, AMSTAR 2 confidence, phenotype directness, outcome relevance, consistency, safety, durability, implementation relevance, and nonredundant contribution.</w:t>
      </w:r>
    </w:p>
    <w:p w14:paraId="2FEF8C25" w14:textId="77777777" w:rsidR="00F671DE" w:rsidRPr="00767883" w:rsidRDefault="00F671DE" w:rsidP="00F671DE">
      <w:pPr>
        <w:spacing w:before="100" w:beforeAutospacing="1" w:after="100" w:afterAutospacing="1" w:line="300" w:lineRule="atLeast"/>
        <w:outlineLvl w:val="0"/>
        <w:rPr>
          <w:rFonts w:ascii="Times New Roman" w:eastAsia="Times New Roman" w:hAnsi="Times New Roman" w:cs="Times New Roman"/>
          <w:b/>
          <w:bCs/>
          <w:color w:val="000000"/>
          <w:kern w:val="36"/>
          <w:sz w:val="48"/>
          <w:szCs w:val="48"/>
          <w:lang w:val="en-MX"/>
          <w14:ligatures w14:val="none"/>
        </w:rPr>
      </w:pPr>
      <w:r w:rsidRPr="00767883">
        <w:rPr>
          <w:rFonts w:ascii="Times New Roman" w:eastAsia="Times New Roman" w:hAnsi="Times New Roman" w:cs="Times New Roman"/>
          <w:b/>
          <w:bCs/>
          <w:color w:val="000000"/>
          <w:kern w:val="36"/>
          <w:sz w:val="48"/>
          <w:szCs w:val="48"/>
          <w:lang w:val="en-MX"/>
          <w14:ligatures w14:val="none"/>
        </w:rPr>
        <w:t>Supplementary Appendix 1</w:t>
      </w:r>
    </w:p>
    <w:p w14:paraId="13E02BB4"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S1. Population, intervention, comparator, outcome, and study design (PICOS) eligibility framework</w:t>
      </w:r>
    </w:p>
    <w:tbl>
      <w:tblPr>
        <w:tblStyle w:val="TableGrid"/>
        <w:tblW w:w="5000" w:type="pct"/>
        <w:tblLook w:val="04A0" w:firstRow="1" w:lastRow="0" w:firstColumn="1" w:lastColumn="0" w:noHBand="0" w:noVBand="1"/>
      </w:tblPr>
      <w:tblGrid>
        <w:gridCol w:w="1509"/>
        <w:gridCol w:w="7478"/>
      </w:tblGrid>
      <w:tr w:rsidR="006B06D5" w:rsidRPr="00767883" w14:paraId="0837A5DA"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577B4AA8" w14:textId="77777777" w:rsidR="006B06D5" w:rsidRPr="00767883" w:rsidRDefault="006B06D5">
            <w:pPr>
              <w:jc w:val="center"/>
              <w:rPr>
                <w:rFonts w:ascii="Times New Roman" w:hAnsi="Times New Roman" w:cs="Times New Roman"/>
                <w:kern w:val="0"/>
                <w14:ligatures w14:val="none"/>
              </w:rPr>
            </w:pPr>
            <w:r w:rsidRPr="00767883">
              <w:rPr>
                <w:rFonts w:ascii="Times New Roman" w:hAnsi="Times New Roman" w:cs="Times New Roman"/>
                <w:b/>
                <w:bCs/>
                <w:color w:val="000000"/>
                <w:sz w:val="24"/>
                <w:szCs w:val="24"/>
              </w:rPr>
              <w:t>PICOS element</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2FEBE832" w14:textId="77777777" w:rsidR="006B06D5" w:rsidRPr="00767883" w:rsidRDefault="006B06D5">
            <w:pPr>
              <w:jc w:val="center"/>
              <w:rPr>
                <w:rFonts w:ascii="Times New Roman" w:hAnsi="Times New Roman" w:cs="Times New Roman"/>
              </w:rPr>
            </w:pPr>
            <w:r w:rsidRPr="00767883">
              <w:rPr>
                <w:rFonts w:ascii="Times New Roman" w:hAnsi="Times New Roman" w:cs="Times New Roman"/>
                <w:b/>
                <w:bCs/>
                <w:color w:val="000000"/>
                <w:sz w:val="24"/>
                <w:szCs w:val="24"/>
              </w:rPr>
              <w:t>Eligibility rule</w:t>
            </w:r>
          </w:p>
        </w:tc>
      </w:tr>
      <w:tr w:rsidR="006B06D5" w:rsidRPr="00767883" w14:paraId="6257936F"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9E24DF2"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Population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9D52E21"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Adults with center-involving diabetic macular edema (CI-DME), nonproliferative diabetic retinopathy (NPDR), or proliferative diabetic retinopathy (PDR). Mixed retinal-disease reviews were eligible only when diabetic retinopathy (DR)/diabetic macular edema (DME) data were separable or central to the conclusion. Pediatric, non-diabetic retinal disease, and non-retinal diabetes-complication reviews were excluded.</w:t>
            </w:r>
          </w:p>
        </w:tc>
      </w:tr>
      <w:tr w:rsidR="006B06D5" w:rsidRPr="00767883" w14:paraId="181A046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4BFF54C"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Interventions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33234A2"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 xml:space="preserve">Anti-vascular endothelial growth factor (anti-VEGF) therapy, corticosteroids or implants, switching strategies, laser or panretinal photocoagulation (PRP) combinations, fenofibrate or other DR-relevant </w:t>
            </w:r>
            <w:r w:rsidRPr="00767883">
              <w:rPr>
                <w:rFonts w:ascii="Times New Roman" w:hAnsi="Times New Roman" w:cs="Times New Roman"/>
                <w:sz w:val="24"/>
                <w:szCs w:val="24"/>
              </w:rPr>
              <w:lastRenderedPageBreak/>
              <w:t>systemic adjuncts, and sustained-delivery strategies when supported by mature eligible review-level evidence.</w:t>
            </w:r>
          </w:p>
        </w:tc>
      </w:tr>
      <w:tr w:rsidR="006B06D5" w:rsidRPr="00767883" w14:paraId="3F0B5A3F"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9274C7E"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lastRenderedPageBreak/>
              <w:t>Comparators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3AE4149"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Laser, sham, observation, no treatment, alternative anti-VEGF agents, corticosteroids or implants, PRP, combination therapy, or alternative dosing strategies. Indirect comparisons were eligible when methods and outcomes were explicit.</w:t>
            </w:r>
          </w:p>
        </w:tc>
      </w:tr>
      <w:tr w:rsidR="006B06D5" w:rsidRPr="00767883" w14:paraId="39CF4CE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191FCBA"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Outcomes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8993D3E"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Visual outcomes were prioritized. Anatomical, Diabetic Retinopathy Severity Scale (DRSS), progression, burden, durability, ocular safety, systemic safety, and real-world outcomes were retained when clinically relevant. Central subfield thickness (CST), central retinal thickness (CRT), and central macular thickness (CMT) were harmonized when they referred to the same optical coherence tomography (OCT) construct.</w:t>
            </w:r>
          </w:p>
        </w:tc>
      </w:tr>
      <w:tr w:rsidR="006B06D5" w:rsidRPr="00767883" w14:paraId="77878532"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0C67B3B"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Study design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972788D"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Eligible designs were systematic reviews, meta-analyses, network meta-analyses, Cochrane reviews, and health technology assessments (HTAs) with explicit search methods. Narrative reviews, commentaries, letters, case reports, single primary trials, and non-peer-reviewed sources were excluded from the umbrella-review hierarchy unless cited only as contextual background.</w:t>
            </w:r>
          </w:p>
        </w:tc>
      </w:tr>
      <w:tr w:rsidR="006B06D5" w:rsidRPr="00767883" w14:paraId="2AC48546"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50DD669"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Quality and overlap</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EE74EBE" w14:textId="20FC0025" w:rsidR="006B06D5" w:rsidRPr="00767883" w:rsidRDefault="00000000" w:rsidP="00C202ED">
            <w:pPr>
              <w:rPr>
                <w:rFonts w:ascii="Times New Roman" w:hAnsi="Times New Roman" w:cs="Times New Roman"/>
                <w:lang w:val="en-MX"/>
              </w:rPr>
            </w:pPr>
            <w:r w:rsidRPr="00767883">
              <w:rPr>
                <w:rFonts w:ascii="Times New Roman" w:hAnsi="Times New Roman" w:cs="Times New Roman"/>
                <w:sz w:val="24"/>
                <w:szCs w:val="24"/>
              </w:rPr>
              <w:t xml:space="preserve">High- or moderate-confidence reviews could serve as primary interpretive reviews when clinically direct and nonredundant. Low or critically low reviews contributed only contextual </w:t>
            </w:r>
            <w:r w:rsidR="00C202ED" w:rsidRPr="00767883">
              <w:rPr>
                <w:rFonts w:ascii="Times New Roman" w:hAnsi="Times New Roman" w:cs="Times New Roman"/>
                <w:sz w:val="24"/>
                <w:szCs w:val="24"/>
              </w:rPr>
              <w:t>information</w:t>
            </w:r>
            <w:r w:rsidRPr="00767883">
              <w:rPr>
                <w:rFonts w:ascii="Times New Roman" w:hAnsi="Times New Roman" w:cs="Times New Roman"/>
                <w:sz w:val="24"/>
                <w:szCs w:val="24"/>
              </w:rPr>
              <w:t xml:space="preserve"> when they added unique safety, subgroup, durability, real-world, burden, or implementation information.</w:t>
            </w:r>
          </w:p>
        </w:tc>
      </w:tr>
    </w:tbl>
    <w:p w14:paraId="6C76A931" w14:textId="77777777" w:rsidR="00F671DE" w:rsidRPr="00767883" w:rsidRDefault="00F671DE" w:rsidP="00F671DE">
      <w:pPr>
        <w:spacing w:before="100" w:beforeAutospacing="1" w:after="100" w:afterAutospacing="1" w:line="300" w:lineRule="atLeast"/>
        <w:rPr>
          <w:rFonts w:ascii="Times New Roman" w:eastAsia="Times New Roman" w:hAnsi="Times New Roman" w:cs="Times New Roman"/>
          <w:color w:val="000000"/>
          <w:kern w:val="0"/>
          <w:sz w:val="21"/>
          <w:szCs w:val="21"/>
          <w:lang w:val="en-MX"/>
          <w14:ligatures w14:val="none"/>
        </w:rPr>
      </w:pPr>
      <w:r w:rsidRPr="00767883">
        <w:rPr>
          <w:rFonts w:ascii="Times New Roman" w:eastAsia="Times New Roman" w:hAnsi="Times New Roman" w:cs="Times New Roman"/>
          <w:b/>
          <w:bCs/>
          <w:color w:val="000000"/>
          <w:kern w:val="0"/>
          <w:sz w:val="21"/>
          <w:szCs w:val="21"/>
          <w:lang w:val="en-MX"/>
          <w14:ligatures w14:val="none"/>
        </w:rPr>
        <w:t>PROSPERO note:</w:t>
      </w:r>
      <w:r w:rsidRPr="00767883">
        <w:rPr>
          <w:rFonts w:ascii="Times New Roman" w:eastAsia="Times New Roman" w:hAnsi="Times New Roman" w:cs="Times New Roman"/>
          <w:color w:val="000000"/>
          <w:kern w:val="0"/>
          <w:sz w:val="21"/>
          <w:szCs w:val="21"/>
          <w:lang w:val="en-MX"/>
          <w14:ligatures w14:val="none"/>
        </w:rPr>
        <w:t> The PICOS framework was prespecified in PROSPERO (CRD420261423201) and applied to screening, extraction, AMSTAR 2 appraisal, overlap assessment, and narrative synthesis [15–17].</w:t>
      </w:r>
    </w:p>
    <w:p w14:paraId="1F45A973" w14:textId="76621015"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4E8262F0"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S1A. PROSPERO registration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9"/>
        <w:gridCol w:w="7268"/>
      </w:tblGrid>
      <w:tr w:rsidR="00F671DE" w:rsidRPr="00767883" w14:paraId="348C10B0"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B1A79EF" w14:textId="77777777" w:rsidR="00F671DE" w:rsidRPr="00767883" w:rsidRDefault="00F671DE" w:rsidP="00F671DE">
            <w:pPr>
              <w:spacing w:after="0" w:line="240" w:lineRule="auto"/>
              <w:jc w:val="center"/>
              <w:rPr>
                <w:rFonts w:ascii="Times New Roman" w:eastAsia="Times New Roman" w:hAnsi="Times New Roman" w:cs="Times New Roman"/>
                <w:b/>
                <w:bCs/>
                <w:kern w:val="0"/>
                <w:sz w:val="24"/>
                <w:szCs w:val="24"/>
                <w:lang w:val="en-MX"/>
                <w14:ligatures w14:val="none"/>
              </w:rPr>
            </w:pPr>
            <w:r w:rsidRPr="00767883">
              <w:rPr>
                <w:rFonts w:ascii="Times New Roman" w:eastAsia="Times New Roman" w:hAnsi="Times New Roman" w:cs="Times New Roman"/>
                <w:b/>
                <w:bCs/>
                <w:kern w:val="0"/>
                <w:sz w:val="24"/>
                <w:szCs w:val="24"/>
                <w:lang w:val="en-MX"/>
                <w14:ligatures w14:val="none"/>
              </w:rPr>
              <w:t>Registration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1C4C37B" w14:textId="77777777" w:rsidR="00F671DE" w:rsidRPr="00767883" w:rsidRDefault="00F671DE" w:rsidP="00F671DE">
            <w:pPr>
              <w:spacing w:after="0" w:line="240" w:lineRule="auto"/>
              <w:jc w:val="center"/>
              <w:rPr>
                <w:rFonts w:ascii="Times New Roman" w:eastAsia="Times New Roman" w:hAnsi="Times New Roman" w:cs="Times New Roman"/>
                <w:b/>
                <w:bCs/>
                <w:kern w:val="0"/>
                <w:sz w:val="24"/>
                <w:szCs w:val="24"/>
                <w:lang w:val="en-MX"/>
                <w14:ligatures w14:val="none"/>
              </w:rPr>
            </w:pPr>
            <w:r w:rsidRPr="00767883">
              <w:rPr>
                <w:rFonts w:ascii="Times New Roman" w:eastAsia="Times New Roman" w:hAnsi="Times New Roman" w:cs="Times New Roman"/>
                <w:b/>
                <w:bCs/>
                <w:kern w:val="0"/>
                <w:sz w:val="24"/>
                <w:szCs w:val="24"/>
                <w:lang w:val="en-MX"/>
                <w14:ligatures w14:val="none"/>
              </w:rPr>
              <w:t>Summary</w:t>
            </w:r>
          </w:p>
        </w:tc>
      </w:tr>
      <w:tr w:rsidR="00F671DE" w:rsidRPr="00767883" w14:paraId="0BF6812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C6902F4"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Registry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A354BB"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PROSPERO; CRD420261423201.</w:t>
            </w:r>
          </w:p>
        </w:tc>
      </w:tr>
      <w:tr w:rsidR="00F671DE" w:rsidRPr="00767883" w14:paraId="20FCADF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AC541E9"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Registered design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7E3679"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Umbrella review of pharmacologic interventions for diabetic macular edema and diabetic retinopathy, with planned attention to overlapping review-level evidence.</w:t>
            </w:r>
          </w:p>
        </w:tc>
      </w:tr>
      <w:tr w:rsidR="00F671DE" w:rsidRPr="00767883" w14:paraId="1D97E32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AA35FF"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Eligibility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E62EA2"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Adults with CI-DME, NPDR, or PDR; eligible review-level designs; pharmacologic, steroid, implant, combination, systemic adjunctive, or sustained-delivery strategies when supported by review-level evidence.</w:t>
            </w:r>
          </w:p>
        </w:tc>
      </w:tr>
      <w:tr w:rsidR="00F671DE" w:rsidRPr="00767883" w14:paraId="6D3DB6B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6F14081"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Prespecified methods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4474B2"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Study selection, extraction, AMSTAR 2 appraisal, CCA overlap assessment, and narrative review-level synthesis.</w:t>
            </w:r>
          </w:p>
        </w:tc>
      </w:tr>
      <w:tr w:rsidR="00F671DE" w:rsidRPr="00767883" w14:paraId="5383491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977374"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lastRenderedPageBreak/>
              <w:t>Implementation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35156A"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The framework guided screening, extraction, quality appraisal, overlap mapping, primary interpretive review selection, and conclusion-level interpretation.</w:t>
            </w:r>
          </w:p>
        </w:tc>
      </w:tr>
      <w:tr w:rsidR="00F671DE" w:rsidRPr="00767883" w14:paraId="3A89FFA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98D3EB"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PDS handling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06DE45" w14:textId="3BAD5BEE" w:rsidR="00F671DE" w:rsidRPr="00F64F84" w:rsidRDefault="00F64F84" w:rsidP="00F64F84">
            <w:pPr>
              <w:spacing w:after="0"/>
              <w:rPr>
                <w:rFonts w:ascii="Times New Roman" w:eastAsia="Times New Roman" w:hAnsi="Times New Roman" w:cs="Times New Roman"/>
                <w:kern w:val="0"/>
                <w:sz w:val="24"/>
                <w:szCs w:val="24"/>
                <w:lang w:val="en-MX"/>
                <w14:ligatures w14:val="none"/>
              </w:rPr>
            </w:pPr>
            <w:r>
              <w:rPr>
                <w:rFonts w:ascii="Times New Roman" w:hAnsi="Times New Roman"/>
                <w:sz w:val="24"/>
                <w:szCs w:val="24"/>
              </w:rPr>
              <w:t>PDS contextual material, including ClinicalTrials.gov trial-registry records, was retained only as contextual sustained-delivery background because no mature eligible DME/DR review-level synthesis was available at the final search date. PDS was not assigned an umbrella-review evidence category. PDS contextual material did not contribute to AMSTAR 2 ratings, CCA/wCCA calculations, evidence-category assignment, or the 50-review hierarchy unless it met review-level eligibility criteria.</w:t>
            </w:r>
          </w:p>
        </w:tc>
      </w:tr>
      <w:tr w:rsidR="00F671DE" w:rsidRPr="00767883" w14:paraId="1C6C865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220DAC"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Role in interpretation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73756C" w14:textId="77777777" w:rsidR="00F671DE" w:rsidRPr="00767883" w:rsidRDefault="00F671DE" w:rsidP="00F671DE">
            <w:pPr>
              <w:spacing w:after="0" w:line="240" w:lineRule="auto"/>
              <w:rPr>
                <w:rFonts w:ascii="Times New Roman" w:eastAsia="Times New Roman" w:hAnsi="Times New Roman" w:cs="Times New Roman"/>
                <w:kern w:val="0"/>
                <w:sz w:val="24"/>
                <w:szCs w:val="24"/>
                <w:lang w:val="en-MX"/>
                <w14:ligatures w14:val="none"/>
              </w:rPr>
            </w:pPr>
            <w:r w:rsidRPr="00767883">
              <w:rPr>
                <w:rFonts w:ascii="Times New Roman" w:eastAsia="Times New Roman" w:hAnsi="Times New Roman" w:cs="Times New Roman"/>
                <w:kern w:val="0"/>
                <w:sz w:val="24"/>
                <w:szCs w:val="24"/>
                <w:lang w:val="en-MX"/>
                <w14:ligatures w14:val="none"/>
              </w:rPr>
              <w:t>Provides transparency for eligibility, methodological confidence, overlap, and PDS contextual handling.</w:t>
            </w:r>
          </w:p>
        </w:tc>
      </w:tr>
    </w:tbl>
    <w:p w14:paraId="0A6A130B" w14:textId="2B0FFEF9"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22694E43"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S1B. Search concepts, result counts, and Boolean-string availability</w:t>
      </w:r>
    </w:p>
    <w:tbl>
      <w:tblPr>
        <w:tblStyle w:val="TableGrid"/>
        <w:tblW w:w="5000" w:type="pct"/>
        <w:tblLook w:val="04A0" w:firstRow="1" w:lastRow="0" w:firstColumn="1" w:lastColumn="0" w:noHBand="0" w:noVBand="1"/>
      </w:tblPr>
      <w:tblGrid>
        <w:gridCol w:w="1852"/>
        <w:gridCol w:w="1556"/>
        <w:gridCol w:w="3034"/>
        <w:gridCol w:w="2545"/>
      </w:tblGrid>
      <w:tr w:rsidR="006B06D5" w:rsidRPr="00767883" w14:paraId="7C97E205"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50A686C2" w14:textId="77777777" w:rsidR="006B06D5" w:rsidRPr="00767883" w:rsidRDefault="006B06D5">
            <w:pPr>
              <w:jc w:val="center"/>
              <w:rPr>
                <w:rFonts w:ascii="Times New Roman" w:hAnsi="Times New Roman" w:cs="Times New Roman"/>
                <w:kern w:val="0"/>
                <w14:ligatures w14:val="none"/>
              </w:rPr>
            </w:pPr>
            <w:r w:rsidRPr="00767883">
              <w:rPr>
                <w:rFonts w:ascii="Times New Roman" w:hAnsi="Times New Roman" w:cs="Times New Roman"/>
                <w:b/>
                <w:bCs/>
                <w:color w:val="000000"/>
                <w:sz w:val="24"/>
                <w:szCs w:val="24"/>
              </w:rPr>
              <w:t>Source</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F8CA435" w14:textId="77777777" w:rsidR="006B06D5" w:rsidRPr="00767883" w:rsidRDefault="006B06D5">
            <w:pPr>
              <w:jc w:val="center"/>
              <w:rPr>
                <w:rFonts w:ascii="Times New Roman" w:hAnsi="Times New Roman" w:cs="Times New Roman"/>
              </w:rPr>
            </w:pPr>
            <w:r w:rsidRPr="00767883">
              <w:rPr>
                <w:rFonts w:ascii="Times New Roman" w:hAnsi="Times New Roman" w:cs="Times New Roman"/>
                <w:b/>
                <w:bCs/>
                <w:color w:val="000000"/>
                <w:sz w:val="24"/>
                <w:szCs w:val="24"/>
              </w:rPr>
              <w:t>Search type</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1845606" w14:textId="77777777" w:rsidR="006B06D5" w:rsidRPr="00767883" w:rsidRDefault="006B06D5">
            <w:pPr>
              <w:jc w:val="center"/>
              <w:rPr>
                <w:rFonts w:ascii="Times New Roman" w:hAnsi="Times New Roman" w:cs="Times New Roman"/>
              </w:rPr>
            </w:pPr>
            <w:r w:rsidRPr="00767883">
              <w:rPr>
                <w:rFonts w:ascii="Times New Roman" w:hAnsi="Times New Roman" w:cs="Times New Roman"/>
                <w:b/>
                <w:bCs/>
                <w:color w:val="000000"/>
                <w:sz w:val="24"/>
                <w:szCs w:val="24"/>
              </w:rPr>
              <w:t>Search concept</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CE51D09" w14:textId="77777777" w:rsidR="006B06D5" w:rsidRPr="00767883" w:rsidRDefault="006B06D5">
            <w:pPr>
              <w:jc w:val="center"/>
              <w:rPr>
                <w:rFonts w:ascii="Times New Roman" w:hAnsi="Times New Roman" w:cs="Times New Roman"/>
              </w:rPr>
            </w:pPr>
            <w:r w:rsidRPr="00767883">
              <w:rPr>
                <w:rFonts w:ascii="Times New Roman" w:hAnsi="Times New Roman" w:cs="Times New Roman"/>
                <w:b/>
                <w:bCs/>
                <w:color w:val="000000"/>
                <w:sz w:val="24"/>
                <w:szCs w:val="24"/>
              </w:rPr>
              <w:t>Result</w:t>
            </w:r>
          </w:p>
        </w:tc>
      </w:tr>
      <w:tr w:rsidR="006B06D5" w:rsidRPr="00767883" w14:paraId="3F0F1128"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9C6CE7A"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PubMed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AEC177C"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Main search, 24/05/2026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E4D9883"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DME/DR terms AND pharmacologic or sustained-delivery intervention terms AND review-level design terms; animals-only records excluded.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1E0905D"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426</w:t>
            </w:r>
          </w:p>
        </w:tc>
      </w:tr>
      <w:tr w:rsidR="006B06D5" w:rsidRPr="00767883" w14:paraId="6AC4A5B3"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0120F69"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PubMed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FE60DDB" w14:textId="319EC2FF" w:rsidR="006B06D5" w:rsidRPr="00767883" w:rsidRDefault="00767883" w:rsidP="00767883">
            <w:pPr>
              <w:rPr>
                <w:rFonts w:ascii="Times New Roman" w:hAnsi="Times New Roman" w:cs="Times New Roman"/>
                <w:kern w:val="0"/>
                <w14:ligatures w14:val="none"/>
              </w:rPr>
            </w:pPr>
            <w:r w:rsidRPr="00767883">
              <w:rPr>
                <w:rFonts w:ascii="Times New Roman" w:hAnsi="Times New Roman" w:cs="Times New Roman"/>
                <w:sz w:val="24"/>
                <w:szCs w:val="24"/>
              </w:rPr>
              <w:t>PDS contextual-material search, 24/05/2026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7AE54D1"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 xml:space="preserve">Port Delivery System, PDS, </w:t>
            </w:r>
            <w:proofErr w:type="spellStart"/>
            <w:r w:rsidRPr="00767883">
              <w:rPr>
                <w:rFonts w:ascii="Times New Roman" w:hAnsi="Times New Roman" w:cs="Times New Roman"/>
                <w:sz w:val="24"/>
                <w:szCs w:val="24"/>
              </w:rPr>
              <w:t>Susvimo</w:t>
            </w:r>
            <w:proofErr w:type="spellEnd"/>
            <w:r w:rsidRPr="00767883">
              <w:rPr>
                <w:rFonts w:ascii="Times New Roman" w:hAnsi="Times New Roman" w:cs="Times New Roman"/>
                <w:sz w:val="24"/>
                <w:szCs w:val="24"/>
              </w:rPr>
              <w:t>, PAGODA, or PAVILION terms combined with DME/DR terms.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5F889A0"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39</w:t>
            </w:r>
          </w:p>
        </w:tc>
      </w:tr>
      <w:tr w:rsidR="006B06D5" w:rsidRPr="00767883" w14:paraId="58832382"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515B76B"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Cochrane Library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D2A5337"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Main search, 24/05/2026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BC772E5"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DME/DR MeSH and keyword terms combined with anti-VEGF, steroid, implant, sustained-delivery, and review-level design terms.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D8F963C" w14:textId="2EB86099" w:rsidR="006B06D5" w:rsidRPr="00B55C6D" w:rsidRDefault="00B55C6D" w:rsidP="00B55C6D">
            <w:pPr>
              <w:rPr>
                <w:rFonts w:ascii="Times New Roman" w:hAnsi="Times New Roman" w:cs="Times New Roman"/>
                <w:kern w:val="0"/>
                <w14:ligatures w14:val="none"/>
              </w:rPr>
            </w:pPr>
            <w:r>
              <w:rPr>
                <w:rFonts w:ascii="Times New Roman" w:hAnsi="Times New Roman"/>
                <w:sz w:val="24"/>
                <w:szCs w:val="24"/>
              </w:rPr>
              <w:t>43 total records; 30 trials and 13 eligible review-level records</w:t>
            </w:r>
          </w:p>
        </w:tc>
      </w:tr>
      <w:tr w:rsidR="006B06D5" w:rsidRPr="00767883" w14:paraId="26631880"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9F61668"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Epistemonikos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0C66800"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Main search, 24/05/2026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690A822"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DME/DR terms combined with anti-VEGF, steroid, sustained-delivery, and review-level design terms.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68EFBEA"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475</w:t>
            </w:r>
          </w:p>
        </w:tc>
      </w:tr>
      <w:tr w:rsidR="006B06D5" w:rsidRPr="00767883" w14:paraId="41638A9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2AFADD5"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t>Epistemonikos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8AC9B38" w14:textId="3CD3AF59" w:rsidR="006B06D5" w:rsidRPr="00767883" w:rsidRDefault="00767883" w:rsidP="00767883">
            <w:pPr>
              <w:rPr>
                <w:rFonts w:ascii="Times New Roman" w:hAnsi="Times New Roman" w:cs="Times New Roman"/>
                <w:kern w:val="0"/>
                <w14:ligatures w14:val="none"/>
              </w:rPr>
            </w:pPr>
            <w:r w:rsidRPr="00767883">
              <w:rPr>
                <w:rFonts w:ascii="Times New Roman" w:hAnsi="Times New Roman" w:cs="Times New Roman"/>
                <w:sz w:val="24"/>
                <w:szCs w:val="24"/>
              </w:rPr>
              <w:t>PDS contextual-</w:t>
            </w:r>
            <w:r w:rsidRPr="00767883">
              <w:rPr>
                <w:rFonts w:ascii="Times New Roman" w:hAnsi="Times New Roman" w:cs="Times New Roman"/>
                <w:sz w:val="24"/>
                <w:szCs w:val="24"/>
              </w:rPr>
              <w:lastRenderedPageBreak/>
              <w:t>material search, 24/05/2026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0CBA130"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lastRenderedPageBreak/>
              <w:t xml:space="preserve">DME/DR terms combined with Port Delivery System, </w:t>
            </w:r>
            <w:proofErr w:type="spellStart"/>
            <w:r w:rsidRPr="00767883">
              <w:rPr>
                <w:rFonts w:ascii="Times New Roman" w:hAnsi="Times New Roman" w:cs="Times New Roman"/>
                <w:sz w:val="24"/>
                <w:szCs w:val="24"/>
              </w:rPr>
              <w:lastRenderedPageBreak/>
              <w:t>Susvimo</w:t>
            </w:r>
            <w:proofErr w:type="spellEnd"/>
            <w:r w:rsidRPr="00767883">
              <w:rPr>
                <w:rFonts w:ascii="Times New Roman" w:hAnsi="Times New Roman" w:cs="Times New Roman"/>
                <w:sz w:val="24"/>
                <w:szCs w:val="24"/>
              </w:rPr>
              <w:t>, ranibizumab port delivery, PAGODA, or PAVILION terms.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EF39337" w14:textId="77777777" w:rsidR="006B06D5" w:rsidRPr="00767883" w:rsidRDefault="006B06D5">
            <w:pPr>
              <w:rPr>
                <w:rFonts w:ascii="Times New Roman" w:hAnsi="Times New Roman" w:cs="Times New Roman"/>
              </w:rPr>
            </w:pPr>
            <w:r w:rsidRPr="00767883">
              <w:rPr>
                <w:rFonts w:ascii="Times New Roman" w:hAnsi="Times New Roman" w:cs="Times New Roman"/>
                <w:sz w:val="24"/>
                <w:szCs w:val="24"/>
              </w:rPr>
              <w:lastRenderedPageBreak/>
              <w:t>49</w:t>
            </w:r>
          </w:p>
        </w:tc>
      </w:tr>
      <w:tr w:rsidR="00F64F84" w14:paraId="10FF9EBA" w14:textId="77777777" w:rsidTr="00F64F84">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3FD45729" w14:textId="77777777" w:rsidR="00F64F84" w:rsidRDefault="00F64F84">
            <w:pPr>
              <w:rPr>
                <w:kern w:val="0"/>
                <w14:ligatures w14:val="none"/>
              </w:rPr>
            </w:pPr>
            <w:r>
              <w:rPr>
                <w:rFonts w:ascii="Times New Roman" w:hAnsi="Times New Roman"/>
                <w:sz w:val="24"/>
                <w:szCs w:val="24"/>
              </w:rPr>
              <w:t>ClinicalTrials.gov</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5020A08D" w14:textId="77777777" w:rsidR="00F64F84" w:rsidRDefault="00F64F84">
            <w:r>
              <w:rPr>
                <w:rFonts w:ascii="Times New Roman" w:hAnsi="Times New Roman"/>
                <w:sz w:val="24"/>
                <w:szCs w:val="24"/>
              </w:rPr>
              <w:t>PDS contextual-material search, 24/05/2026</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0EBC2734" w14:textId="77777777" w:rsidR="00F64F84" w:rsidRDefault="00F64F84">
            <w:r>
              <w:rPr>
                <w:rFonts w:ascii="Times New Roman" w:hAnsi="Times New Roman"/>
                <w:sz w:val="24"/>
                <w:szCs w:val="24"/>
              </w:rPr>
              <w:t xml:space="preserve">Trial-registry records using Port Delivery System, PDS, </w:t>
            </w:r>
            <w:proofErr w:type="spellStart"/>
            <w:r>
              <w:rPr>
                <w:rFonts w:ascii="Times New Roman" w:hAnsi="Times New Roman"/>
                <w:sz w:val="24"/>
                <w:szCs w:val="24"/>
              </w:rPr>
              <w:t>Susvimo</w:t>
            </w:r>
            <w:proofErr w:type="spellEnd"/>
            <w:r>
              <w:rPr>
                <w:rFonts w:ascii="Times New Roman" w:hAnsi="Times New Roman"/>
                <w:sz w:val="24"/>
                <w:szCs w:val="24"/>
              </w:rPr>
              <w:t>, ranibizumab port delivery, PAGODA, or PAVILION terms combined with DME/DR terms.</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6338B188" w14:textId="77777777" w:rsidR="00F64F84" w:rsidRDefault="00F64F84">
            <w:r>
              <w:rPr>
                <w:rFonts w:ascii="Times New Roman" w:hAnsi="Times New Roman"/>
                <w:sz w:val="24"/>
                <w:szCs w:val="24"/>
              </w:rPr>
              <w:t>Contextual trial-registry records only; not counted among the 50 included review-level studies unless review-level eligibility criteria were met.</w:t>
            </w:r>
          </w:p>
        </w:tc>
      </w:tr>
    </w:tbl>
    <w:p w14:paraId="229B7206" w14:textId="77777777" w:rsidR="00040810" w:rsidRDefault="00040810">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This table summarizes database and trial-registry search concepts, result counts, and contextual-material status. Full Boolean strings are included in Table S1C and are also provided with search metadata in </w:t>
      </w:r>
      <w:r>
        <w:rPr>
          <w:rFonts w:ascii="Times New Roman" w:hAnsi="Times New Roman"/>
          <w:i/>
          <w:iCs/>
          <w:color w:val="000000"/>
          <w:sz w:val="21"/>
          <w:szCs w:val="21"/>
        </w:rPr>
        <w:t>Supplementary_Data_File_1_Search_Strategies.xlsx</w:t>
      </w:r>
      <w:r>
        <w:rPr>
          <w:rFonts w:ascii="Times New Roman" w:hAnsi="Times New Roman"/>
          <w:color w:val="000000"/>
          <w:sz w:val="21"/>
          <w:szCs w:val="21"/>
        </w:rPr>
        <w:t>. ClinicalTrials.gov was included as a PDS contextual-material trial-registry source. PDS contextual material was counted in the identification pathway but was not counted among the 50 included reviews unless it met review-level eligibility criteria. The search was designed as a reproducible, overlap-aware evidence-map strategy rather than as an exhaustive all-database umbrella-review search. Searches prioritized sources with transparent review-level indexing and reproducible export pathways, including PubMed, Cochrane Library, and Epistemonikos, supplemented by ClinicalTrials.gov for PDS contextual material.</w:t>
      </w:r>
    </w:p>
    <w:p w14:paraId="460A2FBC" w14:textId="77777777" w:rsidR="008F4BDA" w:rsidRPr="00767883" w:rsidRDefault="008F4BDA">
      <w:pPr>
        <w:rPr>
          <w:rFonts w:ascii="Times New Roman" w:hAnsi="Times New Roman" w:cs="Times New Roman"/>
          <w:kern w:val="0"/>
          <w14:ligatures w14:val="none"/>
        </w:rPr>
      </w:pPr>
      <w:r w:rsidRPr="00767883">
        <w:rPr>
          <w:rFonts w:ascii="Times New Roman" w:hAnsi="Times New Roman" w:cs="Times New Roman"/>
          <w:b/>
          <w:bCs/>
          <w:color w:val="000000"/>
          <w:sz w:val="36"/>
          <w:szCs w:val="36"/>
        </w:rPr>
        <w:t>Table S1C. Full Boolean search strings</w:t>
      </w:r>
    </w:p>
    <w:tbl>
      <w:tblPr>
        <w:tblStyle w:val="TableGrid"/>
        <w:tblW w:w="5000" w:type="pct"/>
        <w:tblLook w:val="04A0" w:firstRow="1" w:lastRow="0" w:firstColumn="1" w:lastColumn="0" w:noHBand="0" w:noVBand="1"/>
      </w:tblPr>
      <w:tblGrid>
        <w:gridCol w:w="2240"/>
        <w:gridCol w:w="6747"/>
      </w:tblGrid>
      <w:tr w:rsidR="008F4BDA" w:rsidRPr="00767883" w14:paraId="5B2855B4" w14:textId="77777777" w:rsidTr="00FC54A9">
        <w:trPr>
          <w:cnfStyle w:val="100000000000" w:firstRow="1" w:lastRow="0" w:firstColumn="0" w:lastColumn="0" w:oddVBand="0" w:evenVBand="0" w:oddHBand="0" w:evenHBand="0" w:firstRowFirstColumn="0" w:firstRowLastColumn="0" w:lastRowFirstColumn="0" w:lastRowLastColumn="0"/>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hideMark/>
          </w:tcPr>
          <w:p w14:paraId="394D6839" w14:textId="4194784D" w:rsidR="008F4BDA" w:rsidRPr="00767883" w:rsidRDefault="00FC54A9" w:rsidP="00FC54A9">
            <w:pPr>
              <w:jc w:val="center"/>
              <w:rPr>
                <w:rFonts w:ascii="Times New Roman" w:hAnsi="Times New Roman" w:cs="Times New Roman"/>
                <w:kern w:val="0"/>
                <w14:ligatures w14:val="none"/>
              </w:rPr>
            </w:pPr>
            <w:r w:rsidRPr="00767883">
              <w:rPr>
                <w:rFonts w:ascii="Times New Roman" w:hAnsi="Times New Roman" w:cs="Times New Roman"/>
                <w:b/>
                <w:bCs/>
                <w:color w:val="000000"/>
              </w:rPr>
              <w:t>Source</w:t>
            </w:r>
          </w:p>
        </w:tc>
        <w:tc>
          <w:tcPr>
            <w:tcW w:w="0" w:type="auto"/>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hideMark/>
          </w:tcPr>
          <w:p w14:paraId="69A4323E" w14:textId="605E875F" w:rsidR="008F4BDA" w:rsidRPr="00767883" w:rsidRDefault="00FC54A9" w:rsidP="00FC54A9">
            <w:pPr>
              <w:jc w:val="center"/>
              <w:rPr>
                <w:rFonts w:ascii="Times New Roman" w:hAnsi="Times New Roman" w:cs="Times New Roman"/>
              </w:rPr>
            </w:pPr>
            <w:r w:rsidRPr="00767883">
              <w:rPr>
                <w:rFonts w:ascii="Times New Roman" w:hAnsi="Times New Roman" w:cs="Times New Roman"/>
                <w:b/>
                <w:bCs/>
                <w:color w:val="000000"/>
              </w:rPr>
              <w:t>Full Boolean search string</w:t>
            </w:r>
          </w:p>
        </w:tc>
      </w:tr>
      <w:tr w:rsidR="008F4BDA" w:rsidRPr="00767883" w14:paraId="510D1F49" w14:textId="77777777">
        <w:tc>
          <w:tcPr>
            <w:tcW w:w="0" w:type="auto"/>
            <w:hideMark/>
          </w:tcPr>
          <w:p w14:paraId="356CCAC9" w14:textId="77777777" w:rsidR="008F4BDA" w:rsidRPr="00767883" w:rsidRDefault="008F4BDA">
            <w:pPr>
              <w:spacing w:after="160"/>
              <w:rPr>
                <w:rFonts w:ascii="Times New Roman" w:hAnsi="Times New Roman" w:cs="Times New Roman"/>
              </w:rPr>
            </w:pPr>
            <w:r w:rsidRPr="00767883">
              <w:rPr>
                <w:rFonts w:ascii="Times New Roman" w:hAnsi="Times New Roman" w:cs="Times New Roman"/>
              </w:rPr>
              <w:t>PubMed main search, 24/05/2026</w:t>
            </w:r>
          </w:p>
        </w:tc>
        <w:tc>
          <w:tcPr>
            <w:tcW w:w="0" w:type="auto"/>
            <w:hideMark/>
          </w:tcPr>
          <w:p w14:paraId="29AC462E" w14:textId="77777777" w:rsidR="008F4BDA" w:rsidRPr="00767883" w:rsidRDefault="008F4BDA">
            <w:pPr>
              <w:spacing w:after="160"/>
              <w:rPr>
                <w:rFonts w:ascii="Times New Roman" w:hAnsi="Times New Roman" w:cs="Times New Roman"/>
              </w:rPr>
            </w:pPr>
            <w:r w:rsidRPr="00767883">
              <w:rPr>
                <w:rFonts w:ascii="Times New Roman" w:hAnsi="Times New Roman" w:cs="Times New Roman"/>
              </w:rPr>
              <w:t>(("Diabetic Macular Edema"[Mesh] OR "diabetic macular edema"[</w:t>
            </w:r>
            <w:proofErr w:type="spellStart"/>
            <w:r w:rsidRPr="00767883">
              <w:rPr>
                <w:rFonts w:ascii="Times New Roman" w:hAnsi="Times New Roman" w:cs="Times New Roman"/>
              </w:rPr>
              <w:t>tiab</w:t>
            </w:r>
            <w:proofErr w:type="spellEnd"/>
            <w:r w:rsidRPr="00767883">
              <w:rPr>
                <w:rFonts w:ascii="Times New Roman" w:hAnsi="Times New Roman" w:cs="Times New Roman"/>
              </w:rPr>
              <w:t>] OR "diabetic macular oedema"[</w:t>
            </w:r>
            <w:proofErr w:type="spellStart"/>
            <w:r w:rsidRPr="00767883">
              <w:rPr>
                <w:rFonts w:ascii="Times New Roman" w:hAnsi="Times New Roman" w:cs="Times New Roman"/>
              </w:rPr>
              <w:t>tiab</w:t>
            </w:r>
            <w:proofErr w:type="spellEnd"/>
            <w:r w:rsidRPr="00767883">
              <w:rPr>
                <w:rFonts w:ascii="Times New Roman" w:hAnsi="Times New Roman" w:cs="Times New Roman"/>
              </w:rPr>
              <w:t>] OR DME[</w:t>
            </w:r>
            <w:proofErr w:type="spellStart"/>
            <w:r w:rsidRPr="00767883">
              <w:rPr>
                <w:rFonts w:ascii="Times New Roman" w:hAnsi="Times New Roman" w:cs="Times New Roman"/>
              </w:rPr>
              <w:t>tiab</w:t>
            </w:r>
            <w:proofErr w:type="spellEnd"/>
            <w:r w:rsidRPr="00767883">
              <w:rPr>
                <w:rFonts w:ascii="Times New Roman" w:hAnsi="Times New Roman" w:cs="Times New Roman"/>
              </w:rPr>
              <w:t>] OR DMO[</w:t>
            </w:r>
            <w:proofErr w:type="spellStart"/>
            <w:r w:rsidRPr="00767883">
              <w:rPr>
                <w:rFonts w:ascii="Times New Roman" w:hAnsi="Times New Roman" w:cs="Times New Roman"/>
              </w:rPr>
              <w:t>tiab</w:t>
            </w:r>
            <w:proofErr w:type="spellEnd"/>
            <w:r w:rsidRPr="00767883">
              <w:rPr>
                <w:rFonts w:ascii="Times New Roman" w:hAnsi="Times New Roman" w:cs="Times New Roman"/>
              </w:rPr>
              <w:t>] OR "Diabetic Retinopathy"[Mesh] OR "diabetic retinopathy"[</w:t>
            </w:r>
            <w:proofErr w:type="spellStart"/>
            <w:r w:rsidRPr="00767883">
              <w:rPr>
                <w:rFonts w:ascii="Times New Roman" w:hAnsi="Times New Roman" w:cs="Times New Roman"/>
              </w:rPr>
              <w:t>tiab</w:t>
            </w:r>
            <w:proofErr w:type="spellEnd"/>
            <w:r w:rsidRPr="00767883">
              <w:rPr>
                <w:rFonts w:ascii="Times New Roman" w:hAnsi="Times New Roman" w:cs="Times New Roman"/>
              </w:rPr>
              <w:t>] OR DR[</w:t>
            </w:r>
            <w:proofErr w:type="spellStart"/>
            <w:r w:rsidRPr="00767883">
              <w:rPr>
                <w:rFonts w:ascii="Times New Roman" w:hAnsi="Times New Roman" w:cs="Times New Roman"/>
              </w:rPr>
              <w:t>tiab</w:t>
            </w:r>
            <w:proofErr w:type="spellEnd"/>
            <w:r w:rsidRPr="00767883">
              <w:rPr>
                <w:rFonts w:ascii="Times New Roman" w:hAnsi="Times New Roman" w:cs="Times New Roman"/>
              </w:rPr>
              <w:t>] OR NPDR[</w:t>
            </w:r>
            <w:proofErr w:type="spellStart"/>
            <w:r w:rsidRPr="00767883">
              <w:rPr>
                <w:rFonts w:ascii="Times New Roman" w:hAnsi="Times New Roman" w:cs="Times New Roman"/>
              </w:rPr>
              <w:t>tiab</w:t>
            </w:r>
            <w:proofErr w:type="spellEnd"/>
            <w:r w:rsidRPr="00767883">
              <w:rPr>
                <w:rFonts w:ascii="Times New Roman" w:hAnsi="Times New Roman" w:cs="Times New Roman"/>
              </w:rPr>
              <w:t>] OR PDR[</w:t>
            </w:r>
            <w:proofErr w:type="spellStart"/>
            <w:r w:rsidRPr="00767883">
              <w:rPr>
                <w:rFonts w:ascii="Times New Roman" w:hAnsi="Times New Roman" w:cs="Times New Roman"/>
              </w:rPr>
              <w:t>tiab</w:t>
            </w:r>
            <w:proofErr w:type="spellEnd"/>
            <w:r w:rsidRPr="00767883">
              <w:rPr>
                <w:rFonts w:ascii="Times New Roman" w:hAnsi="Times New Roman" w:cs="Times New Roman"/>
              </w:rPr>
              <w:t>] OR "proliferative diabetic retinopathy"[</w:t>
            </w:r>
            <w:proofErr w:type="spellStart"/>
            <w:r w:rsidRPr="00767883">
              <w:rPr>
                <w:rFonts w:ascii="Times New Roman" w:hAnsi="Times New Roman" w:cs="Times New Roman"/>
              </w:rPr>
              <w:t>tiab</w:t>
            </w:r>
            <w:proofErr w:type="spellEnd"/>
            <w:r w:rsidRPr="00767883">
              <w:rPr>
                <w:rFonts w:ascii="Times New Roman" w:hAnsi="Times New Roman" w:cs="Times New Roman"/>
              </w:rPr>
              <w:t>] OR "nonproliferative diabetic retinopathy"[</w:t>
            </w:r>
            <w:proofErr w:type="spellStart"/>
            <w:r w:rsidRPr="00767883">
              <w:rPr>
                <w:rFonts w:ascii="Times New Roman" w:hAnsi="Times New Roman" w:cs="Times New Roman"/>
              </w:rPr>
              <w:t>tiab</w:t>
            </w:r>
            <w:proofErr w:type="spellEnd"/>
            <w:r w:rsidRPr="00767883">
              <w:rPr>
                <w:rFonts w:ascii="Times New Roman" w:hAnsi="Times New Roman" w:cs="Times New Roman"/>
              </w:rPr>
              <w:t>]) AND ("Vascular Endothelial Growth Factor A/antagonists and inhibitors"[Mesh] OR anti-VEGF[</w:t>
            </w:r>
            <w:proofErr w:type="spellStart"/>
            <w:r w:rsidRPr="00767883">
              <w:rPr>
                <w:rFonts w:ascii="Times New Roman" w:hAnsi="Times New Roman" w:cs="Times New Roman"/>
              </w:rPr>
              <w:t>tiab</w:t>
            </w:r>
            <w:proofErr w:type="spellEnd"/>
            <w:r w:rsidRPr="00767883">
              <w:rPr>
                <w:rFonts w:ascii="Times New Roman" w:hAnsi="Times New Roman" w:cs="Times New Roman"/>
              </w:rPr>
              <w:t>] OR anti VEGF[</w:t>
            </w:r>
            <w:proofErr w:type="spellStart"/>
            <w:r w:rsidRPr="00767883">
              <w:rPr>
                <w:rFonts w:ascii="Times New Roman" w:hAnsi="Times New Roman" w:cs="Times New Roman"/>
              </w:rPr>
              <w:t>tiab</w:t>
            </w:r>
            <w:proofErr w:type="spellEnd"/>
            <w:r w:rsidRPr="00767883">
              <w:rPr>
                <w:rFonts w:ascii="Times New Roman" w:hAnsi="Times New Roman" w:cs="Times New Roman"/>
              </w:rPr>
              <w:t>] OR aflibercept[</w:t>
            </w:r>
            <w:proofErr w:type="spellStart"/>
            <w:r w:rsidRPr="00767883">
              <w:rPr>
                <w:rFonts w:ascii="Times New Roman" w:hAnsi="Times New Roman" w:cs="Times New Roman"/>
              </w:rPr>
              <w:t>tiab</w:t>
            </w:r>
            <w:proofErr w:type="spellEnd"/>
            <w:r w:rsidRPr="00767883">
              <w:rPr>
                <w:rFonts w:ascii="Times New Roman" w:hAnsi="Times New Roman" w:cs="Times New Roman"/>
              </w:rPr>
              <w:t>] OR ranibizumab[</w:t>
            </w:r>
            <w:proofErr w:type="spellStart"/>
            <w:r w:rsidRPr="00767883">
              <w:rPr>
                <w:rFonts w:ascii="Times New Roman" w:hAnsi="Times New Roman" w:cs="Times New Roman"/>
              </w:rPr>
              <w:t>tiab</w:t>
            </w:r>
            <w:proofErr w:type="spellEnd"/>
            <w:r w:rsidRPr="00767883">
              <w:rPr>
                <w:rFonts w:ascii="Times New Roman" w:hAnsi="Times New Roman" w:cs="Times New Roman"/>
              </w:rPr>
              <w:t>] OR bevacizumab[</w:t>
            </w:r>
            <w:proofErr w:type="spellStart"/>
            <w:r w:rsidRPr="00767883">
              <w:rPr>
                <w:rFonts w:ascii="Times New Roman" w:hAnsi="Times New Roman" w:cs="Times New Roman"/>
              </w:rPr>
              <w:t>tiab</w:t>
            </w:r>
            <w:proofErr w:type="spellEnd"/>
            <w:r w:rsidRPr="00767883">
              <w:rPr>
                <w:rFonts w:ascii="Times New Roman" w:hAnsi="Times New Roman" w:cs="Times New Roman"/>
              </w:rPr>
              <w:t>] OR faricimab[</w:t>
            </w:r>
            <w:proofErr w:type="spellStart"/>
            <w:r w:rsidRPr="00767883">
              <w:rPr>
                <w:rFonts w:ascii="Times New Roman" w:hAnsi="Times New Roman" w:cs="Times New Roman"/>
              </w:rPr>
              <w:t>tiab</w:t>
            </w:r>
            <w:proofErr w:type="spellEnd"/>
            <w:r w:rsidRPr="00767883">
              <w:rPr>
                <w:rFonts w:ascii="Times New Roman" w:hAnsi="Times New Roman" w:cs="Times New Roman"/>
              </w:rPr>
              <w:t>] OR brolucizumab[</w:t>
            </w:r>
            <w:proofErr w:type="spellStart"/>
            <w:r w:rsidRPr="00767883">
              <w:rPr>
                <w:rFonts w:ascii="Times New Roman" w:hAnsi="Times New Roman" w:cs="Times New Roman"/>
              </w:rPr>
              <w:t>tiab</w:t>
            </w:r>
            <w:proofErr w:type="spellEnd"/>
            <w:r w:rsidRPr="00767883">
              <w:rPr>
                <w:rFonts w:ascii="Times New Roman" w:hAnsi="Times New Roman" w:cs="Times New Roman"/>
              </w:rPr>
              <w:t>] OR conbercept[</w:t>
            </w:r>
            <w:proofErr w:type="spellStart"/>
            <w:r w:rsidRPr="00767883">
              <w:rPr>
                <w:rFonts w:ascii="Times New Roman" w:hAnsi="Times New Roman" w:cs="Times New Roman"/>
              </w:rPr>
              <w:t>tiab</w:t>
            </w:r>
            <w:proofErr w:type="spellEnd"/>
            <w:r w:rsidRPr="00767883">
              <w:rPr>
                <w:rFonts w:ascii="Times New Roman" w:hAnsi="Times New Roman" w:cs="Times New Roman"/>
              </w:rPr>
              <w:t>] OR pegaptanib[</w:t>
            </w:r>
            <w:proofErr w:type="spellStart"/>
            <w:r w:rsidRPr="00767883">
              <w:rPr>
                <w:rFonts w:ascii="Times New Roman" w:hAnsi="Times New Roman" w:cs="Times New Roman"/>
              </w:rPr>
              <w:t>tiab</w:t>
            </w:r>
            <w:proofErr w:type="spellEnd"/>
            <w:r w:rsidRPr="00767883">
              <w:rPr>
                <w:rFonts w:ascii="Times New Roman" w:hAnsi="Times New Roman" w:cs="Times New Roman"/>
              </w:rPr>
              <w:t>] OR corticosteroid*[</w:t>
            </w:r>
            <w:proofErr w:type="spellStart"/>
            <w:r w:rsidRPr="00767883">
              <w:rPr>
                <w:rFonts w:ascii="Times New Roman" w:hAnsi="Times New Roman" w:cs="Times New Roman"/>
              </w:rPr>
              <w:t>tiab</w:t>
            </w:r>
            <w:proofErr w:type="spellEnd"/>
            <w:r w:rsidRPr="00767883">
              <w:rPr>
                <w:rFonts w:ascii="Times New Roman" w:hAnsi="Times New Roman" w:cs="Times New Roman"/>
              </w:rPr>
              <w:t>] OR steroid*[</w:t>
            </w:r>
            <w:proofErr w:type="spellStart"/>
            <w:r w:rsidRPr="00767883">
              <w:rPr>
                <w:rFonts w:ascii="Times New Roman" w:hAnsi="Times New Roman" w:cs="Times New Roman"/>
              </w:rPr>
              <w:t>tiab</w:t>
            </w:r>
            <w:proofErr w:type="spellEnd"/>
            <w:r w:rsidRPr="00767883">
              <w:rPr>
                <w:rFonts w:ascii="Times New Roman" w:hAnsi="Times New Roman" w:cs="Times New Roman"/>
              </w:rPr>
              <w:t>] OR dexamethasone[</w:t>
            </w:r>
            <w:proofErr w:type="spellStart"/>
            <w:r w:rsidRPr="00767883">
              <w:rPr>
                <w:rFonts w:ascii="Times New Roman" w:hAnsi="Times New Roman" w:cs="Times New Roman"/>
              </w:rPr>
              <w:t>tiab</w:t>
            </w:r>
            <w:proofErr w:type="spellEnd"/>
            <w:r w:rsidRPr="00767883">
              <w:rPr>
                <w:rFonts w:ascii="Times New Roman" w:hAnsi="Times New Roman" w:cs="Times New Roman"/>
              </w:rPr>
              <w:t>] OR fluocinolone[</w:t>
            </w:r>
            <w:proofErr w:type="spellStart"/>
            <w:r w:rsidRPr="00767883">
              <w:rPr>
                <w:rFonts w:ascii="Times New Roman" w:hAnsi="Times New Roman" w:cs="Times New Roman"/>
              </w:rPr>
              <w:t>tiab</w:t>
            </w:r>
            <w:proofErr w:type="spellEnd"/>
            <w:r w:rsidRPr="00767883">
              <w:rPr>
                <w:rFonts w:ascii="Times New Roman" w:hAnsi="Times New Roman" w:cs="Times New Roman"/>
              </w:rPr>
              <w:t>] OR triamcinolone[</w:t>
            </w:r>
            <w:proofErr w:type="spellStart"/>
            <w:r w:rsidRPr="00767883">
              <w:rPr>
                <w:rFonts w:ascii="Times New Roman" w:hAnsi="Times New Roman" w:cs="Times New Roman"/>
              </w:rPr>
              <w:t>tiab</w:t>
            </w:r>
            <w:proofErr w:type="spellEnd"/>
            <w:r w:rsidRPr="00767883">
              <w:rPr>
                <w:rFonts w:ascii="Times New Roman" w:hAnsi="Times New Roman" w:cs="Times New Roman"/>
              </w:rPr>
              <w:t>] OR implant*[</w:t>
            </w:r>
            <w:proofErr w:type="spellStart"/>
            <w:r w:rsidRPr="00767883">
              <w:rPr>
                <w:rFonts w:ascii="Times New Roman" w:hAnsi="Times New Roman" w:cs="Times New Roman"/>
              </w:rPr>
              <w:t>tiab</w:t>
            </w:r>
            <w:proofErr w:type="spellEnd"/>
            <w:r w:rsidRPr="00767883">
              <w:rPr>
                <w:rFonts w:ascii="Times New Roman" w:hAnsi="Times New Roman" w:cs="Times New Roman"/>
              </w:rPr>
              <w:t>] OR "sustained delivery"[</w:t>
            </w:r>
            <w:proofErr w:type="spellStart"/>
            <w:r w:rsidRPr="00767883">
              <w:rPr>
                <w:rFonts w:ascii="Times New Roman" w:hAnsi="Times New Roman" w:cs="Times New Roman"/>
              </w:rPr>
              <w:t>tiab</w:t>
            </w:r>
            <w:proofErr w:type="spellEnd"/>
            <w:r w:rsidRPr="00767883">
              <w:rPr>
                <w:rFonts w:ascii="Times New Roman" w:hAnsi="Times New Roman" w:cs="Times New Roman"/>
              </w:rPr>
              <w:t>] OR "port delivery"[</w:t>
            </w:r>
            <w:proofErr w:type="spellStart"/>
            <w:r w:rsidRPr="00767883">
              <w:rPr>
                <w:rFonts w:ascii="Times New Roman" w:hAnsi="Times New Roman" w:cs="Times New Roman"/>
              </w:rPr>
              <w:t>tiab</w:t>
            </w:r>
            <w:proofErr w:type="spellEnd"/>
            <w:r w:rsidRPr="00767883">
              <w:rPr>
                <w:rFonts w:ascii="Times New Roman" w:hAnsi="Times New Roman" w:cs="Times New Roman"/>
              </w:rPr>
              <w:t>] OR fenofibrate[</w:t>
            </w:r>
            <w:proofErr w:type="spellStart"/>
            <w:r w:rsidRPr="00767883">
              <w:rPr>
                <w:rFonts w:ascii="Times New Roman" w:hAnsi="Times New Roman" w:cs="Times New Roman"/>
              </w:rPr>
              <w:t>tiab</w:t>
            </w:r>
            <w:proofErr w:type="spellEnd"/>
            <w:r w:rsidRPr="00767883">
              <w:rPr>
                <w:rFonts w:ascii="Times New Roman" w:hAnsi="Times New Roman" w:cs="Times New Roman"/>
              </w:rPr>
              <w:t>] OR laser[</w:t>
            </w:r>
            <w:proofErr w:type="spellStart"/>
            <w:r w:rsidRPr="00767883">
              <w:rPr>
                <w:rFonts w:ascii="Times New Roman" w:hAnsi="Times New Roman" w:cs="Times New Roman"/>
              </w:rPr>
              <w:t>tiab</w:t>
            </w:r>
            <w:proofErr w:type="spellEnd"/>
            <w:r w:rsidRPr="00767883">
              <w:rPr>
                <w:rFonts w:ascii="Times New Roman" w:hAnsi="Times New Roman" w:cs="Times New Roman"/>
              </w:rPr>
              <w:t>] OR photocoagulation[</w:t>
            </w:r>
            <w:proofErr w:type="spellStart"/>
            <w:r w:rsidRPr="00767883">
              <w:rPr>
                <w:rFonts w:ascii="Times New Roman" w:hAnsi="Times New Roman" w:cs="Times New Roman"/>
              </w:rPr>
              <w:t>tiab</w:t>
            </w:r>
            <w:proofErr w:type="spellEnd"/>
            <w:r w:rsidRPr="00767883">
              <w:rPr>
                <w:rFonts w:ascii="Times New Roman" w:hAnsi="Times New Roman" w:cs="Times New Roman"/>
              </w:rPr>
              <w:t>] OR PRP[</w:t>
            </w:r>
            <w:proofErr w:type="spellStart"/>
            <w:r w:rsidRPr="00767883">
              <w:rPr>
                <w:rFonts w:ascii="Times New Roman" w:hAnsi="Times New Roman" w:cs="Times New Roman"/>
              </w:rPr>
              <w:t>tiab</w:t>
            </w:r>
            <w:proofErr w:type="spellEnd"/>
            <w:r w:rsidRPr="00767883">
              <w:rPr>
                <w:rFonts w:ascii="Times New Roman" w:hAnsi="Times New Roman" w:cs="Times New Roman"/>
              </w:rPr>
              <w:t>]) AND ("systematic review"[pt] OR "meta-analysis"[pt] OR "systematic review"[</w:t>
            </w:r>
            <w:proofErr w:type="spellStart"/>
            <w:r w:rsidRPr="00767883">
              <w:rPr>
                <w:rFonts w:ascii="Times New Roman" w:hAnsi="Times New Roman" w:cs="Times New Roman"/>
              </w:rPr>
              <w:t>tiab</w:t>
            </w:r>
            <w:proofErr w:type="spellEnd"/>
            <w:r w:rsidRPr="00767883">
              <w:rPr>
                <w:rFonts w:ascii="Times New Roman" w:hAnsi="Times New Roman" w:cs="Times New Roman"/>
              </w:rPr>
              <w:t>] OR meta-analysis[</w:t>
            </w:r>
            <w:proofErr w:type="spellStart"/>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spellStart"/>
            <w:r w:rsidRPr="00767883">
              <w:rPr>
                <w:rFonts w:ascii="Times New Roman" w:hAnsi="Times New Roman" w:cs="Times New Roman"/>
              </w:rPr>
              <w:t>metaanalysis</w:t>
            </w:r>
            <w:proofErr w:type="spellEnd"/>
            <w:r w:rsidRPr="00767883">
              <w:rPr>
                <w:rFonts w:ascii="Times New Roman" w:hAnsi="Times New Roman" w:cs="Times New Roman"/>
              </w:rPr>
              <w:t>[</w:t>
            </w:r>
            <w:proofErr w:type="spellStart"/>
            <w:r w:rsidRPr="00767883">
              <w:rPr>
                <w:rFonts w:ascii="Times New Roman" w:hAnsi="Times New Roman" w:cs="Times New Roman"/>
              </w:rPr>
              <w:t>tiab</w:t>
            </w:r>
            <w:proofErr w:type="spellEnd"/>
            <w:r w:rsidRPr="00767883">
              <w:rPr>
                <w:rFonts w:ascii="Times New Roman" w:hAnsi="Times New Roman" w:cs="Times New Roman"/>
              </w:rPr>
              <w:t>] OR "network meta-analysis"[</w:t>
            </w:r>
            <w:proofErr w:type="spellStart"/>
            <w:r w:rsidRPr="00767883">
              <w:rPr>
                <w:rFonts w:ascii="Times New Roman" w:hAnsi="Times New Roman" w:cs="Times New Roman"/>
              </w:rPr>
              <w:t>tiab</w:t>
            </w:r>
            <w:proofErr w:type="spellEnd"/>
            <w:r w:rsidRPr="00767883">
              <w:rPr>
                <w:rFonts w:ascii="Times New Roman" w:hAnsi="Times New Roman" w:cs="Times New Roman"/>
              </w:rPr>
              <w:t xml:space="preserve">] OR "network </w:t>
            </w:r>
            <w:proofErr w:type="spellStart"/>
            <w:r w:rsidRPr="00767883">
              <w:rPr>
                <w:rFonts w:ascii="Times New Roman" w:hAnsi="Times New Roman" w:cs="Times New Roman"/>
              </w:rPr>
              <w:t>meta analysis</w:t>
            </w:r>
            <w:proofErr w:type="spellEnd"/>
            <w:r w:rsidRPr="00767883">
              <w:rPr>
                <w:rFonts w:ascii="Times New Roman" w:hAnsi="Times New Roman" w:cs="Times New Roman"/>
              </w:rPr>
              <w:t>"[tiab] OR Cochrane[</w:t>
            </w:r>
            <w:proofErr w:type="spellStart"/>
            <w:r w:rsidRPr="00767883">
              <w:rPr>
                <w:rFonts w:ascii="Times New Roman" w:hAnsi="Times New Roman" w:cs="Times New Roman"/>
              </w:rPr>
              <w:t>tiab</w:t>
            </w:r>
            <w:proofErr w:type="spellEnd"/>
            <w:r w:rsidRPr="00767883">
              <w:rPr>
                <w:rFonts w:ascii="Times New Roman" w:hAnsi="Times New Roman" w:cs="Times New Roman"/>
              </w:rPr>
              <w:t>] OR "health technology assessment"[</w:t>
            </w:r>
            <w:proofErr w:type="spellStart"/>
            <w:r w:rsidRPr="00767883">
              <w:rPr>
                <w:rFonts w:ascii="Times New Roman" w:hAnsi="Times New Roman" w:cs="Times New Roman"/>
              </w:rPr>
              <w:t>tiab</w:t>
            </w:r>
            <w:proofErr w:type="spellEnd"/>
            <w:r w:rsidRPr="00767883">
              <w:rPr>
                <w:rFonts w:ascii="Times New Roman" w:hAnsi="Times New Roman" w:cs="Times New Roman"/>
              </w:rPr>
              <w:t>] OR HTA[</w:t>
            </w:r>
            <w:proofErr w:type="spellStart"/>
            <w:r w:rsidRPr="00767883">
              <w:rPr>
                <w:rFonts w:ascii="Times New Roman" w:hAnsi="Times New Roman" w:cs="Times New Roman"/>
              </w:rPr>
              <w:t>tiab</w:t>
            </w:r>
            <w:proofErr w:type="spellEnd"/>
            <w:r w:rsidRPr="00767883">
              <w:rPr>
                <w:rFonts w:ascii="Times New Roman" w:hAnsi="Times New Roman" w:cs="Times New Roman"/>
              </w:rPr>
              <w:t>])) NOT (animals[</w:t>
            </w:r>
            <w:proofErr w:type="spellStart"/>
            <w:r w:rsidRPr="00767883">
              <w:rPr>
                <w:rFonts w:ascii="Times New Roman" w:hAnsi="Times New Roman" w:cs="Times New Roman"/>
              </w:rPr>
              <w:t>mh</w:t>
            </w:r>
            <w:proofErr w:type="spellEnd"/>
            <w:r w:rsidRPr="00767883">
              <w:rPr>
                <w:rFonts w:ascii="Times New Roman" w:hAnsi="Times New Roman" w:cs="Times New Roman"/>
              </w:rPr>
              <w:t>] NOT humans[</w:t>
            </w:r>
            <w:proofErr w:type="spellStart"/>
            <w:r w:rsidRPr="00767883">
              <w:rPr>
                <w:rFonts w:ascii="Times New Roman" w:hAnsi="Times New Roman" w:cs="Times New Roman"/>
              </w:rPr>
              <w:t>mh</w:t>
            </w:r>
            <w:proofErr w:type="spellEnd"/>
            <w:r w:rsidRPr="00767883">
              <w:rPr>
                <w:rFonts w:ascii="Times New Roman" w:hAnsi="Times New Roman" w:cs="Times New Roman"/>
              </w:rPr>
              <w:t>])</w:t>
            </w:r>
          </w:p>
        </w:tc>
      </w:tr>
      <w:tr w:rsidR="008F4BDA" w:rsidRPr="00767883" w14:paraId="42B0CE77" w14:textId="77777777">
        <w:tc>
          <w:tcPr>
            <w:tcW w:w="0" w:type="auto"/>
            <w:hideMark/>
          </w:tcPr>
          <w:p w14:paraId="7F7625C8" w14:textId="14BEE88F" w:rsidR="008F4BDA" w:rsidRPr="00767883" w:rsidRDefault="00767883" w:rsidP="00767883">
            <w:pPr>
              <w:rPr>
                <w:rFonts w:ascii="Times New Roman" w:hAnsi="Times New Roman" w:cs="Times New Roman"/>
                <w:kern w:val="0"/>
                <w14:ligatures w14:val="none"/>
              </w:rPr>
            </w:pPr>
            <w:r w:rsidRPr="00767883">
              <w:rPr>
                <w:rFonts w:ascii="Times New Roman" w:hAnsi="Times New Roman" w:cs="Times New Roman"/>
              </w:rPr>
              <w:t>PubMed PDS contextual-material search</w:t>
            </w:r>
          </w:p>
        </w:tc>
        <w:tc>
          <w:tcPr>
            <w:tcW w:w="0" w:type="auto"/>
            <w:hideMark/>
          </w:tcPr>
          <w:p w14:paraId="729469EE" w14:textId="77777777" w:rsidR="008F4BDA" w:rsidRPr="00767883" w:rsidRDefault="008F4BDA">
            <w:pPr>
              <w:spacing w:after="160"/>
              <w:rPr>
                <w:rFonts w:ascii="Times New Roman" w:hAnsi="Times New Roman" w:cs="Times New Roman"/>
              </w:rPr>
            </w:pPr>
            <w:r w:rsidRPr="00767883">
              <w:rPr>
                <w:rFonts w:ascii="Times New Roman" w:hAnsi="Times New Roman" w:cs="Times New Roman"/>
              </w:rPr>
              <w:t>(("diabetic macular edema"[</w:t>
            </w:r>
            <w:proofErr w:type="spellStart"/>
            <w:r w:rsidRPr="00767883">
              <w:rPr>
                <w:rFonts w:ascii="Times New Roman" w:hAnsi="Times New Roman" w:cs="Times New Roman"/>
              </w:rPr>
              <w:t>tiab</w:t>
            </w:r>
            <w:proofErr w:type="spellEnd"/>
            <w:r w:rsidRPr="00767883">
              <w:rPr>
                <w:rFonts w:ascii="Times New Roman" w:hAnsi="Times New Roman" w:cs="Times New Roman"/>
              </w:rPr>
              <w:t>] OR "diabetic macular oedema"[</w:t>
            </w:r>
            <w:proofErr w:type="spellStart"/>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gramStart"/>
            <w:r w:rsidRPr="00767883">
              <w:rPr>
                <w:rFonts w:ascii="Times New Roman" w:hAnsi="Times New Roman" w:cs="Times New Roman"/>
              </w:rPr>
              <w:t>DME[</w:t>
            </w:r>
            <w:proofErr w:type="spellStart"/>
            <w:proofErr w:type="gramEnd"/>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gramStart"/>
            <w:r w:rsidRPr="00767883">
              <w:rPr>
                <w:rFonts w:ascii="Times New Roman" w:hAnsi="Times New Roman" w:cs="Times New Roman"/>
              </w:rPr>
              <w:t>DMO[</w:t>
            </w:r>
            <w:proofErr w:type="spellStart"/>
            <w:proofErr w:type="gramEnd"/>
            <w:r w:rsidRPr="00767883">
              <w:rPr>
                <w:rFonts w:ascii="Times New Roman" w:hAnsi="Times New Roman" w:cs="Times New Roman"/>
              </w:rPr>
              <w:t>tiab</w:t>
            </w:r>
            <w:proofErr w:type="spellEnd"/>
            <w:r w:rsidRPr="00767883">
              <w:rPr>
                <w:rFonts w:ascii="Times New Roman" w:hAnsi="Times New Roman" w:cs="Times New Roman"/>
              </w:rPr>
              <w:t>] OR "diabetic retinopathy"[</w:t>
            </w:r>
            <w:proofErr w:type="spellStart"/>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gramStart"/>
            <w:r w:rsidRPr="00767883">
              <w:rPr>
                <w:rFonts w:ascii="Times New Roman" w:hAnsi="Times New Roman" w:cs="Times New Roman"/>
              </w:rPr>
              <w:t>DR[</w:t>
            </w:r>
            <w:proofErr w:type="spellStart"/>
            <w:proofErr w:type="gramEnd"/>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gramStart"/>
            <w:r w:rsidRPr="00767883">
              <w:rPr>
                <w:rFonts w:ascii="Times New Roman" w:hAnsi="Times New Roman" w:cs="Times New Roman"/>
              </w:rPr>
              <w:t>NPDR[</w:t>
            </w:r>
            <w:proofErr w:type="spellStart"/>
            <w:proofErr w:type="gramEnd"/>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gramStart"/>
            <w:r w:rsidRPr="00767883">
              <w:rPr>
                <w:rFonts w:ascii="Times New Roman" w:hAnsi="Times New Roman" w:cs="Times New Roman"/>
              </w:rPr>
              <w:t>PDR[</w:t>
            </w:r>
            <w:proofErr w:type="spellStart"/>
            <w:proofErr w:type="gramEnd"/>
            <w:r w:rsidRPr="00767883">
              <w:rPr>
                <w:rFonts w:ascii="Times New Roman" w:hAnsi="Times New Roman" w:cs="Times New Roman"/>
              </w:rPr>
              <w:t>tiab</w:t>
            </w:r>
            <w:proofErr w:type="spellEnd"/>
            <w:r w:rsidRPr="00767883">
              <w:rPr>
                <w:rFonts w:ascii="Times New Roman" w:hAnsi="Times New Roman" w:cs="Times New Roman"/>
              </w:rPr>
              <w:t>]) AND ("Port Delivery System"[</w:t>
            </w:r>
            <w:proofErr w:type="spellStart"/>
            <w:r w:rsidRPr="00767883">
              <w:rPr>
                <w:rFonts w:ascii="Times New Roman" w:hAnsi="Times New Roman" w:cs="Times New Roman"/>
              </w:rPr>
              <w:t>tiab</w:t>
            </w:r>
            <w:proofErr w:type="spellEnd"/>
            <w:r w:rsidRPr="00767883">
              <w:rPr>
                <w:rFonts w:ascii="Times New Roman" w:hAnsi="Times New Roman" w:cs="Times New Roman"/>
              </w:rPr>
              <w:t>] OR "port delivery"[</w:t>
            </w:r>
            <w:proofErr w:type="spellStart"/>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gramStart"/>
            <w:r w:rsidRPr="00767883">
              <w:rPr>
                <w:rFonts w:ascii="Times New Roman" w:hAnsi="Times New Roman" w:cs="Times New Roman"/>
              </w:rPr>
              <w:t>PDS[</w:t>
            </w:r>
            <w:proofErr w:type="spellStart"/>
            <w:proofErr w:type="gramEnd"/>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spellStart"/>
            <w:r w:rsidRPr="00767883">
              <w:rPr>
                <w:rFonts w:ascii="Times New Roman" w:hAnsi="Times New Roman" w:cs="Times New Roman"/>
              </w:rPr>
              <w:t>Susvimo</w:t>
            </w:r>
            <w:proofErr w:type="spellEnd"/>
            <w:r w:rsidRPr="00767883">
              <w:rPr>
                <w:rFonts w:ascii="Times New Roman" w:hAnsi="Times New Roman" w:cs="Times New Roman"/>
              </w:rPr>
              <w:t>[</w:t>
            </w:r>
            <w:proofErr w:type="spellStart"/>
            <w:r w:rsidRPr="00767883">
              <w:rPr>
                <w:rFonts w:ascii="Times New Roman" w:hAnsi="Times New Roman" w:cs="Times New Roman"/>
              </w:rPr>
              <w:t>tiab</w:t>
            </w:r>
            <w:proofErr w:type="spellEnd"/>
            <w:r w:rsidRPr="00767883">
              <w:rPr>
                <w:rFonts w:ascii="Times New Roman" w:hAnsi="Times New Roman" w:cs="Times New Roman"/>
              </w:rPr>
              <w:t>] OR "ranibizumab port delivery"[</w:t>
            </w:r>
            <w:proofErr w:type="spellStart"/>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gramStart"/>
            <w:r w:rsidRPr="00767883">
              <w:rPr>
                <w:rFonts w:ascii="Times New Roman" w:hAnsi="Times New Roman" w:cs="Times New Roman"/>
              </w:rPr>
              <w:t>PAGODA[</w:t>
            </w:r>
            <w:proofErr w:type="spellStart"/>
            <w:proofErr w:type="gramEnd"/>
            <w:r w:rsidRPr="00767883">
              <w:rPr>
                <w:rFonts w:ascii="Times New Roman" w:hAnsi="Times New Roman" w:cs="Times New Roman"/>
              </w:rPr>
              <w:t>tiab</w:t>
            </w:r>
            <w:proofErr w:type="spellEnd"/>
            <w:r w:rsidRPr="00767883">
              <w:rPr>
                <w:rFonts w:ascii="Times New Roman" w:hAnsi="Times New Roman" w:cs="Times New Roman"/>
              </w:rPr>
              <w:t xml:space="preserve">] OR </w:t>
            </w:r>
            <w:proofErr w:type="gramStart"/>
            <w:r w:rsidRPr="00767883">
              <w:rPr>
                <w:rFonts w:ascii="Times New Roman" w:hAnsi="Times New Roman" w:cs="Times New Roman"/>
              </w:rPr>
              <w:t>PAVILION[</w:t>
            </w:r>
            <w:proofErr w:type="spellStart"/>
            <w:proofErr w:type="gramEnd"/>
            <w:r w:rsidRPr="00767883">
              <w:rPr>
                <w:rFonts w:ascii="Times New Roman" w:hAnsi="Times New Roman" w:cs="Times New Roman"/>
              </w:rPr>
              <w:t>tiab</w:t>
            </w:r>
            <w:proofErr w:type="spellEnd"/>
            <w:r w:rsidRPr="00767883">
              <w:rPr>
                <w:rFonts w:ascii="Times New Roman" w:hAnsi="Times New Roman" w:cs="Times New Roman"/>
              </w:rPr>
              <w:t>])) NOT (animals[</w:t>
            </w:r>
            <w:proofErr w:type="spellStart"/>
            <w:r w:rsidRPr="00767883">
              <w:rPr>
                <w:rFonts w:ascii="Times New Roman" w:hAnsi="Times New Roman" w:cs="Times New Roman"/>
              </w:rPr>
              <w:t>mh</w:t>
            </w:r>
            <w:proofErr w:type="spellEnd"/>
            <w:r w:rsidRPr="00767883">
              <w:rPr>
                <w:rFonts w:ascii="Times New Roman" w:hAnsi="Times New Roman" w:cs="Times New Roman"/>
              </w:rPr>
              <w:t>] NOT humans[</w:t>
            </w:r>
            <w:proofErr w:type="spellStart"/>
            <w:r w:rsidRPr="00767883">
              <w:rPr>
                <w:rFonts w:ascii="Times New Roman" w:hAnsi="Times New Roman" w:cs="Times New Roman"/>
              </w:rPr>
              <w:t>mh</w:t>
            </w:r>
            <w:proofErr w:type="spellEnd"/>
            <w:r w:rsidRPr="00767883">
              <w:rPr>
                <w:rFonts w:ascii="Times New Roman" w:hAnsi="Times New Roman" w:cs="Times New Roman"/>
              </w:rPr>
              <w:t>])</w:t>
            </w:r>
          </w:p>
        </w:tc>
      </w:tr>
      <w:tr w:rsidR="008F4BDA" w:rsidRPr="00767883" w14:paraId="207D8092" w14:textId="77777777">
        <w:tc>
          <w:tcPr>
            <w:tcW w:w="0" w:type="auto"/>
            <w:hideMark/>
          </w:tcPr>
          <w:p w14:paraId="13ED8094" w14:textId="77777777" w:rsidR="008F4BDA" w:rsidRPr="00767883" w:rsidRDefault="008F4BDA">
            <w:pPr>
              <w:spacing w:after="160"/>
              <w:rPr>
                <w:rFonts w:ascii="Times New Roman" w:hAnsi="Times New Roman" w:cs="Times New Roman"/>
              </w:rPr>
            </w:pPr>
            <w:r w:rsidRPr="00767883">
              <w:rPr>
                <w:rFonts w:ascii="Times New Roman" w:hAnsi="Times New Roman" w:cs="Times New Roman"/>
              </w:rPr>
              <w:t>Cochrane Library main search</w:t>
            </w:r>
          </w:p>
        </w:tc>
        <w:tc>
          <w:tcPr>
            <w:tcW w:w="0" w:type="auto"/>
            <w:hideMark/>
          </w:tcPr>
          <w:p w14:paraId="196A5CF9" w14:textId="77777777" w:rsidR="008F4BDA" w:rsidRPr="00767883" w:rsidRDefault="008F4BDA">
            <w:pPr>
              <w:spacing w:after="160"/>
              <w:rPr>
                <w:rFonts w:ascii="Times New Roman" w:hAnsi="Times New Roman" w:cs="Times New Roman"/>
              </w:rPr>
            </w:pPr>
            <w:r w:rsidRPr="00767883">
              <w:rPr>
                <w:rFonts w:ascii="Times New Roman" w:hAnsi="Times New Roman" w:cs="Times New Roman"/>
              </w:rPr>
              <w:t xml:space="preserve">("diabetic macular edema" OR "diabetic macular oedema" OR DME OR DMO OR "diabetic retinopathy" OR DR OR NPDR OR PDR OR </w:t>
            </w:r>
            <w:r w:rsidRPr="00767883">
              <w:rPr>
                <w:rFonts w:ascii="Times New Roman" w:hAnsi="Times New Roman" w:cs="Times New Roman"/>
              </w:rPr>
              <w:lastRenderedPageBreak/>
              <w:t xml:space="preserve">"proliferative diabetic retinopathy" OR "nonproliferative diabetic retinopathy") AND (anti-VEGF OR "anti VEGF" OR aflibercept OR ranibizumab OR bevacizumab OR faricimab OR brolucizumab OR conbercept OR pegaptanib OR corticosteroid* OR steroid* OR dexamethasone OR fluocinolone OR triamcinolone OR implant* OR "sustained delivery" OR "port delivery" OR fenofibrate OR laser OR photocoagulation OR PRP) AND ("systematic review" OR meta-analysis OR </w:t>
            </w:r>
            <w:proofErr w:type="spellStart"/>
            <w:r w:rsidRPr="00767883">
              <w:rPr>
                <w:rFonts w:ascii="Times New Roman" w:hAnsi="Times New Roman" w:cs="Times New Roman"/>
              </w:rPr>
              <w:t>metaanalysis</w:t>
            </w:r>
            <w:proofErr w:type="spellEnd"/>
            <w:r w:rsidRPr="00767883">
              <w:rPr>
                <w:rFonts w:ascii="Times New Roman" w:hAnsi="Times New Roman" w:cs="Times New Roman"/>
              </w:rPr>
              <w:t xml:space="preserve"> OR "network meta-analysis" OR Cochrane OR "health technology assessment" OR HTA)</w:t>
            </w:r>
          </w:p>
        </w:tc>
      </w:tr>
      <w:tr w:rsidR="008F4BDA" w:rsidRPr="00767883" w14:paraId="4A3DB048" w14:textId="77777777">
        <w:tc>
          <w:tcPr>
            <w:tcW w:w="0" w:type="auto"/>
            <w:hideMark/>
          </w:tcPr>
          <w:p w14:paraId="09BA18CA" w14:textId="77777777" w:rsidR="008F4BDA" w:rsidRPr="00767883" w:rsidRDefault="008F4BDA">
            <w:pPr>
              <w:spacing w:after="160"/>
              <w:rPr>
                <w:rFonts w:ascii="Times New Roman" w:hAnsi="Times New Roman" w:cs="Times New Roman"/>
              </w:rPr>
            </w:pPr>
            <w:r w:rsidRPr="00767883">
              <w:rPr>
                <w:rFonts w:ascii="Times New Roman" w:hAnsi="Times New Roman" w:cs="Times New Roman"/>
              </w:rPr>
              <w:lastRenderedPageBreak/>
              <w:t>Epistemonikos main search</w:t>
            </w:r>
          </w:p>
        </w:tc>
        <w:tc>
          <w:tcPr>
            <w:tcW w:w="0" w:type="auto"/>
            <w:hideMark/>
          </w:tcPr>
          <w:p w14:paraId="4355B641" w14:textId="77777777" w:rsidR="008F4BDA" w:rsidRPr="00767883" w:rsidRDefault="008F4BDA">
            <w:pPr>
              <w:spacing w:after="160"/>
              <w:rPr>
                <w:rFonts w:ascii="Times New Roman" w:hAnsi="Times New Roman" w:cs="Times New Roman"/>
              </w:rPr>
            </w:pPr>
            <w:r w:rsidRPr="00767883">
              <w:rPr>
                <w:rFonts w:ascii="Times New Roman" w:hAnsi="Times New Roman" w:cs="Times New Roman"/>
              </w:rPr>
              <w:t>("diabetic macular edema" OR "diabetic macular oedema" OR DME OR DMO OR "diabetic retinopathy" OR DR OR NPDR OR PDR) AND (anti-VEGF OR aflibercept OR ranibizumab OR bevacizumab OR faricimab OR brolucizumab OR conbercept OR corticosteroid OR steroid OR dexamethasone OR fluocinolone OR triamcinolone OR implant OR sustained delivery OR port delivery OR fenofibrate OR laser OR photocoagulation OR PRP) AND ("systematic review" OR meta-analysis OR "network meta-analysis" OR overview OR umbrella review)</w:t>
            </w:r>
          </w:p>
        </w:tc>
      </w:tr>
      <w:tr w:rsidR="008F4BDA" w:rsidRPr="00767883" w14:paraId="1A2EC8E1" w14:textId="77777777">
        <w:tc>
          <w:tcPr>
            <w:tcW w:w="0" w:type="auto"/>
            <w:hideMark/>
          </w:tcPr>
          <w:p w14:paraId="3BA09DBD" w14:textId="78742135" w:rsidR="008F4BDA" w:rsidRPr="00767883" w:rsidRDefault="00767883" w:rsidP="00767883">
            <w:pPr>
              <w:rPr>
                <w:rFonts w:ascii="Times New Roman" w:hAnsi="Times New Roman" w:cs="Times New Roman"/>
                <w:kern w:val="0"/>
                <w14:ligatures w14:val="none"/>
              </w:rPr>
            </w:pPr>
            <w:r w:rsidRPr="00767883">
              <w:rPr>
                <w:rFonts w:ascii="Times New Roman" w:hAnsi="Times New Roman" w:cs="Times New Roman"/>
              </w:rPr>
              <w:t>Epistemonikos PDS contextual-material search</w:t>
            </w:r>
          </w:p>
        </w:tc>
        <w:tc>
          <w:tcPr>
            <w:tcW w:w="0" w:type="auto"/>
            <w:hideMark/>
          </w:tcPr>
          <w:p w14:paraId="1BD01E80" w14:textId="77777777" w:rsidR="008F4BDA" w:rsidRPr="00767883" w:rsidRDefault="008F4BDA">
            <w:pPr>
              <w:spacing w:after="160"/>
              <w:rPr>
                <w:rFonts w:ascii="Times New Roman" w:hAnsi="Times New Roman" w:cs="Times New Roman"/>
              </w:rPr>
            </w:pPr>
            <w:r w:rsidRPr="00767883">
              <w:rPr>
                <w:rFonts w:ascii="Times New Roman" w:hAnsi="Times New Roman" w:cs="Times New Roman"/>
              </w:rPr>
              <w:t xml:space="preserve">("diabetic macular edema" OR "diabetic macular oedema" OR DME OR DMO OR "diabetic retinopathy" OR DR OR NPDR OR PDR) AND ("Port Delivery System" OR "port delivery" OR PDS OR </w:t>
            </w:r>
            <w:proofErr w:type="spellStart"/>
            <w:r w:rsidRPr="00767883">
              <w:rPr>
                <w:rFonts w:ascii="Times New Roman" w:hAnsi="Times New Roman" w:cs="Times New Roman"/>
              </w:rPr>
              <w:t>Susvimo</w:t>
            </w:r>
            <w:proofErr w:type="spellEnd"/>
            <w:r w:rsidRPr="00767883">
              <w:rPr>
                <w:rFonts w:ascii="Times New Roman" w:hAnsi="Times New Roman" w:cs="Times New Roman"/>
              </w:rPr>
              <w:t xml:space="preserve"> OR "ranibizumab port delivery" OR PAGODA OR PAVILION)</w:t>
            </w:r>
          </w:p>
        </w:tc>
      </w:tr>
      <w:tr w:rsidR="00F64F84" w14:paraId="4B852C15" w14:textId="77777777" w:rsidTr="00F64F84">
        <w:tc>
          <w:tcPr>
            <w:tcW w:w="0" w:type="auto"/>
            <w:hideMark/>
          </w:tcPr>
          <w:p w14:paraId="60E810B6" w14:textId="77777777" w:rsidR="00F64F84" w:rsidRDefault="00F64F84">
            <w:pPr>
              <w:rPr>
                <w:kern w:val="0"/>
                <w14:ligatures w14:val="none"/>
              </w:rPr>
            </w:pPr>
            <w:r>
              <w:rPr>
                <w:rFonts w:ascii="Times New Roman" w:hAnsi="Times New Roman"/>
              </w:rPr>
              <w:t>ClinicalTrials.gov PDS contextual-material search</w:t>
            </w:r>
          </w:p>
        </w:tc>
        <w:tc>
          <w:tcPr>
            <w:tcW w:w="0" w:type="auto"/>
            <w:hideMark/>
          </w:tcPr>
          <w:p w14:paraId="41D60B88" w14:textId="77777777" w:rsidR="00F64F84" w:rsidRDefault="00F64F84">
            <w:r>
              <w:rPr>
                <w:rFonts w:ascii="Times New Roman" w:hAnsi="Times New Roman"/>
              </w:rPr>
              <w:t xml:space="preserve">("diabetic macular edema" OR "diabetic macular oedema" OR DME OR DMO OR "diabetic retinopathy" OR DR OR NPDR OR PDR) AND ("Port Delivery System" OR "port delivery" OR PDS OR </w:t>
            </w:r>
            <w:proofErr w:type="spellStart"/>
            <w:r>
              <w:rPr>
                <w:rFonts w:ascii="Times New Roman" w:hAnsi="Times New Roman"/>
              </w:rPr>
              <w:t>Susvimo</w:t>
            </w:r>
            <w:proofErr w:type="spellEnd"/>
            <w:r>
              <w:rPr>
                <w:rFonts w:ascii="Times New Roman" w:hAnsi="Times New Roman"/>
              </w:rPr>
              <w:t xml:space="preserve"> OR "ranibizumab port delivery" OR PAGODA OR PAVILION)</w:t>
            </w:r>
          </w:p>
        </w:tc>
      </w:tr>
    </w:tbl>
    <w:p w14:paraId="72092844" w14:textId="77777777" w:rsidR="008F4BDA" w:rsidRPr="00767883" w:rsidRDefault="008F4BDA">
      <w:pPr>
        <w:rPr>
          <w:rFonts w:ascii="Times New Roman" w:hAnsi="Times New Roman" w:cs="Times New Roman"/>
          <w:kern w:val="0"/>
          <w14:ligatures w14:val="none"/>
        </w:rPr>
      </w:pPr>
    </w:p>
    <w:p w14:paraId="4238DCEE" w14:textId="77777777" w:rsidR="00040810" w:rsidRDefault="00040810">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Database syntax was adapted to each source. PubMed strings used field tags and the animals-only exclusion. Cochrane Library and Epistemonikos strings were entered using source-appropriate keyword syntax. ClinicalTrials.gov was searched as a source-specific PDS contextual-material trial-registry source using PDS, Port Delivery System, </w:t>
      </w:r>
      <w:proofErr w:type="spellStart"/>
      <w:r>
        <w:rPr>
          <w:rFonts w:ascii="Times New Roman" w:hAnsi="Times New Roman"/>
          <w:color w:val="000000"/>
          <w:sz w:val="21"/>
          <w:szCs w:val="21"/>
        </w:rPr>
        <w:t>Susvimo</w:t>
      </w:r>
      <w:proofErr w:type="spellEnd"/>
      <w:r>
        <w:rPr>
          <w:rFonts w:ascii="Times New Roman" w:hAnsi="Times New Roman"/>
          <w:color w:val="000000"/>
          <w:sz w:val="21"/>
          <w:szCs w:val="21"/>
        </w:rPr>
        <w:t>, ranibizumab port delivery, PAGODA, and PAVILION terms combined with DME/DR terms. The search-strategy workbook preserves any exported date, filter, and result-count metadata. Because the aim was to map, appraise, and interpret overlapping review-level evidence rather than to identify every possible primary study or evidence product, Embase, Scopus/Web of Science, additional grey-literature repositories, and dedicated HTA databases were not included in the primary search strategy and should be considered an important limitation.</w:t>
      </w:r>
    </w:p>
    <w:p w14:paraId="7D4D82B3" w14:textId="77777777" w:rsidR="00040810" w:rsidRDefault="00040810">
      <w:pPr>
        <w:rPr>
          <w:kern w:val="0"/>
          <w14:ligatures w14:val="none"/>
        </w:rPr>
      </w:pPr>
      <w:r>
        <w:rPr>
          <w:rFonts w:ascii="Times New Roman" w:hAnsi="Times New Roman"/>
          <w:b/>
          <w:bCs/>
          <w:color w:val="000000"/>
          <w:sz w:val="21"/>
          <w:szCs w:val="21"/>
        </w:rPr>
        <w:t>Search-source scope and limitation note:</w:t>
      </w:r>
      <w:r>
        <w:rPr>
          <w:rFonts w:ascii="Times New Roman" w:hAnsi="Times New Roman"/>
          <w:color w:val="000000"/>
          <w:sz w:val="21"/>
          <w:szCs w:val="21"/>
        </w:rPr>
        <w:t xml:space="preserve"> The source strategy was intentionally reproducible and review-level focused. PubMed, Cochrane Library, and Epistemonikos were selected because they provide transparent indexing of systematic reviews, meta-analyses, Cochrane reviews, and related evidence syntheses. ClinicalTrials.gov was searched only for PDS contextual material. Embase, Scopus/Web of Science, additional grey-literature sources, and dedicated HTA databases were not searched systematically. As a result, some eligible reviews, HTAs, conference-derived syntheses, or non-indexed evidence products may have been missed. The supplement should therefore be read as an audit trail for an overlap-aware evidence map and narrative umbrella synthesis based on selected reproducible review-level sources, rather than as proof of exhaustive database coverage.</w:t>
      </w:r>
    </w:p>
    <w:p w14:paraId="0AE06171" w14:textId="77777777" w:rsidR="005F1E76" w:rsidRDefault="005F1E76">
      <w:pPr>
        <w:rPr>
          <w:kern w:val="0"/>
          <w14:ligatures w14:val="none"/>
        </w:rPr>
      </w:pPr>
      <w:r>
        <w:rPr>
          <w:rFonts w:ascii="Times New Roman" w:hAnsi="Times New Roman"/>
          <w:b/>
          <w:bCs/>
          <w:color w:val="000000"/>
          <w:sz w:val="36"/>
          <w:szCs w:val="36"/>
        </w:rPr>
        <w:t>Table S2. Full list of included reviews in the main umbrella review (n = 50)</w:t>
      </w:r>
    </w:p>
    <w:tbl>
      <w:tblPr>
        <w:tblStyle w:val="TableGrid"/>
        <w:tblW w:w="5000" w:type="pct"/>
        <w:tblLook w:val="04A0" w:firstRow="1" w:lastRow="0" w:firstColumn="1" w:lastColumn="0" w:noHBand="0" w:noVBand="1"/>
      </w:tblPr>
      <w:tblGrid>
        <w:gridCol w:w="474"/>
        <w:gridCol w:w="1256"/>
        <w:gridCol w:w="687"/>
        <w:gridCol w:w="1501"/>
        <w:gridCol w:w="2490"/>
        <w:gridCol w:w="1432"/>
        <w:gridCol w:w="1147"/>
      </w:tblGrid>
      <w:tr w:rsidR="00E36C1B" w14:paraId="5425F854"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496F7223" w14:textId="77777777" w:rsidR="00E36C1B" w:rsidRDefault="00E36C1B">
            <w:pPr>
              <w:jc w:val="center"/>
              <w:rPr>
                <w:kern w:val="0"/>
                <w14:ligatures w14:val="none"/>
              </w:rPr>
            </w:pPr>
            <w:r>
              <w:rPr>
                <w:rFonts w:ascii="Times New Roman" w:hAnsi="Times New Roman"/>
                <w:b/>
                <w:bCs/>
                <w:color w:val="000000"/>
                <w:sz w:val="24"/>
                <w:szCs w:val="24"/>
              </w:rPr>
              <w:lastRenderedPageBreak/>
              <w:t>No.</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537A8A6C" w14:textId="77777777" w:rsidR="00E36C1B" w:rsidRDefault="00E36C1B">
            <w:pPr>
              <w:jc w:val="center"/>
            </w:pPr>
            <w:r>
              <w:rPr>
                <w:rFonts w:ascii="Times New Roman" w:hAnsi="Times New Roman"/>
                <w:b/>
                <w:bCs/>
                <w:color w:val="000000"/>
                <w:sz w:val="24"/>
                <w:szCs w:val="24"/>
              </w:rPr>
              <w:t>Study ID</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F1D25AE" w14:textId="77777777" w:rsidR="00E36C1B" w:rsidRDefault="00E36C1B">
            <w:pPr>
              <w:jc w:val="center"/>
            </w:pPr>
            <w:r>
              <w:rPr>
                <w:rFonts w:ascii="Times New Roman" w:hAnsi="Times New Roman"/>
                <w:b/>
                <w:bCs/>
                <w:color w:val="000000"/>
                <w:sz w:val="24"/>
                <w:szCs w:val="24"/>
              </w:rPr>
              <w:t>Year</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C3B52E3" w14:textId="77777777" w:rsidR="00E36C1B" w:rsidRDefault="00E36C1B">
            <w:pPr>
              <w:jc w:val="center"/>
            </w:pPr>
            <w:r>
              <w:rPr>
                <w:rFonts w:ascii="Times New Roman" w:hAnsi="Times New Roman"/>
                <w:b/>
                <w:bCs/>
                <w:color w:val="000000"/>
                <w:sz w:val="24"/>
                <w:szCs w:val="24"/>
              </w:rPr>
              <w:t>Review/study type</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4AE79DAA" w14:textId="77777777" w:rsidR="00E36C1B" w:rsidRDefault="00E36C1B">
            <w:pPr>
              <w:jc w:val="center"/>
            </w:pPr>
            <w:r>
              <w:rPr>
                <w:rFonts w:ascii="Times New Roman" w:hAnsi="Times New Roman"/>
                <w:b/>
                <w:bCs/>
                <w:color w:val="000000"/>
                <w:sz w:val="24"/>
                <w:szCs w:val="24"/>
              </w:rPr>
              <w:t>Role in review / disease focus / interventions</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2985C60" w14:textId="77777777" w:rsidR="00E36C1B" w:rsidRDefault="00E36C1B">
            <w:pPr>
              <w:jc w:val="center"/>
            </w:pPr>
            <w:r>
              <w:rPr>
                <w:rFonts w:ascii="Times New Roman" w:hAnsi="Times New Roman"/>
                <w:b/>
                <w:bCs/>
                <w:color w:val="000000"/>
                <w:sz w:val="24"/>
                <w:szCs w:val="24"/>
              </w:rPr>
              <w:t>Included evidence / sample and outcomes</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A1C8BA5" w14:textId="77777777" w:rsidR="00E36C1B" w:rsidRDefault="00E36C1B">
            <w:pPr>
              <w:jc w:val="center"/>
            </w:pPr>
            <w:r>
              <w:rPr>
                <w:rFonts w:ascii="Times New Roman" w:hAnsi="Times New Roman"/>
                <w:b/>
                <w:bCs/>
                <w:color w:val="000000"/>
                <w:sz w:val="24"/>
                <w:szCs w:val="24"/>
              </w:rPr>
              <w:t>Quality / AMSTAR / RoB notes</w:t>
            </w:r>
          </w:p>
        </w:tc>
      </w:tr>
      <w:tr w:rsidR="00E36C1B" w14:paraId="0F8DBF56" w14:textId="77777777">
        <w:tc>
          <w:tcPr>
            <w:tcW w:w="0" w:type="auto"/>
            <w:hideMark/>
          </w:tcPr>
          <w:p w14:paraId="4FB4A1FB" w14:textId="77777777" w:rsidR="00E36C1B" w:rsidRDefault="00E36C1B">
            <w:pPr>
              <w:spacing w:after="160"/>
            </w:pPr>
            <w:r>
              <w:t>1</w:t>
            </w:r>
          </w:p>
        </w:tc>
        <w:tc>
          <w:tcPr>
            <w:tcW w:w="0" w:type="auto"/>
            <w:hideMark/>
          </w:tcPr>
          <w:p w14:paraId="5FB6F080" w14:textId="77777777" w:rsidR="00E36C1B" w:rsidRDefault="00E36C1B">
            <w:pPr>
              <w:spacing w:after="160"/>
            </w:pPr>
            <w:r>
              <w:t>Virgili 2023</w:t>
            </w:r>
          </w:p>
        </w:tc>
        <w:tc>
          <w:tcPr>
            <w:tcW w:w="0" w:type="auto"/>
            <w:hideMark/>
          </w:tcPr>
          <w:p w14:paraId="083541EF" w14:textId="77777777" w:rsidR="00E36C1B" w:rsidRDefault="00E36C1B">
            <w:pPr>
              <w:spacing w:after="160"/>
            </w:pPr>
            <w:r>
              <w:t>2023</w:t>
            </w:r>
          </w:p>
        </w:tc>
        <w:tc>
          <w:tcPr>
            <w:tcW w:w="0" w:type="auto"/>
            <w:hideMark/>
          </w:tcPr>
          <w:p w14:paraId="7E2F22B8" w14:textId="77777777" w:rsidR="00E36C1B" w:rsidRDefault="00E36C1B">
            <w:pPr>
              <w:spacing w:after="160"/>
            </w:pPr>
            <w:r>
              <w:t>Cochrane systematic review + NMA</w:t>
            </w:r>
          </w:p>
        </w:tc>
        <w:tc>
          <w:tcPr>
            <w:tcW w:w="0" w:type="auto"/>
            <w:hideMark/>
          </w:tcPr>
          <w:p w14:paraId="7153F62F" w14:textId="77777777" w:rsidR="00E36C1B" w:rsidRDefault="00E36C1B">
            <w:pPr>
              <w:spacing w:after="160"/>
            </w:pPr>
            <w:r>
              <w:t>DMO/DME anti-VEGF evidence; aflibercept, bevacizumab, brolucizumab, faricimab, ranibizumab, conbercept, laser/observation/sham controls.</w:t>
            </w:r>
          </w:p>
        </w:tc>
        <w:tc>
          <w:tcPr>
            <w:tcW w:w="0" w:type="auto"/>
            <w:hideMark/>
          </w:tcPr>
          <w:p w14:paraId="3D186754" w14:textId="77777777" w:rsidR="00E36C1B" w:rsidRDefault="00E36C1B">
            <w:pPr>
              <w:spacing w:after="160"/>
            </w:pPr>
            <w:r>
              <w:t>23 studies; 3513 participants with DMO; 13 studies industry-funded.</w:t>
            </w:r>
          </w:p>
        </w:tc>
        <w:tc>
          <w:tcPr>
            <w:tcW w:w="0" w:type="auto"/>
            <w:hideMark/>
          </w:tcPr>
          <w:p w14:paraId="6C40DDE6" w14:textId="77777777" w:rsidR="00E36C1B" w:rsidRDefault="00E36C1B"/>
        </w:tc>
      </w:tr>
      <w:tr w:rsidR="00E36C1B" w14:paraId="0361A05A" w14:textId="77777777">
        <w:tc>
          <w:tcPr>
            <w:tcW w:w="0" w:type="auto"/>
            <w:hideMark/>
          </w:tcPr>
          <w:p w14:paraId="4BF2069B" w14:textId="77777777" w:rsidR="00E36C1B" w:rsidRDefault="00E36C1B">
            <w:pPr>
              <w:spacing w:after="160"/>
            </w:pPr>
            <w:r>
              <w:t>2</w:t>
            </w:r>
          </w:p>
        </w:tc>
        <w:tc>
          <w:tcPr>
            <w:tcW w:w="0" w:type="auto"/>
            <w:hideMark/>
          </w:tcPr>
          <w:p w14:paraId="1EF44346" w14:textId="77777777" w:rsidR="00E36C1B" w:rsidRDefault="00E36C1B">
            <w:pPr>
              <w:spacing w:after="160"/>
            </w:pPr>
            <w:proofErr w:type="spellStart"/>
            <w:r>
              <w:t>Rittiphairoj</w:t>
            </w:r>
            <w:proofErr w:type="spellEnd"/>
            <w:r>
              <w:t xml:space="preserve"> 2020</w:t>
            </w:r>
          </w:p>
        </w:tc>
        <w:tc>
          <w:tcPr>
            <w:tcW w:w="0" w:type="auto"/>
            <w:hideMark/>
          </w:tcPr>
          <w:p w14:paraId="1BC59B8A" w14:textId="77777777" w:rsidR="00E36C1B" w:rsidRDefault="00E36C1B">
            <w:pPr>
              <w:spacing w:after="160"/>
            </w:pPr>
            <w:r>
              <w:t>2020</w:t>
            </w:r>
          </w:p>
        </w:tc>
        <w:tc>
          <w:tcPr>
            <w:tcW w:w="0" w:type="auto"/>
            <w:hideMark/>
          </w:tcPr>
          <w:p w14:paraId="06ECBF13" w14:textId="77777777" w:rsidR="00E36C1B" w:rsidRDefault="00E36C1B">
            <w:pPr>
              <w:spacing w:after="160"/>
            </w:pPr>
            <w:r>
              <w:t>Cochrane systematic review + meta-analysis</w:t>
            </w:r>
          </w:p>
        </w:tc>
        <w:tc>
          <w:tcPr>
            <w:tcW w:w="0" w:type="auto"/>
            <w:hideMark/>
          </w:tcPr>
          <w:p w14:paraId="436AE962" w14:textId="77777777" w:rsidR="00E36C1B" w:rsidRDefault="00E36C1B">
            <w:pPr>
              <w:spacing w:after="160"/>
            </w:pPr>
            <w:r>
              <w:t>DME intravitreal steroid monotherapy; dexamethasone, fluocinolone, triamcinolone versus sham, laser, anti-VEGF, or other controls.</w:t>
            </w:r>
          </w:p>
        </w:tc>
        <w:tc>
          <w:tcPr>
            <w:tcW w:w="0" w:type="auto"/>
            <w:hideMark/>
          </w:tcPr>
          <w:p w14:paraId="77883841" w14:textId="77777777" w:rsidR="00E36C1B" w:rsidRDefault="00E36C1B">
            <w:pPr>
              <w:spacing w:after="160"/>
            </w:pPr>
            <w:r>
              <w:t>10 trials; 4348 participants; 4505 eyes.</w:t>
            </w:r>
          </w:p>
        </w:tc>
        <w:tc>
          <w:tcPr>
            <w:tcW w:w="0" w:type="auto"/>
            <w:hideMark/>
          </w:tcPr>
          <w:p w14:paraId="3FE305C8" w14:textId="77777777" w:rsidR="00E36C1B" w:rsidRDefault="00E36C1B"/>
        </w:tc>
      </w:tr>
      <w:tr w:rsidR="00E36C1B" w14:paraId="3690BA87" w14:textId="77777777">
        <w:tc>
          <w:tcPr>
            <w:tcW w:w="0" w:type="auto"/>
            <w:hideMark/>
          </w:tcPr>
          <w:p w14:paraId="5351563D" w14:textId="77777777" w:rsidR="00E36C1B" w:rsidRDefault="00E36C1B">
            <w:pPr>
              <w:spacing w:after="160"/>
            </w:pPr>
            <w:r>
              <w:t>3</w:t>
            </w:r>
          </w:p>
        </w:tc>
        <w:tc>
          <w:tcPr>
            <w:tcW w:w="0" w:type="auto"/>
            <w:hideMark/>
          </w:tcPr>
          <w:p w14:paraId="72664F2E" w14:textId="77777777" w:rsidR="00E36C1B" w:rsidRDefault="00E36C1B">
            <w:pPr>
              <w:spacing w:after="160"/>
            </w:pPr>
            <w:r>
              <w:t>Simmonds 2025</w:t>
            </w:r>
          </w:p>
        </w:tc>
        <w:tc>
          <w:tcPr>
            <w:tcW w:w="0" w:type="auto"/>
            <w:hideMark/>
          </w:tcPr>
          <w:p w14:paraId="59F87C90" w14:textId="77777777" w:rsidR="00E36C1B" w:rsidRDefault="00E36C1B">
            <w:pPr>
              <w:spacing w:after="160"/>
            </w:pPr>
            <w:r>
              <w:t>2025</w:t>
            </w:r>
          </w:p>
        </w:tc>
        <w:tc>
          <w:tcPr>
            <w:tcW w:w="0" w:type="auto"/>
            <w:hideMark/>
          </w:tcPr>
          <w:p w14:paraId="2CCF8D09" w14:textId="77777777" w:rsidR="00E36C1B" w:rsidRDefault="00E36C1B">
            <w:pPr>
              <w:spacing w:after="160"/>
            </w:pPr>
            <w:r>
              <w:t>HTA systematic review + IPD meta-analysis + NMA</w:t>
            </w:r>
          </w:p>
        </w:tc>
        <w:tc>
          <w:tcPr>
            <w:tcW w:w="0" w:type="auto"/>
            <w:hideMark/>
          </w:tcPr>
          <w:p w14:paraId="31625B40" w14:textId="77777777" w:rsidR="00E36C1B" w:rsidRDefault="00E36C1B">
            <w:pPr>
              <w:spacing w:after="160"/>
            </w:pPr>
            <w:r>
              <w:t>PDR anti-VEGF alone or with PRP; aflibercept, bevacizumab, ranibizumab versus PRP or combination strategies.</w:t>
            </w:r>
          </w:p>
        </w:tc>
        <w:tc>
          <w:tcPr>
            <w:tcW w:w="0" w:type="auto"/>
            <w:hideMark/>
          </w:tcPr>
          <w:p w14:paraId="25537CF2" w14:textId="77777777" w:rsidR="00E36C1B" w:rsidRDefault="00E36C1B">
            <w:pPr>
              <w:spacing w:after="160"/>
            </w:pPr>
            <w:r>
              <w:t>12 trials; IPD from 3 large high-quality trials representing 624 participants.</w:t>
            </w:r>
          </w:p>
        </w:tc>
        <w:tc>
          <w:tcPr>
            <w:tcW w:w="0" w:type="auto"/>
            <w:hideMark/>
          </w:tcPr>
          <w:p w14:paraId="0EED0976" w14:textId="77777777" w:rsidR="00E36C1B" w:rsidRDefault="00E36C1B"/>
        </w:tc>
      </w:tr>
      <w:tr w:rsidR="00E36C1B" w14:paraId="7EB40F02" w14:textId="77777777">
        <w:tc>
          <w:tcPr>
            <w:tcW w:w="0" w:type="auto"/>
            <w:hideMark/>
          </w:tcPr>
          <w:p w14:paraId="69508B88" w14:textId="77777777" w:rsidR="00E36C1B" w:rsidRDefault="00E36C1B">
            <w:pPr>
              <w:spacing w:after="160"/>
            </w:pPr>
            <w:r>
              <w:t>4</w:t>
            </w:r>
          </w:p>
        </w:tc>
        <w:tc>
          <w:tcPr>
            <w:tcW w:w="0" w:type="auto"/>
            <w:hideMark/>
          </w:tcPr>
          <w:p w14:paraId="5205CCFA" w14:textId="77777777" w:rsidR="00E36C1B" w:rsidRDefault="00E36C1B">
            <w:pPr>
              <w:spacing w:after="160"/>
            </w:pPr>
            <w:r>
              <w:t>Wang 2022</w:t>
            </w:r>
          </w:p>
        </w:tc>
        <w:tc>
          <w:tcPr>
            <w:tcW w:w="0" w:type="auto"/>
            <w:hideMark/>
          </w:tcPr>
          <w:p w14:paraId="4395743A" w14:textId="77777777" w:rsidR="00E36C1B" w:rsidRDefault="00E36C1B">
            <w:pPr>
              <w:spacing w:after="160"/>
            </w:pPr>
            <w:r>
              <w:t>2022</w:t>
            </w:r>
          </w:p>
        </w:tc>
        <w:tc>
          <w:tcPr>
            <w:tcW w:w="0" w:type="auto"/>
            <w:hideMark/>
          </w:tcPr>
          <w:p w14:paraId="5798B401" w14:textId="77777777" w:rsidR="00E36C1B" w:rsidRDefault="00E36C1B">
            <w:pPr>
              <w:spacing w:after="160"/>
            </w:pPr>
            <w:r>
              <w:t>Systematic review + Bayesian NMA</w:t>
            </w:r>
          </w:p>
        </w:tc>
        <w:tc>
          <w:tcPr>
            <w:tcW w:w="0" w:type="auto"/>
            <w:hideMark/>
          </w:tcPr>
          <w:p w14:paraId="183E6986" w14:textId="77777777" w:rsidR="00E36C1B" w:rsidRDefault="00E36C1B">
            <w:pPr>
              <w:spacing w:after="160"/>
            </w:pPr>
            <w:r>
              <w:t>DME anti-VEGF comparisons including aflibercept, ranibizumab, conbercept, and bevacizumab in some analyses.</w:t>
            </w:r>
          </w:p>
        </w:tc>
        <w:tc>
          <w:tcPr>
            <w:tcW w:w="0" w:type="auto"/>
            <w:hideMark/>
          </w:tcPr>
          <w:p w14:paraId="2D630762" w14:textId="77777777" w:rsidR="00E36C1B" w:rsidRDefault="00E36C1B">
            <w:pPr>
              <w:spacing w:after="160"/>
            </w:pPr>
            <w:r>
              <w:t>43 RCTs; 8234 patients.</w:t>
            </w:r>
          </w:p>
        </w:tc>
        <w:tc>
          <w:tcPr>
            <w:tcW w:w="0" w:type="auto"/>
            <w:hideMark/>
          </w:tcPr>
          <w:p w14:paraId="4B1EFBF0" w14:textId="77777777" w:rsidR="00E36C1B" w:rsidRDefault="00E36C1B"/>
        </w:tc>
      </w:tr>
      <w:tr w:rsidR="00E36C1B" w14:paraId="5770B8B3" w14:textId="77777777">
        <w:tc>
          <w:tcPr>
            <w:tcW w:w="0" w:type="auto"/>
            <w:hideMark/>
          </w:tcPr>
          <w:p w14:paraId="5CB0C459" w14:textId="77777777" w:rsidR="00E36C1B" w:rsidRDefault="00E36C1B">
            <w:pPr>
              <w:spacing w:after="160"/>
            </w:pPr>
            <w:r>
              <w:t>5</w:t>
            </w:r>
          </w:p>
        </w:tc>
        <w:tc>
          <w:tcPr>
            <w:tcW w:w="0" w:type="auto"/>
            <w:hideMark/>
          </w:tcPr>
          <w:p w14:paraId="046977A8" w14:textId="77777777" w:rsidR="00E36C1B" w:rsidRDefault="00E36C1B">
            <w:pPr>
              <w:spacing w:after="160"/>
            </w:pPr>
            <w:r>
              <w:t>Sydnor 2023</w:t>
            </w:r>
          </w:p>
        </w:tc>
        <w:tc>
          <w:tcPr>
            <w:tcW w:w="0" w:type="auto"/>
            <w:hideMark/>
          </w:tcPr>
          <w:p w14:paraId="5D201C08" w14:textId="77777777" w:rsidR="00E36C1B" w:rsidRDefault="00E36C1B">
            <w:pPr>
              <w:spacing w:after="160"/>
            </w:pPr>
            <w:r>
              <w:t>2023</w:t>
            </w:r>
          </w:p>
        </w:tc>
        <w:tc>
          <w:tcPr>
            <w:tcW w:w="0" w:type="auto"/>
            <w:hideMark/>
          </w:tcPr>
          <w:p w14:paraId="33E03AFF" w14:textId="77777777" w:rsidR="00E36C1B" w:rsidRDefault="00E36C1B">
            <w:pPr>
              <w:spacing w:after="160"/>
            </w:pPr>
            <w:r>
              <w:t>Systematic literature review + Bayesian NMA</w:t>
            </w:r>
          </w:p>
        </w:tc>
        <w:tc>
          <w:tcPr>
            <w:tcW w:w="0" w:type="auto"/>
            <w:hideMark/>
          </w:tcPr>
          <w:p w14:paraId="3C44052E" w14:textId="77777777" w:rsidR="00E36C1B" w:rsidRDefault="00E36C1B">
            <w:pPr>
              <w:spacing w:after="160"/>
            </w:pPr>
            <w:r>
              <w:t>DMO/DME visual impairment; brolucizumab, aflibercept, and ranibizumab dosing regimens.</w:t>
            </w:r>
          </w:p>
        </w:tc>
        <w:tc>
          <w:tcPr>
            <w:tcW w:w="0" w:type="auto"/>
            <w:hideMark/>
          </w:tcPr>
          <w:p w14:paraId="18878690" w14:textId="77777777" w:rsidR="00E36C1B" w:rsidRDefault="00E36C1B">
            <w:pPr>
              <w:spacing w:after="160"/>
            </w:pPr>
            <w:r>
              <w:t>14 studies in NMA.</w:t>
            </w:r>
          </w:p>
        </w:tc>
        <w:tc>
          <w:tcPr>
            <w:tcW w:w="0" w:type="auto"/>
            <w:hideMark/>
          </w:tcPr>
          <w:p w14:paraId="2241F56A" w14:textId="77777777" w:rsidR="00E36C1B" w:rsidRDefault="00E36C1B"/>
        </w:tc>
      </w:tr>
    </w:tbl>
    <w:p w14:paraId="0CD31B71" w14:textId="77777777" w:rsidR="00E36C1B" w:rsidRDefault="00E36C1B"/>
    <w:tbl>
      <w:tblPr>
        <w:tblStyle w:val="TableGrid"/>
        <w:tblW w:w="5000" w:type="pct"/>
        <w:tblLook w:val="04A0" w:firstRow="1" w:lastRow="0" w:firstColumn="1" w:lastColumn="0" w:noHBand="0" w:noVBand="1"/>
      </w:tblPr>
      <w:tblGrid>
        <w:gridCol w:w="392"/>
        <w:gridCol w:w="1347"/>
        <w:gridCol w:w="569"/>
        <w:gridCol w:w="1330"/>
        <w:gridCol w:w="1883"/>
        <w:gridCol w:w="1942"/>
        <w:gridCol w:w="1524"/>
      </w:tblGrid>
      <w:tr w:rsidR="0032014D" w14:paraId="77A627EF" w14:textId="77777777" w:rsidTr="0032014D">
        <w:trPr>
          <w:cnfStyle w:val="100000000000" w:firstRow="1" w:lastRow="0" w:firstColumn="0" w:lastColumn="0" w:oddVBand="0" w:evenVBand="0" w:oddHBand="0" w:evenHBand="0" w:firstRowFirstColumn="0" w:firstRowLastColumn="0" w:lastRowFirstColumn="0" w:lastRowLastColumn="0"/>
        </w:trPr>
        <w:tc>
          <w:tcPr>
            <w:tcW w:w="0" w:type="auto"/>
            <w:tcBorders>
              <w:top w:val="single" w:sz="6" w:space="0" w:color="A6A6A6"/>
              <w:left w:val="single" w:sz="6" w:space="0" w:color="A6A6A6"/>
              <w:bottom w:val="single" w:sz="6" w:space="0" w:color="A6A6A6"/>
              <w:right w:val="single" w:sz="6" w:space="0" w:color="A6A6A6"/>
            </w:tcBorders>
            <w:shd w:val="clear" w:color="auto" w:fill="FFFFFF"/>
            <w:tcMar>
              <w:top w:w="60" w:type="dxa"/>
              <w:left w:w="60" w:type="dxa"/>
              <w:bottom w:w="60" w:type="dxa"/>
              <w:right w:w="60" w:type="dxa"/>
            </w:tcMar>
            <w:hideMark/>
          </w:tcPr>
          <w:p w14:paraId="1215D799" w14:textId="58F02AB1" w:rsidR="0032014D" w:rsidRDefault="0032014D" w:rsidP="0032014D">
            <w:pPr>
              <w:rPr>
                <w:kern w:val="0"/>
                <w14:ligatures w14:val="none"/>
              </w:rPr>
            </w:pPr>
            <w:r>
              <w:rPr>
                <w:color w:val="000000"/>
              </w:rPr>
              <w:t>6</w:t>
            </w:r>
          </w:p>
        </w:tc>
        <w:tc>
          <w:tcPr>
            <w:tcW w:w="0" w:type="auto"/>
            <w:tcBorders>
              <w:top w:val="single" w:sz="6" w:space="0" w:color="A6A6A6"/>
              <w:bottom w:val="single" w:sz="6" w:space="0" w:color="A6A6A6"/>
              <w:right w:val="single" w:sz="6" w:space="0" w:color="A6A6A6"/>
            </w:tcBorders>
            <w:shd w:val="clear" w:color="auto" w:fill="FFFFFF"/>
            <w:tcMar>
              <w:top w:w="60" w:type="dxa"/>
              <w:left w:w="60" w:type="dxa"/>
              <w:bottom w:w="60" w:type="dxa"/>
              <w:right w:w="60" w:type="dxa"/>
            </w:tcMar>
            <w:hideMark/>
          </w:tcPr>
          <w:p w14:paraId="6AFCD023" w14:textId="25CE69B2" w:rsidR="0032014D" w:rsidRDefault="0032014D" w:rsidP="0032014D">
            <w:r>
              <w:rPr>
                <w:color w:val="000000"/>
              </w:rPr>
              <w:t>Justino 2024</w:t>
            </w:r>
          </w:p>
        </w:tc>
        <w:tc>
          <w:tcPr>
            <w:tcW w:w="0" w:type="auto"/>
            <w:tcBorders>
              <w:top w:val="single" w:sz="6" w:space="0" w:color="A6A6A6"/>
              <w:bottom w:val="single" w:sz="6" w:space="0" w:color="A6A6A6"/>
              <w:right w:val="single" w:sz="6" w:space="0" w:color="A6A6A6"/>
            </w:tcBorders>
            <w:shd w:val="clear" w:color="auto" w:fill="FFFFFF"/>
            <w:tcMar>
              <w:top w:w="60" w:type="dxa"/>
              <w:left w:w="60" w:type="dxa"/>
              <w:bottom w:w="60" w:type="dxa"/>
              <w:right w:w="60" w:type="dxa"/>
            </w:tcMar>
            <w:hideMark/>
          </w:tcPr>
          <w:p w14:paraId="7FC9BA75" w14:textId="0B56D73F" w:rsidR="0032014D" w:rsidRDefault="0032014D" w:rsidP="0032014D">
            <w:r>
              <w:rPr>
                <w:color w:val="000000"/>
              </w:rPr>
              <w:t>2024</w:t>
            </w:r>
          </w:p>
        </w:tc>
        <w:tc>
          <w:tcPr>
            <w:tcW w:w="0" w:type="auto"/>
            <w:tcBorders>
              <w:top w:val="single" w:sz="6" w:space="0" w:color="A6A6A6"/>
              <w:bottom w:val="single" w:sz="6" w:space="0" w:color="A6A6A6"/>
              <w:right w:val="single" w:sz="6" w:space="0" w:color="A6A6A6"/>
            </w:tcBorders>
            <w:shd w:val="clear" w:color="auto" w:fill="FFFFFF"/>
            <w:tcMar>
              <w:top w:w="60" w:type="dxa"/>
              <w:left w:w="60" w:type="dxa"/>
              <w:bottom w:w="60" w:type="dxa"/>
              <w:right w:w="60" w:type="dxa"/>
            </w:tcMar>
            <w:hideMark/>
          </w:tcPr>
          <w:p w14:paraId="7903227F" w14:textId="4DC75A0D" w:rsidR="0032014D" w:rsidRDefault="0032014D" w:rsidP="0032014D">
            <w:r>
              <w:rPr>
                <w:color w:val="000000"/>
              </w:rPr>
              <w:t>Systematic review and meta-analysis with trial sequential analysis</w:t>
            </w:r>
          </w:p>
        </w:tc>
        <w:tc>
          <w:tcPr>
            <w:tcW w:w="0" w:type="auto"/>
            <w:tcBorders>
              <w:top w:val="single" w:sz="6" w:space="0" w:color="A6A6A6"/>
              <w:bottom w:val="single" w:sz="6" w:space="0" w:color="A6A6A6"/>
              <w:right w:val="single" w:sz="6" w:space="0" w:color="A6A6A6"/>
            </w:tcBorders>
            <w:shd w:val="clear" w:color="auto" w:fill="FFFFFF"/>
            <w:tcMar>
              <w:top w:w="60" w:type="dxa"/>
              <w:left w:w="60" w:type="dxa"/>
              <w:bottom w:w="60" w:type="dxa"/>
              <w:right w:w="60" w:type="dxa"/>
            </w:tcMar>
            <w:hideMark/>
          </w:tcPr>
          <w:p w14:paraId="084F560E" w14:textId="045E8130" w:rsidR="0032014D" w:rsidRDefault="0032014D" w:rsidP="0032014D">
            <w:r>
              <w:rPr>
                <w:color w:val="000000"/>
              </w:rPr>
              <w:t>DME; brolucizumab versus aflibercept.</w:t>
            </w:r>
          </w:p>
        </w:tc>
        <w:tc>
          <w:tcPr>
            <w:tcW w:w="0" w:type="auto"/>
            <w:tcBorders>
              <w:top w:val="single" w:sz="6" w:space="0" w:color="A6A6A6"/>
              <w:bottom w:val="single" w:sz="6" w:space="0" w:color="A6A6A6"/>
              <w:right w:val="single" w:sz="6" w:space="0" w:color="A6A6A6"/>
            </w:tcBorders>
            <w:shd w:val="clear" w:color="auto" w:fill="FFFFFF"/>
            <w:tcMar>
              <w:top w:w="60" w:type="dxa"/>
              <w:left w:w="60" w:type="dxa"/>
              <w:bottom w:w="60" w:type="dxa"/>
              <w:right w:w="60" w:type="dxa"/>
            </w:tcMar>
            <w:hideMark/>
          </w:tcPr>
          <w:p w14:paraId="66A50A8F" w14:textId="57E13852" w:rsidR="0032014D" w:rsidRDefault="0032014D" w:rsidP="0032014D">
            <w:r>
              <w:rPr>
                <w:color w:val="000000"/>
              </w:rPr>
              <w:t>3 RCTs; 1253 patients/eyes; follow-up 52–100 weeks; BCVA, CST/CRT, safety.</w:t>
            </w:r>
          </w:p>
        </w:tc>
        <w:tc>
          <w:tcPr>
            <w:tcW w:w="0" w:type="auto"/>
            <w:tcBorders>
              <w:top w:val="single" w:sz="6" w:space="0" w:color="A6A6A6"/>
              <w:bottom w:val="single" w:sz="6" w:space="0" w:color="A6A6A6"/>
              <w:right w:val="single" w:sz="6" w:space="0" w:color="A6A6A6"/>
            </w:tcBorders>
            <w:shd w:val="clear" w:color="auto" w:fill="FFFFFF"/>
            <w:tcMar>
              <w:top w:w="60" w:type="dxa"/>
              <w:left w:w="60" w:type="dxa"/>
              <w:bottom w:w="60" w:type="dxa"/>
              <w:right w:w="60" w:type="dxa"/>
            </w:tcMar>
            <w:hideMark/>
          </w:tcPr>
          <w:p w14:paraId="649307FC" w14:textId="49951032" w:rsidR="0032014D" w:rsidRDefault="0032014D" w:rsidP="0032014D">
            <w:r>
              <w:rPr>
                <w:color w:val="000000"/>
              </w:rPr>
              <w:t xml:space="preserve">Moderate initial confidence; RCT-only comparison with trial </w:t>
            </w:r>
            <w:r>
              <w:rPr>
                <w:color w:val="000000"/>
              </w:rPr>
              <w:lastRenderedPageBreak/>
              <w:t>sequential analysis.</w:t>
            </w:r>
          </w:p>
        </w:tc>
      </w:tr>
      <w:tr w:rsidR="00E36C1B" w14:paraId="3142C431" w14:textId="77777777">
        <w:tc>
          <w:tcPr>
            <w:tcW w:w="0" w:type="auto"/>
            <w:hideMark/>
          </w:tcPr>
          <w:p w14:paraId="47C0862D" w14:textId="77777777" w:rsidR="00E36C1B" w:rsidRDefault="00E36C1B">
            <w:pPr>
              <w:spacing w:after="160"/>
            </w:pPr>
            <w:r>
              <w:lastRenderedPageBreak/>
              <w:t>7</w:t>
            </w:r>
          </w:p>
        </w:tc>
        <w:tc>
          <w:tcPr>
            <w:tcW w:w="0" w:type="auto"/>
            <w:hideMark/>
          </w:tcPr>
          <w:p w14:paraId="3FE83734" w14:textId="77777777" w:rsidR="00E36C1B" w:rsidRDefault="00E36C1B">
            <w:pPr>
              <w:spacing w:after="160"/>
            </w:pPr>
            <w:r>
              <w:t>Tahmasebi 2025</w:t>
            </w:r>
          </w:p>
        </w:tc>
        <w:tc>
          <w:tcPr>
            <w:tcW w:w="0" w:type="auto"/>
            <w:hideMark/>
          </w:tcPr>
          <w:p w14:paraId="4A9A8AF9" w14:textId="77777777" w:rsidR="00E36C1B" w:rsidRDefault="00E36C1B">
            <w:pPr>
              <w:spacing w:after="160"/>
            </w:pPr>
            <w:r>
              <w:t>2025</w:t>
            </w:r>
          </w:p>
        </w:tc>
        <w:tc>
          <w:tcPr>
            <w:tcW w:w="0" w:type="auto"/>
            <w:hideMark/>
          </w:tcPr>
          <w:p w14:paraId="25D25E6E" w14:textId="77777777" w:rsidR="00E36C1B" w:rsidRDefault="00E36C1B">
            <w:pPr>
              <w:spacing w:after="160"/>
            </w:pPr>
            <w:r>
              <w:t>Systematic review + meta-analysis</w:t>
            </w:r>
          </w:p>
        </w:tc>
        <w:tc>
          <w:tcPr>
            <w:tcW w:w="0" w:type="auto"/>
            <w:hideMark/>
          </w:tcPr>
          <w:p w14:paraId="127D71FD" w14:textId="77777777" w:rsidR="00E36C1B" w:rsidRDefault="00E36C1B">
            <w:pPr>
              <w:spacing w:after="160"/>
            </w:pPr>
            <w:r>
              <w:t>Persistent/refractory DME; switch to intravitreal faricimab.</w:t>
            </w:r>
          </w:p>
        </w:tc>
        <w:tc>
          <w:tcPr>
            <w:tcW w:w="0" w:type="auto"/>
            <w:hideMark/>
          </w:tcPr>
          <w:p w14:paraId="718AAA15" w14:textId="77777777" w:rsidR="00E36C1B" w:rsidRDefault="00E36C1B">
            <w:pPr>
              <w:spacing w:after="160"/>
            </w:pPr>
            <w:r>
              <w:t>15 studies; 629 eyes from 564 patients; BCVA, CST/CRT, treatment interval.</w:t>
            </w:r>
          </w:p>
        </w:tc>
        <w:tc>
          <w:tcPr>
            <w:tcW w:w="0" w:type="auto"/>
            <w:hideMark/>
          </w:tcPr>
          <w:p w14:paraId="6FABEA27" w14:textId="77777777" w:rsidR="00E36C1B" w:rsidRDefault="00E36C1B">
            <w:pPr>
              <w:spacing w:after="160"/>
            </w:pPr>
            <w:r>
              <w:t>Retrospective evidence; supportive switching evidence.</w:t>
            </w:r>
          </w:p>
        </w:tc>
      </w:tr>
      <w:tr w:rsidR="00E36C1B" w14:paraId="4B4C84C6" w14:textId="77777777">
        <w:tc>
          <w:tcPr>
            <w:tcW w:w="0" w:type="auto"/>
            <w:hideMark/>
          </w:tcPr>
          <w:p w14:paraId="696D6689" w14:textId="77777777" w:rsidR="00E36C1B" w:rsidRDefault="00E36C1B">
            <w:pPr>
              <w:spacing w:after="160"/>
            </w:pPr>
            <w:r>
              <w:t>8</w:t>
            </w:r>
          </w:p>
        </w:tc>
        <w:tc>
          <w:tcPr>
            <w:tcW w:w="0" w:type="auto"/>
            <w:hideMark/>
          </w:tcPr>
          <w:p w14:paraId="250394B3" w14:textId="77777777" w:rsidR="00E36C1B" w:rsidRDefault="00E36C1B">
            <w:pPr>
              <w:spacing w:after="160"/>
            </w:pPr>
            <w:proofErr w:type="spellStart"/>
            <w:r>
              <w:t>Madjedi</w:t>
            </w:r>
            <w:proofErr w:type="spellEnd"/>
            <w:r>
              <w:t xml:space="preserve"> 2022</w:t>
            </w:r>
          </w:p>
        </w:tc>
        <w:tc>
          <w:tcPr>
            <w:tcW w:w="0" w:type="auto"/>
            <w:hideMark/>
          </w:tcPr>
          <w:p w14:paraId="156C6555" w14:textId="77777777" w:rsidR="00E36C1B" w:rsidRDefault="00E36C1B">
            <w:pPr>
              <w:spacing w:after="160"/>
            </w:pPr>
            <w:r>
              <w:t>2022</w:t>
            </w:r>
          </w:p>
        </w:tc>
        <w:tc>
          <w:tcPr>
            <w:tcW w:w="0" w:type="auto"/>
            <w:hideMark/>
          </w:tcPr>
          <w:p w14:paraId="7A781A3C" w14:textId="77777777" w:rsidR="00E36C1B" w:rsidRDefault="00E36C1B">
            <w:pPr>
              <w:spacing w:after="160"/>
            </w:pPr>
            <w:r>
              <w:t>Systematic review narrative synthesis</w:t>
            </w:r>
          </w:p>
        </w:tc>
        <w:tc>
          <w:tcPr>
            <w:tcW w:w="0" w:type="auto"/>
            <w:hideMark/>
          </w:tcPr>
          <w:p w14:paraId="6C935E04" w14:textId="77777777" w:rsidR="00E36C1B" w:rsidRDefault="00E36C1B">
            <w:pPr>
              <w:spacing w:after="160"/>
            </w:pPr>
            <w:r>
              <w:t>Refractory DME; switching anti-VEGF agents, especially to aflibercept.</w:t>
            </w:r>
          </w:p>
        </w:tc>
        <w:tc>
          <w:tcPr>
            <w:tcW w:w="0" w:type="auto"/>
            <w:hideMark/>
          </w:tcPr>
          <w:p w14:paraId="6C8AA0C8" w14:textId="77777777" w:rsidR="00E36C1B" w:rsidRDefault="00E36C1B">
            <w:pPr>
              <w:spacing w:after="160"/>
            </w:pPr>
            <w:r>
              <w:t>24 studies; anatomical and visual outcomes after switching.</w:t>
            </w:r>
          </w:p>
        </w:tc>
        <w:tc>
          <w:tcPr>
            <w:tcW w:w="0" w:type="auto"/>
            <w:hideMark/>
          </w:tcPr>
          <w:p w14:paraId="1D471710" w14:textId="77777777" w:rsidR="00E36C1B" w:rsidRDefault="00E36C1B"/>
        </w:tc>
      </w:tr>
      <w:tr w:rsidR="00E36C1B" w14:paraId="1ECDD27D" w14:textId="77777777">
        <w:tc>
          <w:tcPr>
            <w:tcW w:w="0" w:type="auto"/>
            <w:hideMark/>
          </w:tcPr>
          <w:p w14:paraId="518E701A" w14:textId="77777777" w:rsidR="00E36C1B" w:rsidRDefault="00E36C1B">
            <w:pPr>
              <w:spacing w:after="160"/>
            </w:pPr>
            <w:r>
              <w:t>9</w:t>
            </w:r>
          </w:p>
        </w:tc>
        <w:tc>
          <w:tcPr>
            <w:tcW w:w="0" w:type="auto"/>
            <w:hideMark/>
          </w:tcPr>
          <w:p w14:paraId="606F7CEB" w14:textId="77777777" w:rsidR="00E36C1B" w:rsidRDefault="00E36C1B">
            <w:pPr>
              <w:spacing w:after="160"/>
            </w:pPr>
            <w:r>
              <w:t>Xiao 2020</w:t>
            </w:r>
          </w:p>
        </w:tc>
        <w:tc>
          <w:tcPr>
            <w:tcW w:w="0" w:type="auto"/>
            <w:hideMark/>
          </w:tcPr>
          <w:p w14:paraId="30183DA8" w14:textId="77777777" w:rsidR="00E36C1B" w:rsidRDefault="00E36C1B">
            <w:pPr>
              <w:spacing w:after="160"/>
            </w:pPr>
            <w:r>
              <w:t>2020</w:t>
            </w:r>
          </w:p>
        </w:tc>
        <w:tc>
          <w:tcPr>
            <w:tcW w:w="0" w:type="auto"/>
            <w:hideMark/>
          </w:tcPr>
          <w:p w14:paraId="2D021A4B" w14:textId="77777777" w:rsidR="00E36C1B" w:rsidRDefault="00E36C1B">
            <w:pPr>
              <w:spacing w:after="160"/>
            </w:pPr>
            <w:r>
              <w:t>Systematic review + meta-analysis of nonrandomized studies</w:t>
            </w:r>
          </w:p>
        </w:tc>
        <w:tc>
          <w:tcPr>
            <w:tcW w:w="0" w:type="auto"/>
            <w:hideMark/>
          </w:tcPr>
          <w:p w14:paraId="44B774EE" w14:textId="77777777" w:rsidR="00E36C1B" w:rsidRDefault="00E36C1B">
            <w:pPr>
              <w:spacing w:after="160"/>
            </w:pPr>
            <w:r>
              <w:t>Refractory DME after bevacizumab or ranibizumab; conversion to aflibercept.</w:t>
            </w:r>
          </w:p>
        </w:tc>
        <w:tc>
          <w:tcPr>
            <w:tcW w:w="0" w:type="auto"/>
            <w:hideMark/>
          </w:tcPr>
          <w:p w14:paraId="4D0DA574" w14:textId="77777777" w:rsidR="00E36C1B" w:rsidRDefault="00E36C1B">
            <w:pPr>
              <w:spacing w:after="160"/>
            </w:pPr>
            <w:r>
              <w:t>11 nonrandomized studies; visual and anatomic outcomes.</w:t>
            </w:r>
          </w:p>
        </w:tc>
        <w:tc>
          <w:tcPr>
            <w:tcW w:w="0" w:type="auto"/>
            <w:hideMark/>
          </w:tcPr>
          <w:p w14:paraId="1F912890" w14:textId="77777777" w:rsidR="00E36C1B" w:rsidRDefault="00E36C1B"/>
        </w:tc>
      </w:tr>
      <w:tr w:rsidR="00E36C1B" w14:paraId="18638364" w14:textId="77777777">
        <w:tc>
          <w:tcPr>
            <w:tcW w:w="0" w:type="auto"/>
            <w:hideMark/>
          </w:tcPr>
          <w:p w14:paraId="5910C566" w14:textId="77777777" w:rsidR="00E36C1B" w:rsidRDefault="00E36C1B">
            <w:pPr>
              <w:spacing w:after="160"/>
            </w:pPr>
            <w:r>
              <w:t>10</w:t>
            </w:r>
          </w:p>
        </w:tc>
        <w:tc>
          <w:tcPr>
            <w:tcW w:w="0" w:type="auto"/>
            <w:hideMark/>
          </w:tcPr>
          <w:p w14:paraId="7371B889" w14:textId="77777777" w:rsidR="00E36C1B" w:rsidRDefault="00E36C1B">
            <w:pPr>
              <w:spacing w:after="160"/>
            </w:pPr>
            <w:r>
              <w:t>Liu 2020</w:t>
            </w:r>
          </w:p>
        </w:tc>
        <w:tc>
          <w:tcPr>
            <w:tcW w:w="0" w:type="auto"/>
            <w:hideMark/>
          </w:tcPr>
          <w:p w14:paraId="6CC161D8" w14:textId="77777777" w:rsidR="00E36C1B" w:rsidRDefault="00E36C1B">
            <w:pPr>
              <w:spacing w:after="160"/>
            </w:pPr>
            <w:r>
              <w:t>2020</w:t>
            </w:r>
          </w:p>
        </w:tc>
        <w:tc>
          <w:tcPr>
            <w:tcW w:w="0" w:type="auto"/>
            <w:hideMark/>
          </w:tcPr>
          <w:p w14:paraId="51D381E5" w14:textId="77777777" w:rsidR="00E36C1B" w:rsidRDefault="00E36C1B">
            <w:pPr>
              <w:spacing w:after="160"/>
            </w:pPr>
            <w:r>
              <w:t>Systematic review + meta-analysis</w:t>
            </w:r>
          </w:p>
        </w:tc>
        <w:tc>
          <w:tcPr>
            <w:tcW w:w="0" w:type="auto"/>
            <w:hideMark/>
          </w:tcPr>
          <w:p w14:paraId="3A2B13B8" w14:textId="77777777" w:rsidR="00E36C1B" w:rsidRDefault="00E36C1B">
            <w:pPr>
              <w:spacing w:after="160"/>
            </w:pPr>
            <w:r>
              <w:t>Persistent DME with unsatisfactory response to bevacizumab and/or ranibizumab; switch to aflibercept.</w:t>
            </w:r>
          </w:p>
        </w:tc>
        <w:tc>
          <w:tcPr>
            <w:tcW w:w="0" w:type="auto"/>
            <w:hideMark/>
          </w:tcPr>
          <w:p w14:paraId="21A05868" w14:textId="77777777" w:rsidR="00E36C1B" w:rsidRDefault="00E36C1B">
            <w:pPr>
              <w:spacing w:after="160"/>
            </w:pPr>
            <w:r>
              <w:t>14 studies; 489 eyes; BCVA and central thickness outcomes.</w:t>
            </w:r>
          </w:p>
        </w:tc>
        <w:tc>
          <w:tcPr>
            <w:tcW w:w="0" w:type="auto"/>
            <w:hideMark/>
          </w:tcPr>
          <w:p w14:paraId="1F6C4A1A" w14:textId="77777777" w:rsidR="00E36C1B" w:rsidRDefault="00E36C1B"/>
        </w:tc>
      </w:tr>
      <w:tr w:rsidR="00E36C1B" w14:paraId="4C03593D" w14:textId="77777777">
        <w:tc>
          <w:tcPr>
            <w:tcW w:w="0" w:type="auto"/>
            <w:hideMark/>
          </w:tcPr>
          <w:p w14:paraId="3CB452CB" w14:textId="77777777" w:rsidR="00E36C1B" w:rsidRDefault="00E36C1B">
            <w:pPr>
              <w:spacing w:after="160"/>
            </w:pPr>
            <w:r>
              <w:t>11</w:t>
            </w:r>
          </w:p>
        </w:tc>
        <w:tc>
          <w:tcPr>
            <w:tcW w:w="0" w:type="auto"/>
            <w:hideMark/>
          </w:tcPr>
          <w:p w14:paraId="6CD909D0" w14:textId="77777777" w:rsidR="00E36C1B" w:rsidRDefault="00E36C1B">
            <w:pPr>
              <w:spacing w:after="160"/>
            </w:pPr>
            <w:r>
              <w:t>Xu et al. 2024</w:t>
            </w:r>
          </w:p>
        </w:tc>
        <w:tc>
          <w:tcPr>
            <w:tcW w:w="0" w:type="auto"/>
            <w:hideMark/>
          </w:tcPr>
          <w:p w14:paraId="5D5A691F" w14:textId="77777777" w:rsidR="00E36C1B" w:rsidRDefault="00E36C1B">
            <w:pPr>
              <w:spacing w:after="160"/>
            </w:pPr>
            <w:r>
              <w:t>2024</w:t>
            </w:r>
          </w:p>
        </w:tc>
        <w:tc>
          <w:tcPr>
            <w:tcW w:w="0" w:type="auto"/>
            <w:hideMark/>
          </w:tcPr>
          <w:p w14:paraId="707FAE23" w14:textId="77777777" w:rsidR="00E36C1B" w:rsidRDefault="00E36C1B">
            <w:pPr>
              <w:spacing w:after="160"/>
            </w:pPr>
            <w:r>
              <w:t>Systematic review and meta-analysis</w:t>
            </w:r>
          </w:p>
        </w:tc>
        <w:tc>
          <w:tcPr>
            <w:tcW w:w="0" w:type="auto"/>
            <w:hideMark/>
          </w:tcPr>
          <w:p w14:paraId="6D4879C9" w14:textId="77777777" w:rsidR="00E36C1B" w:rsidRDefault="00E36C1B">
            <w:pPr>
              <w:spacing w:after="160"/>
            </w:pPr>
            <w:r>
              <w:t>DME steroid sequencing; dexamethasone implant in naïve versus refractory DME.</w:t>
            </w:r>
          </w:p>
        </w:tc>
        <w:tc>
          <w:tcPr>
            <w:tcW w:w="0" w:type="auto"/>
            <w:hideMark/>
          </w:tcPr>
          <w:p w14:paraId="107504A4" w14:textId="77777777" w:rsidR="00E36C1B" w:rsidRDefault="00E36C1B">
            <w:pPr>
              <w:spacing w:after="160"/>
            </w:pPr>
            <w:r>
              <w:t>10 comparative studies; 1000 DME eyes; BCVA, CRT, injections, IOP, cataract.</w:t>
            </w:r>
          </w:p>
        </w:tc>
        <w:tc>
          <w:tcPr>
            <w:tcW w:w="0" w:type="auto"/>
            <w:hideMark/>
          </w:tcPr>
          <w:p w14:paraId="743FBB5A" w14:textId="77777777" w:rsidR="00E36C1B" w:rsidRDefault="00E36C1B"/>
        </w:tc>
      </w:tr>
      <w:tr w:rsidR="00E36C1B" w14:paraId="5FF58642" w14:textId="77777777">
        <w:tc>
          <w:tcPr>
            <w:tcW w:w="0" w:type="auto"/>
            <w:hideMark/>
          </w:tcPr>
          <w:p w14:paraId="37836894" w14:textId="77777777" w:rsidR="00E36C1B" w:rsidRDefault="00E36C1B">
            <w:pPr>
              <w:spacing w:after="160"/>
            </w:pPr>
            <w:r>
              <w:t>12</w:t>
            </w:r>
          </w:p>
        </w:tc>
        <w:tc>
          <w:tcPr>
            <w:tcW w:w="0" w:type="auto"/>
            <w:hideMark/>
          </w:tcPr>
          <w:p w14:paraId="474FD36D" w14:textId="77777777" w:rsidR="00E36C1B" w:rsidRDefault="00E36C1B">
            <w:pPr>
              <w:spacing w:after="160"/>
            </w:pPr>
            <w:r>
              <w:t>Ma et al. 2024</w:t>
            </w:r>
          </w:p>
        </w:tc>
        <w:tc>
          <w:tcPr>
            <w:tcW w:w="0" w:type="auto"/>
            <w:hideMark/>
          </w:tcPr>
          <w:p w14:paraId="5C6ED862" w14:textId="77777777" w:rsidR="00E36C1B" w:rsidRDefault="00E36C1B">
            <w:pPr>
              <w:spacing w:after="160"/>
            </w:pPr>
            <w:r>
              <w:t>2024</w:t>
            </w:r>
          </w:p>
        </w:tc>
        <w:tc>
          <w:tcPr>
            <w:tcW w:w="0" w:type="auto"/>
            <w:hideMark/>
          </w:tcPr>
          <w:p w14:paraId="23701500" w14:textId="77777777" w:rsidR="00E36C1B" w:rsidRDefault="00E36C1B">
            <w:pPr>
              <w:spacing w:after="160"/>
            </w:pPr>
            <w:r>
              <w:t>Systematic review and meta-analysis</w:t>
            </w:r>
          </w:p>
        </w:tc>
        <w:tc>
          <w:tcPr>
            <w:tcW w:w="0" w:type="auto"/>
            <w:hideMark/>
          </w:tcPr>
          <w:p w14:paraId="1DE25BF9" w14:textId="77777777" w:rsidR="00E36C1B" w:rsidRDefault="00E36C1B">
            <w:pPr>
              <w:spacing w:after="160"/>
            </w:pPr>
            <w:r>
              <w:t>Persistent DME; anti-VEGF plus ocular steroid therapy versus anti-VEGF monotherapy.</w:t>
            </w:r>
          </w:p>
        </w:tc>
        <w:tc>
          <w:tcPr>
            <w:tcW w:w="0" w:type="auto"/>
            <w:hideMark/>
          </w:tcPr>
          <w:p w14:paraId="0FEF1110" w14:textId="77777777" w:rsidR="00E36C1B" w:rsidRDefault="00E36C1B">
            <w:pPr>
              <w:spacing w:after="160"/>
            </w:pPr>
            <w:r>
              <w:t>9 trials; 537 eyes; BCVA, CMT, high IOP, cataract progression.</w:t>
            </w:r>
          </w:p>
        </w:tc>
        <w:tc>
          <w:tcPr>
            <w:tcW w:w="0" w:type="auto"/>
            <w:hideMark/>
          </w:tcPr>
          <w:p w14:paraId="616E4FBA" w14:textId="77777777" w:rsidR="00E36C1B" w:rsidRDefault="00E36C1B"/>
        </w:tc>
      </w:tr>
      <w:tr w:rsidR="00E36C1B" w14:paraId="1E301215" w14:textId="77777777">
        <w:tc>
          <w:tcPr>
            <w:tcW w:w="0" w:type="auto"/>
            <w:hideMark/>
          </w:tcPr>
          <w:p w14:paraId="692C7D32" w14:textId="77777777" w:rsidR="00E36C1B" w:rsidRDefault="00E36C1B">
            <w:pPr>
              <w:spacing w:after="160"/>
            </w:pPr>
            <w:r>
              <w:t>13</w:t>
            </w:r>
          </w:p>
        </w:tc>
        <w:tc>
          <w:tcPr>
            <w:tcW w:w="0" w:type="auto"/>
            <w:hideMark/>
          </w:tcPr>
          <w:p w14:paraId="6ACBE497" w14:textId="77777777" w:rsidR="00E36C1B" w:rsidRDefault="00E36C1B">
            <w:pPr>
              <w:spacing w:after="160"/>
            </w:pPr>
            <w:r>
              <w:t>Fu et al. 2023</w:t>
            </w:r>
          </w:p>
        </w:tc>
        <w:tc>
          <w:tcPr>
            <w:tcW w:w="0" w:type="auto"/>
            <w:hideMark/>
          </w:tcPr>
          <w:p w14:paraId="2B0D779B" w14:textId="77777777" w:rsidR="00E36C1B" w:rsidRDefault="00E36C1B">
            <w:pPr>
              <w:spacing w:after="160"/>
            </w:pPr>
            <w:r>
              <w:t>2023</w:t>
            </w:r>
          </w:p>
        </w:tc>
        <w:tc>
          <w:tcPr>
            <w:tcW w:w="0" w:type="auto"/>
            <w:hideMark/>
          </w:tcPr>
          <w:p w14:paraId="3EB24DCD" w14:textId="77777777" w:rsidR="00E36C1B" w:rsidRDefault="00E36C1B">
            <w:pPr>
              <w:spacing w:after="160"/>
            </w:pPr>
            <w:r>
              <w:t>Systematic review and meta-analysis</w:t>
            </w:r>
          </w:p>
        </w:tc>
        <w:tc>
          <w:tcPr>
            <w:tcW w:w="0" w:type="auto"/>
            <w:hideMark/>
          </w:tcPr>
          <w:p w14:paraId="595F78CE" w14:textId="77777777" w:rsidR="00E36C1B" w:rsidRDefault="00E36C1B">
            <w:pPr>
              <w:spacing w:after="160"/>
            </w:pPr>
            <w:r>
              <w:t>High-risk PDR; PRP plus intravitreal anti-VEGF versus PRP alone.</w:t>
            </w:r>
          </w:p>
        </w:tc>
        <w:tc>
          <w:tcPr>
            <w:tcW w:w="0" w:type="auto"/>
            <w:hideMark/>
          </w:tcPr>
          <w:p w14:paraId="3EAA4DAE" w14:textId="77777777" w:rsidR="00E36C1B" w:rsidRDefault="00E36C1B">
            <w:pPr>
              <w:spacing w:after="160"/>
            </w:pPr>
            <w:r>
              <w:t>8 studies; 375 eyes; CMT, BCVA, angiography, vitrectomy, adverse events.</w:t>
            </w:r>
          </w:p>
        </w:tc>
        <w:tc>
          <w:tcPr>
            <w:tcW w:w="0" w:type="auto"/>
            <w:hideMark/>
          </w:tcPr>
          <w:p w14:paraId="2672D3B2" w14:textId="77777777" w:rsidR="00E36C1B" w:rsidRDefault="00E36C1B"/>
        </w:tc>
      </w:tr>
      <w:tr w:rsidR="00E36C1B" w14:paraId="727D2E28" w14:textId="77777777" w:rsidTr="00E36C1B">
        <w:tc>
          <w:tcPr>
            <w:tcW w:w="0" w:type="auto"/>
            <w:vAlign w:val="center"/>
            <w:hideMark/>
          </w:tcPr>
          <w:p w14:paraId="0A7900E5" w14:textId="77777777" w:rsidR="00E36C1B" w:rsidRDefault="00E36C1B">
            <w:pPr>
              <w:rPr>
                <w:kern w:val="0"/>
                <w14:ligatures w14:val="none"/>
              </w:rPr>
            </w:pPr>
            <w:r>
              <w:lastRenderedPageBreak/>
              <w:t>14</w:t>
            </w:r>
          </w:p>
        </w:tc>
        <w:tc>
          <w:tcPr>
            <w:tcW w:w="0" w:type="auto"/>
            <w:vAlign w:val="center"/>
            <w:hideMark/>
          </w:tcPr>
          <w:p w14:paraId="5F240FFB" w14:textId="77777777" w:rsidR="00E36C1B" w:rsidRDefault="00E36C1B">
            <w:r>
              <w:t>Li et al. 2023</w:t>
            </w:r>
          </w:p>
        </w:tc>
        <w:tc>
          <w:tcPr>
            <w:tcW w:w="0" w:type="auto"/>
            <w:vAlign w:val="center"/>
            <w:hideMark/>
          </w:tcPr>
          <w:p w14:paraId="0585F245" w14:textId="77777777" w:rsidR="00E36C1B" w:rsidRDefault="00E36C1B">
            <w:r>
              <w:t>2023</w:t>
            </w:r>
          </w:p>
        </w:tc>
        <w:tc>
          <w:tcPr>
            <w:tcW w:w="0" w:type="auto"/>
            <w:vAlign w:val="center"/>
            <w:hideMark/>
          </w:tcPr>
          <w:p w14:paraId="7EABEB9F" w14:textId="77777777" w:rsidR="00E36C1B" w:rsidRDefault="00E36C1B">
            <w:r>
              <w:t>Systematic review and meta-analysis of RCTs</w:t>
            </w:r>
          </w:p>
        </w:tc>
        <w:tc>
          <w:tcPr>
            <w:tcW w:w="0" w:type="auto"/>
            <w:vAlign w:val="center"/>
            <w:hideMark/>
          </w:tcPr>
          <w:p w14:paraId="247B398F" w14:textId="77777777" w:rsidR="00E36C1B" w:rsidRDefault="00E36C1B">
            <w:r>
              <w:t>Supportive extraction for faricimab and durability evidence in DME and nAMD; faricimab compared with other anti-VEGF therapies.</w:t>
            </w:r>
          </w:p>
        </w:tc>
        <w:tc>
          <w:tcPr>
            <w:tcW w:w="0" w:type="auto"/>
            <w:vAlign w:val="center"/>
            <w:hideMark/>
          </w:tcPr>
          <w:p w14:paraId="265BF419" w14:textId="77777777" w:rsidR="00E36C1B" w:rsidRDefault="00E36C1B">
            <w:r>
              <w:t>4 AMD RCTs and 3 DME RCTs; BCVA, CST, ≥15-letter gain, injection number, and adverse events.</w:t>
            </w:r>
          </w:p>
        </w:tc>
        <w:tc>
          <w:tcPr>
            <w:tcW w:w="0" w:type="auto"/>
            <w:vAlign w:val="center"/>
            <w:hideMark/>
          </w:tcPr>
          <w:p w14:paraId="30B0320F" w14:textId="77777777" w:rsidR="00E36C1B" w:rsidRDefault="00E36C1B">
            <w:r>
              <w:t>DME sample size should be verified from full text; mixed disease scope limits direct DME applicability.</w:t>
            </w:r>
          </w:p>
        </w:tc>
      </w:tr>
      <w:tr w:rsidR="00E36C1B" w14:paraId="3FD89CC6" w14:textId="77777777" w:rsidTr="00E36C1B">
        <w:tc>
          <w:tcPr>
            <w:tcW w:w="0" w:type="auto"/>
            <w:vAlign w:val="center"/>
            <w:hideMark/>
          </w:tcPr>
          <w:p w14:paraId="6E0F5B07" w14:textId="77777777" w:rsidR="00E36C1B" w:rsidRDefault="00E36C1B">
            <w:pPr>
              <w:rPr>
                <w:kern w:val="0"/>
                <w14:ligatures w14:val="none"/>
              </w:rPr>
            </w:pPr>
            <w:r>
              <w:t>15</w:t>
            </w:r>
          </w:p>
        </w:tc>
        <w:tc>
          <w:tcPr>
            <w:tcW w:w="0" w:type="auto"/>
            <w:vAlign w:val="center"/>
            <w:hideMark/>
          </w:tcPr>
          <w:p w14:paraId="5E241094" w14:textId="77777777" w:rsidR="00E36C1B" w:rsidRDefault="00E36C1B">
            <w:r>
              <w:t>Alali et al. 2025</w:t>
            </w:r>
          </w:p>
        </w:tc>
        <w:tc>
          <w:tcPr>
            <w:tcW w:w="0" w:type="auto"/>
            <w:vAlign w:val="center"/>
            <w:hideMark/>
          </w:tcPr>
          <w:p w14:paraId="289CF37B" w14:textId="77777777" w:rsidR="00E36C1B" w:rsidRDefault="00E36C1B">
            <w:r>
              <w:t>2025</w:t>
            </w:r>
          </w:p>
        </w:tc>
        <w:tc>
          <w:tcPr>
            <w:tcW w:w="0" w:type="auto"/>
            <w:vAlign w:val="center"/>
            <w:hideMark/>
          </w:tcPr>
          <w:p w14:paraId="283576DF" w14:textId="77777777" w:rsidR="00E36C1B" w:rsidRDefault="00E36C1B">
            <w:r>
              <w:t>Systematic review</w:t>
            </w:r>
          </w:p>
        </w:tc>
        <w:tc>
          <w:tcPr>
            <w:tcW w:w="0" w:type="auto"/>
            <w:vAlign w:val="center"/>
            <w:hideMark/>
          </w:tcPr>
          <w:p w14:paraId="261E23E7" w14:textId="77777777" w:rsidR="00E36C1B" w:rsidRDefault="00E36C1B">
            <w:r>
              <w:t>Supportive extraction for brolucizumab safety and durability in DME and nAMD.</w:t>
            </w:r>
          </w:p>
        </w:tc>
        <w:tc>
          <w:tcPr>
            <w:tcW w:w="0" w:type="auto"/>
            <w:vAlign w:val="center"/>
            <w:hideMark/>
          </w:tcPr>
          <w:p w14:paraId="6D54150E" w14:textId="77777777" w:rsidR="00E36C1B" w:rsidRDefault="00E36C1B">
            <w:r>
              <w:t>Clinical trials, meta-analyses, regulatory documents, and real-world studies; VA, anatomy, dosing interval, IOI/vasculitis/occlusion, and RWE.</w:t>
            </w:r>
          </w:p>
        </w:tc>
        <w:tc>
          <w:tcPr>
            <w:tcW w:w="0" w:type="auto"/>
            <w:vAlign w:val="center"/>
            <w:hideMark/>
          </w:tcPr>
          <w:p w14:paraId="4DB8A682" w14:textId="77777777" w:rsidR="00E36C1B" w:rsidRDefault="00E36C1B">
            <w:r>
              <w:t>Critically low; broad mixed evidence and safety emphasis; contextual use.</w:t>
            </w:r>
          </w:p>
        </w:tc>
      </w:tr>
      <w:tr w:rsidR="00E36C1B" w14:paraId="5F691555" w14:textId="77777777" w:rsidTr="00E36C1B">
        <w:tc>
          <w:tcPr>
            <w:tcW w:w="0" w:type="auto"/>
            <w:vAlign w:val="center"/>
            <w:hideMark/>
          </w:tcPr>
          <w:p w14:paraId="0D848560" w14:textId="77777777" w:rsidR="00E36C1B" w:rsidRDefault="00E36C1B">
            <w:pPr>
              <w:rPr>
                <w:kern w:val="0"/>
                <w14:ligatures w14:val="none"/>
              </w:rPr>
            </w:pPr>
            <w:r>
              <w:t>16</w:t>
            </w:r>
          </w:p>
        </w:tc>
        <w:tc>
          <w:tcPr>
            <w:tcW w:w="0" w:type="auto"/>
            <w:vAlign w:val="center"/>
            <w:hideMark/>
          </w:tcPr>
          <w:p w14:paraId="2FFD6687" w14:textId="77777777" w:rsidR="00E36C1B" w:rsidRDefault="00E36C1B">
            <w:r>
              <w:t>Avery &amp; Gordon 2015</w:t>
            </w:r>
          </w:p>
        </w:tc>
        <w:tc>
          <w:tcPr>
            <w:tcW w:w="0" w:type="auto"/>
            <w:vAlign w:val="center"/>
            <w:hideMark/>
          </w:tcPr>
          <w:p w14:paraId="27531ACB" w14:textId="77777777" w:rsidR="00E36C1B" w:rsidRDefault="00E36C1B">
            <w:r>
              <w:t>2015</w:t>
            </w:r>
          </w:p>
        </w:tc>
        <w:tc>
          <w:tcPr>
            <w:tcW w:w="0" w:type="auto"/>
            <w:vAlign w:val="center"/>
            <w:hideMark/>
          </w:tcPr>
          <w:p w14:paraId="3A3797BE" w14:textId="77777777" w:rsidR="00E36C1B" w:rsidRDefault="00E36C1B">
            <w:r>
              <w:t>Systematic review and meta-analysis</w:t>
            </w:r>
          </w:p>
        </w:tc>
        <w:tc>
          <w:tcPr>
            <w:tcW w:w="0" w:type="auto"/>
            <w:vAlign w:val="center"/>
            <w:hideMark/>
          </w:tcPr>
          <w:p w14:paraId="01C51E22" w14:textId="77777777" w:rsidR="00E36C1B" w:rsidRDefault="00E36C1B">
            <w:r>
              <w:t>Supportive systemic safety extraction for DME; monthly aflibercept or ranibizumab anti-VEGF therapy versus sham or laser controls.</w:t>
            </w:r>
          </w:p>
        </w:tc>
        <w:tc>
          <w:tcPr>
            <w:tcW w:w="0" w:type="auto"/>
            <w:vAlign w:val="center"/>
            <w:hideMark/>
          </w:tcPr>
          <w:p w14:paraId="0221A41F" w14:textId="77777777" w:rsidR="00E36C1B" w:rsidRDefault="00E36C1B">
            <w:r>
              <w:t>4 RCTs; 1328 patients; CVA, mortality, myocardial infarction, arteriothrombotic events, and vascular death.</w:t>
            </w:r>
          </w:p>
        </w:tc>
        <w:tc>
          <w:tcPr>
            <w:tcW w:w="0" w:type="auto"/>
            <w:vAlign w:val="center"/>
            <w:hideMark/>
          </w:tcPr>
          <w:p w14:paraId="5FA1DB5B" w14:textId="77777777" w:rsidR="00E36C1B" w:rsidRDefault="00E36C1B">
            <w:r>
              <w:t>Older safety review; limited rare-event power and exclusion of high-risk systemic vascular patients.</w:t>
            </w:r>
          </w:p>
        </w:tc>
      </w:tr>
      <w:tr w:rsidR="00E36C1B" w14:paraId="09A6D89D" w14:textId="77777777" w:rsidTr="00E36C1B">
        <w:tc>
          <w:tcPr>
            <w:tcW w:w="0" w:type="auto"/>
            <w:vAlign w:val="center"/>
            <w:hideMark/>
          </w:tcPr>
          <w:p w14:paraId="6B82E9D0" w14:textId="77777777" w:rsidR="00E36C1B" w:rsidRDefault="00E36C1B">
            <w:pPr>
              <w:rPr>
                <w:kern w:val="0"/>
                <w14:ligatures w14:val="none"/>
              </w:rPr>
            </w:pPr>
            <w:r>
              <w:t>17</w:t>
            </w:r>
          </w:p>
        </w:tc>
        <w:tc>
          <w:tcPr>
            <w:tcW w:w="0" w:type="auto"/>
            <w:vAlign w:val="center"/>
            <w:hideMark/>
          </w:tcPr>
          <w:p w14:paraId="1850B51E" w14:textId="77777777" w:rsidR="00E36C1B" w:rsidRDefault="00E36C1B">
            <w:proofErr w:type="spellStart"/>
            <w:r>
              <w:t>Santhakumaran</w:t>
            </w:r>
            <w:proofErr w:type="spellEnd"/>
            <w:r>
              <w:t xml:space="preserve"> et al. 2022</w:t>
            </w:r>
          </w:p>
        </w:tc>
        <w:tc>
          <w:tcPr>
            <w:tcW w:w="0" w:type="auto"/>
            <w:vAlign w:val="center"/>
            <w:hideMark/>
          </w:tcPr>
          <w:p w14:paraId="6B4110BE" w14:textId="77777777" w:rsidR="00E36C1B" w:rsidRDefault="00E36C1B">
            <w:r>
              <w:t>2022</w:t>
            </w:r>
          </w:p>
        </w:tc>
        <w:tc>
          <w:tcPr>
            <w:tcW w:w="0" w:type="auto"/>
            <w:vAlign w:val="center"/>
            <w:hideMark/>
          </w:tcPr>
          <w:p w14:paraId="3A2C48DA" w14:textId="77777777" w:rsidR="00E36C1B" w:rsidRDefault="00E36C1B">
            <w:r>
              <w:t>Systematic review and meta-analysis</w:t>
            </w:r>
          </w:p>
        </w:tc>
        <w:tc>
          <w:tcPr>
            <w:tcW w:w="0" w:type="auto"/>
            <w:vAlign w:val="center"/>
            <w:hideMark/>
          </w:tcPr>
          <w:p w14:paraId="4FF3A88A" w14:textId="77777777" w:rsidR="00E36C1B" w:rsidRDefault="00E36C1B">
            <w:r>
              <w:t>Supportive real-world aflibercept extraction for DME; aflibercept compared with laser, bevacizumab, ranibizumab, or dexamethasone where available.</w:t>
            </w:r>
          </w:p>
        </w:tc>
        <w:tc>
          <w:tcPr>
            <w:tcW w:w="0" w:type="auto"/>
            <w:vAlign w:val="center"/>
            <w:hideMark/>
          </w:tcPr>
          <w:p w14:paraId="51958BB3" w14:textId="77777777" w:rsidR="00E36C1B" w:rsidRDefault="00E36C1B">
            <w:r>
              <w:t>30 studies; BCVA and CMT changes, adverse events, and meta-regression.</w:t>
            </w:r>
          </w:p>
        </w:tc>
        <w:tc>
          <w:tcPr>
            <w:tcW w:w="0" w:type="auto"/>
            <w:vAlign w:val="center"/>
            <w:hideMark/>
          </w:tcPr>
          <w:p w14:paraId="711D3C7F" w14:textId="77777777" w:rsidR="00E36C1B" w:rsidRDefault="00E36C1B">
            <w:r>
              <w:t>Real-world evidence; total eyes/patients not summarized in abstract.</w:t>
            </w:r>
          </w:p>
        </w:tc>
      </w:tr>
      <w:tr w:rsidR="00E36C1B" w14:paraId="49146538" w14:textId="77777777" w:rsidTr="00E36C1B">
        <w:tc>
          <w:tcPr>
            <w:tcW w:w="0" w:type="auto"/>
            <w:vAlign w:val="center"/>
            <w:hideMark/>
          </w:tcPr>
          <w:p w14:paraId="5DB8A297" w14:textId="77777777" w:rsidR="00E36C1B" w:rsidRDefault="00E36C1B">
            <w:pPr>
              <w:rPr>
                <w:kern w:val="0"/>
                <w14:ligatures w14:val="none"/>
              </w:rPr>
            </w:pPr>
            <w:r>
              <w:t>18</w:t>
            </w:r>
          </w:p>
        </w:tc>
        <w:tc>
          <w:tcPr>
            <w:tcW w:w="0" w:type="auto"/>
            <w:vAlign w:val="center"/>
            <w:hideMark/>
          </w:tcPr>
          <w:p w14:paraId="0F427165" w14:textId="7BFA2553" w:rsidR="00E36C1B" w:rsidRPr="009370B1" w:rsidRDefault="009370B1" w:rsidP="009370B1">
            <w:pPr>
              <w:rPr>
                <w:kern w:val="0"/>
                <w:lang w:val="es-ES"/>
                <w14:ligatures w14:val="none"/>
              </w:rPr>
            </w:pPr>
            <w:r w:rsidRPr="009370B1">
              <w:rPr>
                <w:lang w:val="es-ES"/>
              </w:rPr>
              <w:t>Chen K-Y et al. 2025</w:t>
            </w:r>
          </w:p>
        </w:tc>
        <w:tc>
          <w:tcPr>
            <w:tcW w:w="0" w:type="auto"/>
            <w:vAlign w:val="center"/>
            <w:hideMark/>
          </w:tcPr>
          <w:p w14:paraId="0304F0CF" w14:textId="77777777" w:rsidR="00E36C1B" w:rsidRDefault="00E36C1B">
            <w:r>
              <w:t>2025</w:t>
            </w:r>
          </w:p>
        </w:tc>
        <w:tc>
          <w:tcPr>
            <w:tcW w:w="0" w:type="auto"/>
            <w:vAlign w:val="center"/>
            <w:hideMark/>
          </w:tcPr>
          <w:p w14:paraId="6F96E2C1" w14:textId="77777777" w:rsidR="00E36C1B" w:rsidRDefault="00E36C1B">
            <w:r>
              <w:t>Systematic review and Bayesian network meta-analysis</w:t>
            </w:r>
          </w:p>
        </w:tc>
        <w:tc>
          <w:tcPr>
            <w:tcW w:w="0" w:type="auto"/>
            <w:vAlign w:val="center"/>
            <w:hideMark/>
          </w:tcPr>
          <w:p w14:paraId="0A85F0BE" w14:textId="77777777" w:rsidR="00E36C1B" w:rsidRDefault="00E36C1B">
            <w:r>
              <w:t>Core/supportive DR, PDR, and DME synthesis; ranibizumab, aflibercept, bevacizumab, anti-VEGF classes, and combination therapy versus PRP and active alternatives.</w:t>
            </w:r>
          </w:p>
        </w:tc>
        <w:tc>
          <w:tcPr>
            <w:tcW w:w="0" w:type="auto"/>
            <w:vAlign w:val="center"/>
            <w:hideMark/>
          </w:tcPr>
          <w:p w14:paraId="4F715F59" w14:textId="77777777" w:rsidR="00E36C1B" w:rsidRDefault="00E36C1B">
            <w:r>
              <w:t>28 RCTs; 6450 patients; BCVA, CRT, neovascularization regression, vision-threatening complications, and adverse events.</w:t>
            </w:r>
          </w:p>
        </w:tc>
        <w:tc>
          <w:tcPr>
            <w:tcW w:w="0" w:type="auto"/>
            <w:vAlign w:val="center"/>
            <w:hideMark/>
          </w:tcPr>
          <w:p w14:paraId="4B63A742" w14:textId="77777777" w:rsidR="00E36C1B" w:rsidRDefault="00E36C1B">
            <w:r>
              <w:t>NMA evidence; quality depends on comparability and transitivity across included RCTs.</w:t>
            </w:r>
          </w:p>
        </w:tc>
      </w:tr>
      <w:tr w:rsidR="00E36C1B" w14:paraId="26AA8F91" w14:textId="77777777" w:rsidTr="00E36C1B">
        <w:tc>
          <w:tcPr>
            <w:tcW w:w="0" w:type="auto"/>
            <w:vAlign w:val="center"/>
            <w:hideMark/>
          </w:tcPr>
          <w:p w14:paraId="6756FD4C" w14:textId="77777777" w:rsidR="00E36C1B" w:rsidRDefault="00E36C1B">
            <w:pPr>
              <w:rPr>
                <w:kern w:val="0"/>
                <w14:ligatures w14:val="none"/>
              </w:rPr>
            </w:pPr>
            <w:r>
              <w:lastRenderedPageBreak/>
              <w:t>19</w:t>
            </w:r>
          </w:p>
        </w:tc>
        <w:tc>
          <w:tcPr>
            <w:tcW w:w="0" w:type="auto"/>
            <w:vAlign w:val="center"/>
            <w:hideMark/>
          </w:tcPr>
          <w:p w14:paraId="0F40312B" w14:textId="77777777" w:rsidR="00E36C1B" w:rsidRDefault="00E36C1B">
            <w:proofErr w:type="spellStart"/>
            <w:r>
              <w:t>Sarohia</w:t>
            </w:r>
            <w:proofErr w:type="spellEnd"/>
            <w:r>
              <w:t xml:space="preserve"> et al. 2022</w:t>
            </w:r>
          </w:p>
        </w:tc>
        <w:tc>
          <w:tcPr>
            <w:tcW w:w="0" w:type="auto"/>
            <w:vAlign w:val="center"/>
            <w:hideMark/>
          </w:tcPr>
          <w:p w14:paraId="2CAAE8F5" w14:textId="77777777" w:rsidR="00E36C1B" w:rsidRDefault="00E36C1B">
            <w:r>
              <w:t>2022</w:t>
            </w:r>
          </w:p>
        </w:tc>
        <w:tc>
          <w:tcPr>
            <w:tcW w:w="0" w:type="auto"/>
            <w:vAlign w:val="center"/>
            <w:hideMark/>
          </w:tcPr>
          <w:p w14:paraId="33B7CA88" w14:textId="77777777" w:rsidR="00E36C1B" w:rsidRDefault="00E36C1B">
            <w:r>
              <w:t>Systematic review and meta-analysis</w:t>
            </w:r>
          </w:p>
        </w:tc>
        <w:tc>
          <w:tcPr>
            <w:tcW w:w="0" w:type="auto"/>
            <w:vAlign w:val="center"/>
            <w:hideMark/>
          </w:tcPr>
          <w:p w14:paraId="2CE1A0D8" w14:textId="77777777" w:rsidR="00E36C1B" w:rsidRDefault="00E36C1B">
            <w:r>
              <w:t>Core/supportive extraction for treatment burden in center-involving DME; treat-and-extend anti-VEGF regimen versus fixed or PRN regimens.</w:t>
            </w:r>
          </w:p>
        </w:tc>
        <w:tc>
          <w:tcPr>
            <w:tcW w:w="0" w:type="auto"/>
            <w:vAlign w:val="center"/>
            <w:hideMark/>
          </w:tcPr>
          <w:p w14:paraId="66E44559" w14:textId="77777777" w:rsidR="00E36C1B" w:rsidRDefault="00E36C1B">
            <w:r>
              <w:t>Studies contributing 2346 eyes; visual acuity, central retinal/subfoveal thickness, and injection numbers.</w:t>
            </w:r>
          </w:p>
        </w:tc>
        <w:tc>
          <w:tcPr>
            <w:tcW w:w="0" w:type="auto"/>
            <w:vAlign w:val="center"/>
            <w:hideMark/>
          </w:tcPr>
          <w:p w14:paraId="5E456117" w14:textId="77777777" w:rsidR="00E36C1B" w:rsidRDefault="00E36C1B">
            <w:r>
              <w:t>Treatment-burden evidence; interpretation limited by heterogeneity across regimens and study designs.</w:t>
            </w:r>
          </w:p>
        </w:tc>
      </w:tr>
      <w:tr w:rsidR="00E36C1B" w14:paraId="2F07886C" w14:textId="77777777" w:rsidTr="00E36C1B">
        <w:tc>
          <w:tcPr>
            <w:tcW w:w="0" w:type="auto"/>
            <w:vAlign w:val="center"/>
            <w:hideMark/>
          </w:tcPr>
          <w:p w14:paraId="1DB75899" w14:textId="77777777" w:rsidR="00E36C1B" w:rsidRDefault="00E36C1B">
            <w:pPr>
              <w:rPr>
                <w:kern w:val="0"/>
                <w14:ligatures w14:val="none"/>
              </w:rPr>
            </w:pPr>
            <w:r>
              <w:t>20</w:t>
            </w:r>
          </w:p>
        </w:tc>
        <w:tc>
          <w:tcPr>
            <w:tcW w:w="0" w:type="auto"/>
            <w:vAlign w:val="center"/>
            <w:hideMark/>
          </w:tcPr>
          <w:p w14:paraId="1DCE9803" w14:textId="77777777" w:rsidR="00E36C1B" w:rsidRDefault="00E36C1B">
            <w:r>
              <w:t>Sun X. et al. 2020</w:t>
            </w:r>
          </w:p>
        </w:tc>
        <w:tc>
          <w:tcPr>
            <w:tcW w:w="0" w:type="auto"/>
            <w:vAlign w:val="center"/>
            <w:hideMark/>
          </w:tcPr>
          <w:p w14:paraId="19AA67EF" w14:textId="77777777" w:rsidR="00E36C1B" w:rsidRDefault="00E36C1B">
            <w:r>
              <w:t>2020</w:t>
            </w:r>
          </w:p>
        </w:tc>
        <w:tc>
          <w:tcPr>
            <w:tcW w:w="0" w:type="auto"/>
            <w:vAlign w:val="center"/>
            <w:hideMark/>
          </w:tcPr>
          <w:p w14:paraId="3962022F" w14:textId="77777777" w:rsidR="00E36C1B" w:rsidRDefault="00E36C1B">
            <w:r>
              <w:t>Systematic review and meta-analysis</w:t>
            </w:r>
          </w:p>
        </w:tc>
        <w:tc>
          <w:tcPr>
            <w:tcW w:w="0" w:type="auto"/>
            <w:vAlign w:val="center"/>
            <w:hideMark/>
          </w:tcPr>
          <w:p w14:paraId="7FFA8E0D" w14:textId="77777777" w:rsidR="00E36C1B" w:rsidRDefault="00E36C1B">
            <w:r>
              <w:t>Supportive/optional extraction for conbercept in DME; intravitreal conbercept versus ranibizumab.</w:t>
            </w:r>
          </w:p>
        </w:tc>
        <w:tc>
          <w:tcPr>
            <w:tcW w:w="0" w:type="auto"/>
            <w:vAlign w:val="center"/>
            <w:hideMark/>
          </w:tcPr>
          <w:p w14:paraId="4A2885C7" w14:textId="77777777" w:rsidR="00E36C1B" w:rsidRDefault="00E36C1B">
            <w:r>
              <w:t>8 articles; 588 patients; CRT and BCVA at 1, 3, and 6 months, plus adverse events.</w:t>
            </w:r>
          </w:p>
        </w:tc>
        <w:tc>
          <w:tcPr>
            <w:tcW w:w="0" w:type="auto"/>
            <w:vAlign w:val="center"/>
            <w:hideMark/>
          </w:tcPr>
          <w:p w14:paraId="0FA10348" w14:textId="77777777" w:rsidR="00E36C1B" w:rsidRDefault="00E36C1B">
            <w:r>
              <w:t>Optional conbercept evidence; regional and study-design limitations likely relevant.</w:t>
            </w:r>
          </w:p>
        </w:tc>
      </w:tr>
      <w:tr w:rsidR="00E36C1B" w14:paraId="1FDA8A5D" w14:textId="77777777" w:rsidTr="00E36C1B">
        <w:tc>
          <w:tcPr>
            <w:tcW w:w="0" w:type="auto"/>
            <w:vAlign w:val="center"/>
            <w:hideMark/>
          </w:tcPr>
          <w:p w14:paraId="450075E7" w14:textId="77777777" w:rsidR="00E36C1B" w:rsidRDefault="00E36C1B">
            <w:pPr>
              <w:rPr>
                <w:kern w:val="0"/>
                <w14:ligatures w14:val="none"/>
              </w:rPr>
            </w:pPr>
            <w:r>
              <w:t>21</w:t>
            </w:r>
          </w:p>
        </w:tc>
        <w:tc>
          <w:tcPr>
            <w:tcW w:w="0" w:type="auto"/>
            <w:vAlign w:val="center"/>
            <w:hideMark/>
          </w:tcPr>
          <w:p w14:paraId="3DB803FF" w14:textId="77777777" w:rsidR="00E36C1B" w:rsidRDefault="00E36C1B">
            <w:r>
              <w:t>Liu W-S &amp; Li Y-J 2019</w:t>
            </w:r>
          </w:p>
        </w:tc>
        <w:tc>
          <w:tcPr>
            <w:tcW w:w="0" w:type="auto"/>
            <w:vAlign w:val="center"/>
            <w:hideMark/>
          </w:tcPr>
          <w:p w14:paraId="577E28C0" w14:textId="77777777" w:rsidR="00E36C1B" w:rsidRDefault="00E36C1B">
            <w:r>
              <w:t>2019</w:t>
            </w:r>
          </w:p>
        </w:tc>
        <w:tc>
          <w:tcPr>
            <w:tcW w:w="0" w:type="auto"/>
            <w:vAlign w:val="center"/>
            <w:hideMark/>
          </w:tcPr>
          <w:p w14:paraId="1DEE22CC" w14:textId="77777777" w:rsidR="00E36C1B" w:rsidRDefault="00E36C1B">
            <w:r>
              <w:t>Systematic review and meta-analysis</w:t>
            </w:r>
          </w:p>
        </w:tc>
        <w:tc>
          <w:tcPr>
            <w:tcW w:w="0" w:type="auto"/>
            <w:vAlign w:val="center"/>
            <w:hideMark/>
          </w:tcPr>
          <w:p w14:paraId="53B9A5CE" w14:textId="77777777" w:rsidR="00E36C1B" w:rsidRDefault="00E36C1B">
            <w:r>
              <w:t>Secondary/optional extraction for conbercept in DME; intravitreal conbercept versus ranibizumab.</w:t>
            </w:r>
          </w:p>
        </w:tc>
        <w:tc>
          <w:tcPr>
            <w:tcW w:w="0" w:type="auto"/>
            <w:vAlign w:val="center"/>
            <w:hideMark/>
          </w:tcPr>
          <w:p w14:paraId="141AA46F" w14:textId="77777777" w:rsidR="00E36C1B" w:rsidRDefault="00E36C1B">
            <w:r>
              <w:t>9 studies: 4 retrospective and 5 RCTs; 609 patients; CMT, BCVA, and adverse events.</w:t>
            </w:r>
          </w:p>
        </w:tc>
        <w:tc>
          <w:tcPr>
            <w:tcW w:w="0" w:type="auto"/>
            <w:vAlign w:val="center"/>
            <w:hideMark/>
          </w:tcPr>
          <w:p w14:paraId="5D22EC92" w14:textId="77777777" w:rsidR="00E36C1B" w:rsidRDefault="00E36C1B">
            <w:r>
              <w:t>Mixed RCT and retrospective evidence; supportive rather than primary interpretive source.</w:t>
            </w:r>
          </w:p>
        </w:tc>
      </w:tr>
      <w:tr w:rsidR="00E36C1B" w14:paraId="4BFEAA23" w14:textId="77777777" w:rsidTr="00E36C1B">
        <w:tc>
          <w:tcPr>
            <w:tcW w:w="0" w:type="auto"/>
            <w:vAlign w:val="center"/>
            <w:hideMark/>
          </w:tcPr>
          <w:p w14:paraId="2C10C615" w14:textId="77777777" w:rsidR="00E36C1B" w:rsidRDefault="00E36C1B">
            <w:pPr>
              <w:rPr>
                <w:kern w:val="0"/>
                <w14:ligatures w14:val="none"/>
              </w:rPr>
            </w:pPr>
            <w:r>
              <w:t>22</w:t>
            </w:r>
          </w:p>
        </w:tc>
        <w:tc>
          <w:tcPr>
            <w:tcW w:w="0" w:type="auto"/>
            <w:vAlign w:val="center"/>
            <w:hideMark/>
          </w:tcPr>
          <w:p w14:paraId="1A8BE647" w14:textId="77777777" w:rsidR="00E36C1B" w:rsidRDefault="00E36C1B">
            <w:r>
              <w:t>Sun X. &amp; Wei 2022</w:t>
            </w:r>
          </w:p>
        </w:tc>
        <w:tc>
          <w:tcPr>
            <w:tcW w:w="0" w:type="auto"/>
            <w:vAlign w:val="center"/>
            <w:hideMark/>
          </w:tcPr>
          <w:p w14:paraId="040DF2AF" w14:textId="77777777" w:rsidR="00E36C1B" w:rsidRDefault="00E36C1B">
            <w:r>
              <w:t>2022</w:t>
            </w:r>
          </w:p>
        </w:tc>
        <w:tc>
          <w:tcPr>
            <w:tcW w:w="0" w:type="auto"/>
            <w:vAlign w:val="center"/>
            <w:hideMark/>
          </w:tcPr>
          <w:p w14:paraId="2623E297" w14:textId="77777777" w:rsidR="00E36C1B" w:rsidRDefault="00E36C1B">
            <w:r>
              <w:t>Systematic review and meta-analysis</w:t>
            </w:r>
          </w:p>
        </w:tc>
        <w:tc>
          <w:tcPr>
            <w:tcW w:w="0" w:type="auto"/>
            <w:vAlign w:val="center"/>
            <w:hideMark/>
          </w:tcPr>
          <w:p w14:paraId="49B88B7A" w14:textId="77777777" w:rsidR="00E36C1B" w:rsidRDefault="00E36C1B">
            <w:r>
              <w:t>Secondary/optional extraction for conbercept plus laser in DME; conbercept plus macular grid/focal photocoagulation versus laser alone.</w:t>
            </w:r>
          </w:p>
        </w:tc>
        <w:tc>
          <w:tcPr>
            <w:tcW w:w="0" w:type="auto"/>
            <w:vAlign w:val="center"/>
            <w:hideMark/>
          </w:tcPr>
          <w:p w14:paraId="47CBB23E" w14:textId="77777777" w:rsidR="00E36C1B" w:rsidRDefault="00E36C1B">
            <w:r>
              <w:t>12 articles; 2600 patients; CMT, effectiveness, and BCVA.</w:t>
            </w:r>
          </w:p>
        </w:tc>
        <w:tc>
          <w:tcPr>
            <w:tcW w:w="0" w:type="auto"/>
            <w:vAlign w:val="center"/>
            <w:hideMark/>
          </w:tcPr>
          <w:p w14:paraId="6C81D614" w14:textId="77777777" w:rsidR="00E36C1B" w:rsidRDefault="00E36C1B">
            <w:r>
              <w:t>Optional combination/laser evidence; likely heterogeneity and regional concentration.</w:t>
            </w:r>
          </w:p>
        </w:tc>
      </w:tr>
      <w:tr w:rsidR="00E36C1B" w14:paraId="66631170" w14:textId="77777777" w:rsidTr="00E36C1B">
        <w:tc>
          <w:tcPr>
            <w:tcW w:w="0" w:type="auto"/>
            <w:vAlign w:val="center"/>
            <w:hideMark/>
          </w:tcPr>
          <w:p w14:paraId="6785B3B1" w14:textId="77777777" w:rsidR="00E36C1B" w:rsidRDefault="00E36C1B">
            <w:pPr>
              <w:rPr>
                <w:kern w:val="0"/>
                <w14:ligatures w14:val="none"/>
              </w:rPr>
            </w:pPr>
            <w:r>
              <w:t>23</w:t>
            </w:r>
          </w:p>
        </w:tc>
        <w:tc>
          <w:tcPr>
            <w:tcW w:w="0" w:type="auto"/>
            <w:vAlign w:val="center"/>
            <w:hideMark/>
          </w:tcPr>
          <w:p w14:paraId="0F4B81AB" w14:textId="77777777" w:rsidR="00E36C1B" w:rsidRDefault="00E36C1B">
            <w:r>
              <w:t>Friedman 2025</w:t>
            </w:r>
          </w:p>
        </w:tc>
        <w:tc>
          <w:tcPr>
            <w:tcW w:w="0" w:type="auto"/>
            <w:vAlign w:val="center"/>
            <w:hideMark/>
          </w:tcPr>
          <w:p w14:paraId="5EBA33F8" w14:textId="77777777" w:rsidR="00E36C1B" w:rsidRDefault="00E36C1B">
            <w:r>
              <w:t>2025</w:t>
            </w:r>
          </w:p>
        </w:tc>
        <w:tc>
          <w:tcPr>
            <w:tcW w:w="0" w:type="auto"/>
            <w:vAlign w:val="center"/>
            <w:hideMark/>
          </w:tcPr>
          <w:p w14:paraId="28688970" w14:textId="77777777" w:rsidR="00E36C1B" w:rsidRDefault="00E36C1B">
            <w:r>
              <w:t>Systematic literature review + Bayesian fixed-effect NMA</w:t>
            </w:r>
          </w:p>
        </w:tc>
        <w:tc>
          <w:tcPr>
            <w:tcW w:w="0" w:type="auto"/>
            <w:vAlign w:val="center"/>
            <w:hideMark/>
          </w:tcPr>
          <w:p w14:paraId="4D6D4715" w14:textId="77777777" w:rsidR="00E36C1B" w:rsidRDefault="00E36C1B">
            <w:r>
              <w:t>Supportive extraction for treatment burden and durability; aflibercept 8 mg extended dosing and faricimab treat-and-extend.</w:t>
            </w:r>
          </w:p>
        </w:tc>
        <w:tc>
          <w:tcPr>
            <w:tcW w:w="0" w:type="auto"/>
            <w:vAlign w:val="center"/>
            <w:hideMark/>
          </w:tcPr>
          <w:p w14:paraId="744CCFB6" w14:textId="77777777" w:rsidR="00E36C1B" w:rsidRDefault="00E36C1B">
            <w:r>
              <w:t>6 RCTs overall; DME: PHOTON, YOSEMITE, RHINE; nAMD: PULSAR, TENAYA, LUCERNE.</w:t>
            </w:r>
          </w:p>
        </w:tc>
        <w:tc>
          <w:tcPr>
            <w:tcW w:w="0" w:type="auto"/>
            <w:vAlign w:val="center"/>
            <w:hideMark/>
          </w:tcPr>
          <w:p w14:paraId="41C96637" w14:textId="77777777" w:rsidR="00E36C1B" w:rsidRDefault="00E36C1B">
            <w:r>
              <w:t>Not prospectively registered; high concern for indirectness and potential sponsorship bias; supportive rather than core.</w:t>
            </w:r>
          </w:p>
        </w:tc>
      </w:tr>
      <w:tr w:rsidR="00E36C1B" w14:paraId="542E00C6" w14:textId="77777777" w:rsidTr="00E36C1B">
        <w:tc>
          <w:tcPr>
            <w:tcW w:w="0" w:type="auto"/>
            <w:vAlign w:val="center"/>
            <w:hideMark/>
          </w:tcPr>
          <w:p w14:paraId="5A3CD4D7" w14:textId="77777777" w:rsidR="00E36C1B" w:rsidRDefault="00E36C1B">
            <w:pPr>
              <w:rPr>
                <w:kern w:val="0"/>
                <w14:ligatures w14:val="none"/>
              </w:rPr>
            </w:pPr>
            <w:r>
              <w:t>24</w:t>
            </w:r>
          </w:p>
        </w:tc>
        <w:tc>
          <w:tcPr>
            <w:tcW w:w="0" w:type="auto"/>
            <w:vAlign w:val="center"/>
            <w:hideMark/>
          </w:tcPr>
          <w:p w14:paraId="6ABE2F1E" w14:textId="77777777" w:rsidR="00E36C1B" w:rsidRDefault="00E36C1B">
            <w:r>
              <w:t>Bucolo 2018</w:t>
            </w:r>
          </w:p>
        </w:tc>
        <w:tc>
          <w:tcPr>
            <w:tcW w:w="0" w:type="auto"/>
            <w:vAlign w:val="center"/>
            <w:hideMark/>
          </w:tcPr>
          <w:p w14:paraId="1D228B23" w14:textId="77777777" w:rsidR="00E36C1B" w:rsidRDefault="00E36C1B">
            <w:r>
              <w:t>2018</w:t>
            </w:r>
          </w:p>
        </w:tc>
        <w:tc>
          <w:tcPr>
            <w:tcW w:w="0" w:type="auto"/>
            <w:vAlign w:val="center"/>
            <w:hideMark/>
          </w:tcPr>
          <w:p w14:paraId="51406D25" w14:textId="77777777" w:rsidR="00E36C1B" w:rsidRDefault="00E36C1B">
            <w:r>
              <w:t xml:space="preserve">Systematic review of </w:t>
            </w:r>
            <w:r>
              <w:lastRenderedPageBreak/>
              <w:t>real-world observational studies</w:t>
            </w:r>
          </w:p>
        </w:tc>
        <w:tc>
          <w:tcPr>
            <w:tcW w:w="0" w:type="auto"/>
            <w:vAlign w:val="center"/>
            <w:hideMark/>
          </w:tcPr>
          <w:p w14:paraId="2FA7FD75" w14:textId="77777777" w:rsidR="00E36C1B" w:rsidRDefault="00E36C1B">
            <w:r>
              <w:lastRenderedPageBreak/>
              <w:t xml:space="preserve">Supportive extraction for </w:t>
            </w:r>
            <w:r>
              <w:lastRenderedPageBreak/>
              <w:t>steroid durability and real-world dexamethasone intravitreal implant 0.7 mg use.</w:t>
            </w:r>
          </w:p>
        </w:tc>
        <w:tc>
          <w:tcPr>
            <w:tcW w:w="0" w:type="auto"/>
            <w:vAlign w:val="center"/>
            <w:hideMark/>
          </w:tcPr>
          <w:p w14:paraId="5AB34340" w14:textId="77777777" w:rsidR="00E36C1B" w:rsidRDefault="00E36C1B">
            <w:r>
              <w:lastRenderedPageBreak/>
              <w:t xml:space="preserve">21 peer-reviewed publications; </w:t>
            </w:r>
            <w:r>
              <w:lastRenderedPageBreak/>
              <w:t>repeated dexamethasone implant and PRN retreatment strategies across real-world series.</w:t>
            </w:r>
          </w:p>
        </w:tc>
        <w:tc>
          <w:tcPr>
            <w:tcW w:w="0" w:type="auto"/>
            <w:vAlign w:val="center"/>
            <w:hideMark/>
          </w:tcPr>
          <w:p w14:paraId="2A27CE9C" w14:textId="77777777" w:rsidR="00E36C1B" w:rsidRDefault="00E36C1B">
            <w:r>
              <w:lastRenderedPageBreak/>
              <w:t xml:space="preserve">Observational evidence </w:t>
            </w:r>
            <w:r>
              <w:lastRenderedPageBreak/>
              <w:t>only; moderate-to-high confounding likely; supportive real-world durability evidence, not a comparative efficacy anchor.</w:t>
            </w:r>
          </w:p>
        </w:tc>
      </w:tr>
      <w:tr w:rsidR="00E36C1B" w14:paraId="0C9C6AF8" w14:textId="77777777" w:rsidTr="00E36C1B">
        <w:tc>
          <w:tcPr>
            <w:tcW w:w="0" w:type="auto"/>
            <w:vAlign w:val="center"/>
            <w:hideMark/>
          </w:tcPr>
          <w:p w14:paraId="6F1BD55C" w14:textId="77777777" w:rsidR="00E36C1B" w:rsidRDefault="00E36C1B">
            <w:pPr>
              <w:rPr>
                <w:kern w:val="0"/>
                <w14:ligatures w14:val="none"/>
              </w:rPr>
            </w:pPr>
            <w:r>
              <w:lastRenderedPageBreak/>
              <w:t>25</w:t>
            </w:r>
          </w:p>
        </w:tc>
        <w:tc>
          <w:tcPr>
            <w:tcW w:w="0" w:type="auto"/>
            <w:vAlign w:val="center"/>
            <w:hideMark/>
          </w:tcPr>
          <w:p w14:paraId="19D525D5" w14:textId="77777777" w:rsidR="00E36C1B" w:rsidRDefault="00E36C1B">
            <w:r>
              <w:t>Yanagida 2014</w:t>
            </w:r>
          </w:p>
        </w:tc>
        <w:tc>
          <w:tcPr>
            <w:tcW w:w="0" w:type="auto"/>
            <w:vAlign w:val="center"/>
            <w:hideMark/>
          </w:tcPr>
          <w:p w14:paraId="21191627" w14:textId="77777777" w:rsidR="00E36C1B" w:rsidRDefault="00E36C1B">
            <w:r>
              <w:t>2014</w:t>
            </w:r>
          </w:p>
        </w:tc>
        <w:tc>
          <w:tcPr>
            <w:tcW w:w="0" w:type="auto"/>
            <w:vAlign w:val="center"/>
            <w:hideMark/>
          </w:tcPr>
          <w:p w14:paraId="5A738B5E" w14:textId="77777777" w:rsidR="00E36C1B" w:rsidRDefault="00E36C1B">
            <w:r>
              <w:t>Systematic review and meta-analysis of randomized trials</w:t>
            </w:r>
          </w:p>
        </w:tc>
        <w:tc>
          <w:tcPr>
            <w:tcW w:w="0" w:type="auto"/>
            <w:vAlign w:val="center"/>
            <w:hideMark/>
          </w:tcPr>
          <w:p w14:paraId="1DB66DA4" w14:textId="77777777" w:rsidR="00E36C1B" w:rsidRDefault="00E36C1B">
            <w:r>
              <w:t>Supportive systemic anti-VEGF safety extraction for intravitreal ranibizumab.</w:t>
            </w:r>
          </w:p>
        </w:tc>
        <w:tc>
          <w:tcPr>
            <w:tcW w:w="0" w:type="auto"/>
            <w:vAlign w:val="center"/>
            <w:hideMark/>
          </w:tcPr>
          <w:p w14:paraId="7A98F3E8" w14:textId="77777777" w:rsidR="00E36C1B" w:rsidRDefault="00E36C1B">
            <w:r>
              <w:t>6 trials; 2459 patients; ranibizumab compared with laser, triamcinolone, sham, or other non-ranibizumab controls.</w:t>
            </w:r>
          </w:p>
        </w:tc>
        <w:tc>
          <w:tcPr>
            <w:tcW w:w="0" w:type="auto"/>
            <w:vAlign w:val="center"/>
            <w:hideMark/>
          </w:tcPr>
          <w:p w14:paraId="58D2087C" w14:textId="77777777" w:rsidR="00E36C1B" w:rsidRDefault="00E36C1B">
            <w:r>
              <w:t>Older review; trials excluded high-risk systemic vascular patients; rare-event power limited.</w:t>
            </w:r>
          </w:p>
        </w:tc>
      </w:tr>
      <w:tr w:rsidR="00E36C1B" w14:paraId="26BE6C5D" w14:textId="77777777" w:rsidTr="00E36C1B">
        <w:tc>
          <w:tcPr>
            <w:tcW w:w="0" w:type="auto"/>
            <w:vAlign w:val="center"/>
            <w:hideMark/>
          </w:tcPr>
          <w:p w14:paraId="0713F151" w14:textId="77777777" w:rsidR="00E36C1B" w:rsidRDefault="00E36C1B">
            <w:pPr>
              <w:rPr>
                <w:kern w:val="0"/>
                <w14:ligatures w14:val="none"/>
              </w:rPr>
            </w:pPr>
            <w:r>
              <w:t>26</w:t>
            </w:r>
          </w:p>
        </w:tc>
        <w:tc>
          <w:tcPr>
            <w:tcW w:w="0" w:type="auto"/>
            <w:vAlign w:val="center"/>
            <w:hideMark/>
          </w:tcPr>
          <w:p w14:paraId="231D5D4F" w14:textId="77777777" w:rsidR="00E36C1B" w:rsidRDefault="00E36C1B">
            <w:r>
              <w:t>Cao 2025</w:t>
            </w:r>
          </w:p>
        </w:tc>
        <w:tc>
          <w:tcPr>
            <w:tcW w:w="0" w:type="auto"/>
            <w:vAlign w:val="center"/>
            <w:hideMark/>
          </w:tcPr>
          <w:p w14:paraId="389171F9" w14:textId="77777777" w:rsidR="00E36C1B" w:rsidRDefault="00E36C1B">
            <w:r>
              <w:t>2025</w:t>
            </w:r>
          </w:p>
        </w:tc>
        <w:tc>
          <w:tcPr>
            <w:tcW w:w="0" w:type="auto"/>
            <w:vAlign w:val="center"/>
            <w:hideMark/>
          </w:tcPr>
          <w:p w14:paraId="3ECE21DE" w14:textId="77777777" w:rsidR="00E36C1B" w:rsidRDefault="00E36C1B">
            <w:r>
              <w:t>Systematic review and meta-analysis</w:t>
            </w:r>
          </w:p>
        </w:tc>
        <w:tc>
          <w:tcPr>
            <w:tcW w:w="0" w:type="auto"/>
            <w:vAlign w:val="center"/>
            <w:hideMark/>
          </w:tcPr>
          <w:p w14:paraId="04F61546" w14:textId="77777777" w:rsidR="00E36C1B" w:rsidRDefault="00E36C1B">
            <w:r>
              <w:t>Early versus late switch to intravitreal dexamethasone implant in DME.</w:t>
            </w:r>
          </w:p>
        </w:tc>
        <w:tc>
          <w:tcPr>
            <w:tcW w:w="0" w:type="auto"/>
            <w:vAlign w:val="center"/>
            <w:hideMark/>
          </w:tcPr>
          <w:p w14:paraId="6F9AC6D0" w14:textId="77777777" w:rsidR="00E36C1B" w:rsidRDefault="00E36C1B">
            <w:r>
              <w:t>6 studies; CRT, BCVA, and ocular hypertension outcomes.</w:t>
            </w:r>
          </w:p>
        </w:tc>
        <w:tc>
          <w:tcPr>
            <w:tcW w:w="0" w:type="auto"/>
            <w:vAlign w:val="center"/>
            <w:hideMark/>
          </w:tcPr>
          <w:p w14:paraId="1FCA1618" w14:textId="77777777" w:rsidR="00E36C1B" w:rsidRDefault="00E36C1B">
            <w:r>
              <w:t>Low to moderate initial confidence; high heterogeneity and outlier sensitivity.</w:t>
            </w:r>
          </w:p>
        </w:tc>
      </w:tr>
      <w:tr w:rsidR="00E36C1B" w14:paraId="46839F9B" w14:textId="77777777" w:rsidTr="00E36C1B">
        <w:tc>
          <w:tcPr>
            <w:tcW w:w="0" w:type="auto"/>
            <w:vAlign w:val="center"/>
            <w:hideMark/>
          </w:tcPr>
          <w:p w14:paraId="1257D67B" w14:textId="77777777" w:rsidR="00E36C1B" w:rsidRDefault="00E36C1B">
            <w:pPr>
              <w:rPr>
                <w:kern w:val="0"/>
                <w14:ligatures w14:val="none"/>
              </w:rPr>
            </w:pPr>
            <w:r>
              <w:t>27</w:t>
            </w:r>
          </w:p>
        </w:tc>
        <w:tc>
          <w:tcPr>
            <w:tcW w:w="0" w:type="auto"/>
            <w:vAlign w:val="center"/>
            <w:hideMark/>
          </w:tcPr>
          <w:p w14:paraId="4ECBE973" w14:textId="77777777" w:rsidR="00E36C1B" w:rsidRDefault="00E36C1B">
            <w:r>
              <w:t>Chaudhary 2023</w:t>
            </w:r>
          </w:p>
        </w:tc>
        <w:tc>
          <w:tcPr>
            <w:tcW w:w="0" w:type="auto"/>
            <w:vAlign w:val="center"/>
            <w:hideMark/>
          </w:tcPr>
          <w:p w14:paraId="7FC7C687" w14:textId="77777777" w:rsidR="00E36C1B" w:rsidRDefault="00E36C1B">
            <w:r>
              <w:t>2023</w:t>
            </w:r>
          </w:p>
        </w:tc>
        <w:tc>
          <w:tcPr>
            <w:tcW w:w="0" w:type="auto"/>
            <w:vAlign w:val="center"/>
            <w:hideMark/>
          </w:tcPr>
          <w:p w14:paraId="2E181C82" w14:textId="77777777" w:rsidR="00E36C1B" w:rsidRDefault="00E36C1B">
            <w:r>
              <w:t>Systematic review and meta-analysis of RCTs</w:t>
            </w:r>
          </w:p>
        </w:tc>
        <w:tc>
          <w:tcPr>
            <w:tcW w:w="0" w:type="auto"/>
            <w:vAlign w:val="center"/>
            <w:hideMark/>
          </w:tcPr>
          <w:p w14:paraId="6E0A7D9E" w14:textId="77777777" w:rsidR="00E36C1B" w:rsidRDefault="00E36C1B">
            <w:r>
              <w:t>Anti-VEGF treatment, primarily aflibercept, for diabetic retinopathy disease-control outcomes versus observation or sham.</w:t>
            </w:r>
          </w:p>
        </w:tc>
        <w:tc>
          <w:tcPr>
            <w:tcW w:w="0" w:type="auto"/>
            <w:vAlign w:val="center"/>
            <w:hideMark/>
          </w:tcPr>
          <w:p w14:paraId="238200CC" w14:textId="77777777" w:rsidR="00E36C1B" w:rsidRDefault="00E36C1B">
            <w:r>
              <w:t>2 RCTs; 811 eyes; BCVA, DRSS, central subfield thickness, vision-threatening complications, ocular adverse events, and quality of life.</w:t>
            </w:r>
          </w:p>
        </w:tc>
        <w:tc>
          <w:tcPr>
            <w:tcW w:w="0" w:type="auto"/>
            <w:vAlign w:val="center"/>
            <w:hideMark/>
          </w:tcPr>
          <w:p w14:paraId="4D656940" w14:textId="77777777" w:rsidR="00E36C1B" w:rsidRDefault="00E36C1B">
            <w:r>
              <w:t>Moderate initial confidence; few trials but GRADE used.</w:t>
            </w:r>
          </w:p>
        </w:tc>
      </w:tr>
      <w:tr w:rsidR="00E36C1B" w14:paraId="364AD9DD" w14:textId="77777777" w:rsidTr="00E36C1B">
        <w:tc>
          <w:tcPr>
            <w:tcW w:w="0" w:type="auto"/>
            <w:vAlign w:val="center"/>
            <w:hideMark/>
          </w:tcPr>
          <w:p w14:paraId="6B3FF49B" w14:textId="77777777" w:rsidR="00E36C1B" w:rsidRDefault="00E36C1B">
            <w:pPr>
              <w:rPr>
                <w:kern w:val="0"/>
                <w14:ligatures w14:val="none"/>
              </w:rPr>
            </w:pPr>
            <w:r>
              <w:t>28</w:t>
            </w:r>
          </w:p>
        </w:tc>
        <w:tc>
          <w:tcPr>
            <w:tcW w:w="0" w:type="auto"/>
            <w:vAlign w:val="center"/>
            <w:hideMark/>
          </w:tcPr>
          <w:p w14:paraId="0F97D24D" w14:textId="77777777" w:rsidR="00E36C1B" w:rsidRDefault="00E36C1B">
            <w:r>
              <w:t>Chen J 2023</w:t>
            </w:r>
          </w:p>
        </w:tc>
        <w:tc>
          <w:tcPr>
            <w:tcW w:w="0" w:type="auto"/>
            <w:vAlign w:val="center"/>
            <w:hideMark/>
          </w:tcPr>
          <w:p w14:paraId="4E6B8E57" w14:textId="77777777" w:rsidR="00E36C1B" w:rsidRDefault="00E36C1B">
            <w:r>
              <w:t>2023</w:t>
            </w:r>
          </w:p>
        </w:tc>
        <w:tc>
          <w:tcPr>
            <w:tcW w:w="0" w:type="auto"/>
            <w:vAlign w:val="center"/>
            <w:hideMark/>
          </w:tcPr>
          <w:p w14:paraId="0F408C8E" w14:textId="77777777" w:rsidR="00E36C1B" w:rsidRDefault="00E36C1B">
            <w:r>
              <w:t>Systematic review and network meta-analysis</w:t>
            </w:r>
          </w:p>
        </w:tc>
        <w:tc>
          <w:tcPr>
            <w:tcW w:w="0" w:type="auto"/>
            <w:vAlign w:val="center"/>
            <w:hideMark/>
          </w:tcPr>
          <w:p w14:paraId="3A5CDB1C" w14:textId="77777777" w:rsidR="00E36C1B" w:rsidRDefault="00E36C1B">
            <w:r>
              <w:t>Anti-VEGF monotherapy and anti-VEGF plus laser photocoagulation for DME compared with laser alone or active alternatives.</w:t>
            </w:r>
          </w:p>
        </w:tc>
        <w:tc>
          <w:tcPr>
            <w:tcW w:w="0" w:type="auto"/>
            <w:vAlign w:val="center"/>
            <w:hideMark/>
          </w:tcPr>
          <w:p w14:paraId="174E8B81" w14:textId="77777777" w:rsidR="00E36C1B" w:rsidRDefault="00E36C1B">
            <w:r>
              <w:t>13 RCTs; BCVA change and CMT change.</w:t>
            </w:r>
          </w:p>
        </w:tc>
        <w:tc>
          <w:tcPr>
            <w:tcW w:w="0" w:type="auto"/>
            <w:vAlign w:val="center"/>
            <w:hideMark/>
          </w:tcPr>
          <w:p w14:paraId="3B4A8E88" w14:textId="77777777" w:rsidR="00E36C1B" w:rsidRDefault="00E36C1B">
            <w:r>
              <w:t>Low to moderate initial confidence; NMA with RCTs but transitivity assessment needed.</w:t>
            </w:r>
          </w:p>
        </w:tc>
      </w:tr>
      <w:tr w:rsidR="00E36C1B" w14:paraId="357E69C1" w14:textId="77777777" w:rsidTr="00E36C1B">
        <w:tc>
          <w:tcPr>
            <w:tcW w:w="0" w:type="auto"/>
            <w:vAlign w:val="center"/>
            <w:hideMark/>
          </w:tcPr>
          <w:p w14:paraId="702F1563" w14:textId="77777777" w:rsidR="00E36C1B" w:rsidRDefault="00E36C1B">
            <w:pPr>
              <w:rPr>
                <w:kern w:val="0"/>
                <w14:ligatures w14:val="none"/>
              </w:rPr>
            </w:pPr>
            <w:r>
              <w:lastRenderedPageBreak/>
              <w:t>29</w:t>
            </w:r>
          </w:p>
        </w:tc>
        <w:tc>
          <w:tcPr>
            <w:tcW w:w="0" w:type="auto"/>
            <w:vAlign w:val="center"/>
            <w:hideMark/>
          </w:tcPr>
          <w:p w14:paraId="59547B49" w14:textId="77777777" w:rsidR="00E36C1B" w:rsidRDefault="00E36C1B">
            <w:r>
              <w:t>Chen L 2025</w:t>
            </w:r>
          </w:p>
        </w:tc>
        <w:tc>
          <w:tcPr>
            <w:tcW w:w="0" w:type="auto"/>
            <w:vAlign w:val="center"/>
            <w:hideMark/>
          </w:tcPr>
          <w:p w14:paraId="190A9755" w14:textId="77777777" w:rsidR="00E36C1B" w:rsidRDefault="00E36C1B">
            <w:r>
              <w:t>2025</w:t>
            </w:r>
          </w:p>
        </w:tc>
        <w:tc>
          <w:tcPr>
            <w:tcW w:w="0" w:type="auto"/>
            <w:vAlign w:val="center"/>
            <w:hideMark/>
          </w:tcPr>
          <w:p w14:paraId="465C5C5D" w14:textId="77777777" w:rsidR="00E36C1B" w:rsidRDefault="00E36C1B">
            <w:r>
              <w:t>Systematic review and Bayesian network meta-analysis</w:t>
            </w:r>
          </w:p>
        </w:tc>
        <w:tc>
          <w:tcPr>
            <w:tcW w:w="0" w:type="auto"/>
            <w:vAlign w:val="center"/>
            <w:hideMark/>
          </w:tcPr>
          <w:p w14:paraId="6050365F" w14:textId="77777777" w:rsidR="00E36C1B" w:rsidRDefault="00E36C1B">
            <w:r>
              <w:t>Conbercept, ranibizumab, aflibercept, alone or combined with laser, compared with laser alone and active pharmacologic comparators.</w:t>
            </w:r>
          </w:p>
        </w:tc>
        <w:tc>
          <w:tcPr>
            <w:tcW w:w="0" w:type="auto"/>
            <w:vAlign w:val="center"/>
            <w:hideMark/>
          </w:tcPr>
          <w:p w14:paraId="0042CB82" w14:textId="77777777" w:rsidR="00E36C1B" w:rsidRDefault="00E36C1B">
            <w:r>
              <w:t>64 RCTs; 7185 patients; CRT, BCVA, adverse events, and SUCRA rankings.</w:t>
            </w:r>
          </w:p>
        </w:tc>
        <w:tc>
          <w:tcPr>
            <w:tcW w:w="0" w:type="auto"/>
            <w:vAlign w:val="center"/>
            <w:hideMark/>
          </w:tcPr>
          <w:p w14:paraId="1D85EA68" w14:textId="77777777" w:rsidR="00E36C1B" w:rsidRDefault="00E36C1B">
            <w:r>
              <w:t>Moderate initial confidence; large RCT network but possible heterogeneity and regional concentration.</w:t>
            </w:r>
          </w:p>
        </w:tc>
      </w:tr>
      <w:tr w:rsidR="00E36C1B" w14:paraId="714F05D9" w14:textId="77777777" w:rsidTr="00E36C1B">
        <w:tc>
          <w:tcPr>
            <w:tcW w:w="0" w:type="auto"/>
            <w:vAlign w:val="center"/>
            <w:hideMark/>
          </w:tcPr>
          <w:p w14:paraId="1B753E76" w14:textId="77777777" w:rsidR="00E36C1B" w:rsidRDefault="00E36C1B">
            <w:pPr>
              <w:rPr>
                <w:kern w:val="0"/>
                <w14:ligatures w14:val="none"/>
              </w:rPr>
            </w:pPr>
            <w:r>
              <w:t>30</w:t>
            </w:r>
          </w:p>
        </w:tc>
        <w:tc>
          <w:tcPr>
            <w:tcW w:w="0" w:type="auto"/>
            <w:vAlign w:val="center"/>
            <w:hideMark/>
          </w:tcPr>
          <w:p w14:paraId="7BE9F707" w14:textId="77777777" w:rsidR="00E36C1B" w:rsidRDefault="00E36C1B">
            <w:r>
              <w:t>Chi 2023</w:t>
            </w:r>
          </w:p>
        </w:tc>
        <w:tc>
          <w:tcPr>
            <w:tcW w:w="0" w:type="auto"/>
            <w:vAlign w:val="center"/>
            <w:hideMark/>
          </w:tcPr>
          <w:p w14:paraId="59B6B04B" w14:textId="77777777" w:rsidR="00E36C1B" w:rsidRDefault="00E36C1B">
            <w:r>
              <w:t>2023</w:t>
            </w:r>
          </w:p>
        </w:tc>
        <w:tc>
          <w:tcPr>
            <w:tcW w:w="0" w:type="auto"/>
            <w:vAlign w:val="center"/>
            <w:hideMark/>
          </w:tcPr>
          <w:p w14:paraId="509604B0" w14:textId="77777777" w:rsidR="00E36C1B" w:rsidRDefault="00E36C1B">
            <w:r>
              <w:t>Systematic review and meta-analysis</w:t>
            </w:r>
          </w:p>
        </w:tc>
        <w:tc>
          <w:tcPr>
            <w:tcW w:w="0" w:type="auto"/>
            <w:vAlign w:val="center"/>
            <w:hideMark/>
          </w:tcPr>
          <w:p w14:paraId="263EACCE" w14:textId="77777777" w:rsidR="00E36C1B" w:rsidRDefault="00E36C1B">
            <w:r>
              <w:t>Dexamethasone implant/Ozurdex-related therapy compared with anti-VEGF therapy in DME.</w:t>
            </w:r>
          </w:p>
        </w:tc>
        <w:tc>
          <w:tcPr>
            <w:tcW w:w="0" w:type="auto"/>
            <w:vAlign w:val="center"/>
            <w:hideMark/>
          </w:tcPr>
          <w:p w14:paraId="4D781EA5" w14:textId="77777777" w:rsidR="00E36C1B" w:rsidRDefault="00E36C1B">
            <w:r>
              <w:t>30 studies, including RCTs and non-RCTs; BCVA change, CRT decrease, and resistant versus nonresistant subgroup outcomes.</w:t>
            </w:r>
          </w:p>
        </w:tc>
        <w:tc>
          <w:tcPr>
            <w:tcW w:w="0" w:type="auto"/>
            <w:vAlign w:val="center"/>
            <w:hideMark/>
          </w:tcPr>
          <w:p w14:paraId="143C888B" w14:textId="77777777" w:rsidR="00E36C1B" w:rsidRDefault="00E36C1B">
            <w:r>
              <w:t>Low to moderate initial confidence; mixed RCT and non-RCT evidence.</w:t>
            </w:r>
          </w:p>
        </w:tc>
      </w:tr>
      <w:tr w:rsidR="00E36C1B" w14:paraId="3CBD4E04" w14:textId="77777777" w:rsidTr="00E36C1B">
        <w:tc>
          <w:tcPr>
            <w:tcW w:w="0" w:type="auto"/>
            <w:vAlign w:val="center"/>
            <w:hideMark/>
          </w:tcPr>
          <w:p w14:paraId="46FCCA76" w14:textId="77777777" w:rsidR="00E36C1B" w:rsidRDefault="00E36C1B">
            <w:pPr>
              <w:rPr>
                <w:kern w:val="0"/>
                <w14:ligatures w14:val="none"/>
              </w:rPr>
            </w:pPr>
            <w:r>
              <w:t>31</w:t>
            </w:r>
          </w:p>
        </w:tc>
        <w:tc>
          <w:tcPr>
            <w:tcW w:w="0" w:type="auto"/>
            <w:vAlign w:val="center"/>
            <w:hideMark/>
          </w:tcPr>
          <w:p w14:paraId="6AEFDA98" w14:textId="77777777" w:rsidR="00E36C1B" w:rsidRDefault="00E36C1B">
            <w:r>
              <w:t>Falcão 2020</w:t>
            </w:r>
          </w:p>
        </w:tc>
        <w:tc>
          <w:tcPr>
            <w:tcW w:w="0" w:type="auto"/>
            <w:vAlign w:val="center"/>
            <w:hideMark/>
          </w:tcPr>
          <w:p w14:paraId="0EA1EF3C" w14:textId="77777777" w:rsidR="00E36C1B" w:rsidRDefault="00E36C1B">
            <w:r>
              <w:t>2020</w:t>
            </w:r>
          </w:p>
        </w:tc>
        <w:tc>
          <w:tcPr>
            <w:tcW w:w="0" w:type="auto"/>
            <w:vAlign w:val="center"/>
            <w:hideMark/>
          </w:tcPr>
          <w:p w14:paraId="75638791" w14:textId="77777777" w:rsidR="00E36C1B" w:rsidRDefault="00E36C1B">
            <w:r>
              <w:t>Meta-analysis of RCTs and real-world studies</w:t>
            </w:r>
          </w:p>
        </w:tc>
        <w:tc>
          <w:tcPr>
            <w:tcW w:w="0" w:type="auto"/>
            <w:vAlign w:val="center"/>
            <w:hideMark/>
          </w:tcPr>
          <w:p w14:paraId="0654BD6A" w14:textId="77777777" w:rsidR="00E36C1B" w:rsidRDefault="00E36C1B">
            <w:r>
              <w:t>Intravitreal ranibizumab across RCT and real-world treatment contexts, including injection-frequency analyses.</w:t>
            </w:r>
          </w:p>
        </w:tc>
        <w:tc>
          <w:tcPr>
            <w:tcW w:w="0" w:type="auto"/>
            <w:vAlign w:val="center"/>
            <w:hideMark/>
          </w:tcPr>
          <w:p w14:paraId="7BF3492C" w14:textId="77777777" w:rsidR="00E36C1B" w:rsidRDefault="00E36C1B">
            <w:r>
              <w:t>29 RCTs and 11 real-world studies; BCVA, CFT, and injection frequency.</w:t>
            </w:r>
          </w:p>
        </w:tc>
        <w:tc>
          <w:tcPr>
            <w:tcW w:w="0" w:type="auto"/>
            <w:vAlign w:val="center"/>
            <w:hideMark/>
          </w:tcPr>
          <w:p w14:paraId="3F4B09A1" w14:textId="77777777" w:rsidR="00E36C1B" w:rsidRDefault="00E36C1B">
            <w:r>
              <w:t>Low to moderate initial confidence; combines RCT and real-world studies.</w:t>
            </w:r>
          </w:p>
        </w:tc>
      </w:tr>
      <w:tr w:rsidR="00E36C1B" w14:paraId="52D5DE33" w14:textId="77777777" w:rsidTr="00E36C1B">
        <w:tc>
          <w:tcPr>
            <w:tcW w:w="0" w:type="auto"/>
            <w:vAlign w:val="center"/>
            <w:hideMark/>
          </w:tcPr>
          <w:p w14:paraId="123EF1B4" w14:textId="77777777" w:rsidR="00E36C1B" w:rsidRDefault="00E36C1B">
            <w:pPr>
              <w:rPr>
                <w:kern w:val="0"/>
                <w14:ligatures w14:val="none"/>
              </w:rPr>
            </w:pPr>
            <w:r>
              <w:t>32</w:t>
            </w:r>
          </w:p>
        </w:tc>
        <w:tc>
          <w:tcPr>
            <w:tcW w:w="0" w:type="auto"/>
            <w:vAlign w:val="center"/>
            <w:hideMark/>
          </w:tcPr>
          <w:p w14:paraId="13CB396B" w14:textId="77777777" w:rsidR="00E36C1B" w:rsidRDefault="00E36C1B">
            <w:r>
              <w:t>Fallico 2021</w:t>
            </w:r>
          </w:p>
        </w:tc>
        <w:tc>
          <w:tcPr>
            <w:tcW w:w="0" w:type="auto"/>
            <w:vAlign w:val="center"/>
            <w:hideMark/>
          </w:tcPr>
          <w:p w14:paraId="76668C18" w14:textId="77777777" w:rsidR="00E36C1B" w:rsidRDefault="00E36C1B">
            <w:r>
              <w:t>2021</w:t>
            </w:r>
          </w:p>
        </w:tc>
        <w:tc>
          <w:tcPr>
            <w:tcW w:w="0" w:type="auto"/>
            <w:vAlign w:val="center"/>
            <w:hideMark/>
          </w:tcPr>
          <w:p w14:paraId="571966D5" w14:textId="77777777" w:rsidR="00E36C1B" w:rsidRDefault="00E36C1B">
            <w:r>
              <w:t>Systematic review and meta-analysis of real-world studies</w:t>
            </w:r>
          </w:p>
        </w:tc>
        <w:tc>
          <w:tcPr>
            <w:tcW w:w="0" w:type="auto"/>
            <w:vAlign w:val="center"/>
            <w:hideMark/>
          </w:tcPr>
          <w:p w14:paraId="048AEBCC" w14:textId="77777777" w:rsidR="00E36C1B" w:rsidRDefault="00E36C1B">
            <w:r>
              <w:t>0.19 mg fluocinolone acetonide intravitreal implant; real-world pre/post outcomes and FAME trial context.</w:t>
            </w:r>
          </w:p>
        </w:tc>
        <w:tc>
          <w:tcPr>
            <w:tcW w:w="0" w:type="auto"/>
            <w:vAlign w:val="center"/>
            <w:hideMark/>
          </w:tcPr>
          <w:p w14:paraId="6084B298" w14:textId="77777777" w:rsidR="00E36C1B" w:rsidRDefault="00E36C1B">
            <w:r>
              <w:t>9 real-world studies; BCVA at 24/36 months, CMT, supplementary therapy, cataract surgery, and IOP-lowering therapy.</w:t>
            </w:r>
          </w:p>
        </w:tc>
        <w:tc>
          <w:tcPr>
            <w:tcW w:w="0" w:type="auto"/>
            <w:vAlign w:val="center"/>
            <w:hideMark/>
          </w:tcPr>
          <w:p w14:paraId="5DC467FB" w14:textId="77777777" w:rsidR="00E36C1B" w:rsidRDefault="00E36C1B">
            <w:r>
              <w:t>Low to moderate initial confidence; real-world observational evidence.</w:t>
            </w:r>
          </w:p>
        </w:tc>
      </w:tr>
      <w:tr w:rsidR="00E36C1B" w14:paraId="00997F79" w14:textId="77777777" w:rsidTr="00E36C1B">
        <w:tc>
          <w:tcPr>
            <w:tcW w:w="0" w:type="auto"/>
            <w:vAlign w:val="center"/>
            <w:hideMark/>
          </w:tcPr>
          <w:p w14:paraId="1E5224FF" w14:textId="77777777" w:rsidR="00E36C1B" w:rsidRDefault="00E36C1B">
            <w:pPr>
              <w:rPr>
                <w:kern w:val="0"/>
                <w14:ligatures w14:val="none"/>
              </w:rPr>
            </w:pPr>
            <w:r>
              <w:t>33</w:t>
            </w:r>
          </w:p>
        </w:tc>
        <w:tc>
          <w:tcPr>
            <w:tcW w:w="0" w:type="auto"/>
            <w:vAlign w:val="center"/>
            <w:hideMark/>
          </w:tcPr>
          <w:p w14:paraId="506208E7" w14:textId="77777777" w:rsidR="00E36C1B" w:rsidRDefault="00E36C1B">
            <w:r>
              <w:t>Grad 2025</w:t>
            </w:r>
          </w:p>
        </w:tc>
        <w:tc>
          <w:tcPr>
            <w:tcW w:w="0" w:type="auto"/>
            <w:vAlign w:val="center"/>
            <w:hideMark/>
          </w:tcPr>
          <w:p w14:paraId="5BFC5D95" w14:textId="77777777" w:rsidR="00E36C1B" w:rsidRDefault="00E36C1B">
            <w:r>
              <w:t>2025</w:t>
            </w:r>
          </w:p>
        </w:tc>
        <w:tc>
          <w:tcPr>
            <w:tcW w:w="0" w:type="auto"/>
            <w:vAlign w:val="center"/>
            <w:hideMark/>
          </w:tcPr>
          <w:p w14:paraId="7B9F0AE5" w14:textId="77777777" w:rsidR="00E36C1B" w:rsidRDefault="00E36C1B">
            <w:r>
              <w:t>Systematic review and meta-analysis of RCTs</w:t>
            </w:r>
          </w:p>
        </w:tc>
        <w:tc>
          <w:tcPr>
            <w:tcW w:w="0" w:type="auto"/>
            <w:vAlign w:val="center"/>
            <w:hideMark/>
          </w:tcPr>
          <w:p w14:paraId="1F71F75E" w14:textId="77777777" w:rsidR="00E36C1B" w:rsidRDefault="00E36C1B">
            <w:r>
              <w:t>Anti-VEGF plus steroid combination therapy versus anti-VEGF monotherapy.</w:t>
            </w:r>
          </w:p>
        </w:tc>
        <w:tc>
          <w:tcPr>
            <w:tcW w:w="0" w:type="auto"/>
            <w:vAlign w:val="center"/>
            <w:hideMark/>
          </w:tcPr>
          <w:p w14:paraId="722B9482" w14:textId="77777777" w:rsidR="00E36C1B" w:rsidRDefault="00E36C1B">
            <w:r>
              <w:t>16 RCTs; 1166 eyes; BCVA, retinal thickness, IOP adverse events, cataract adverse events, and subgroup by treatment status.</w:t>
            </w:r>
          </w:p>
        </w:tc>
        <w:tc>
          <w:tcPr>
            <w:tcW w:w="0" w:type="auto"/>
            <w:vAlign w:val="center"/>
            <w:hideMark/>
          </w:tcPr>
          <w:p w14:paraId="0CED2462" w14:textId="77777777" w:rsidR="00E36C1B" w:rsidRDefault="00E36C1B">
            <w:r>
              <w:t>Moderate initial confidence; RCT-only with RoB2/GRADE but many low-certainty outcomes.</w:t>
            </w:r>
          </w:p>
        </w:tc>
      </w:tr>
      <w:tr w:rsidR="00E36C1B" w14:paraId="299EC24C" w14:textId="77777777" w:rsidTr="00E36C1B">
        <w:tc>
          <w:tcPr>
            <w:tcW w:w="0" w:type="auto"/>
            <w:vAlign w:val="center"/>
            <w:hideMark/>
          </w:tcPr>
          <w:p w14:paraId="71CE0B1E" w14:textId="77777777" w:rsidR="00E36C1B" w:rsidRDefault="00E36C1B">
            <w:pPr>
              <w:rPr>
                <w:kern w:val="0"/>
                <w14:ligatures w14:val="none"/>
              </w:rPr>
            </w:pPr>
            <w:r>
              <w:t>34</w:t>
            </w:r>
          </w:p>
        </w:tc>
        <w:tc>
          <w:tcPr>
            <w:tcW w:w="0" w:type="auto"/>
            <w:vAlign w:val="center"/>
            <w:hideMark/>
          </w:tcPr>
          <w:p w14:paraId="088D6E98" w14:textId="77777777" w:rsidR="00E36C1B" w:rsidRDefault="00E36C1B">
            <w:r>
              <w:t>Hu 2025</w:t>
            </w:r>
          </w:p>
        </w:tc>
        <w:tc>
          <w:tcPr>
            <w:tcW w:w="0" w:type="auto"/>
            <w:vAlign w:val="center"/>
            <w:hideMark/>
          </w:tcPr>
          <w:p w14:paraId="34D8836D" w14:textId="77777777" w:rsidR="00E36C1B" w:rsidRDefault="00E36C1B">
            <w:r>
              <w:t>2025</w:t>
            </w:r>
          </w:p>
        </w:tc>
        <w:tc>
          <w:tcPr>
            <w:tcW w:w="0" w:type="auto"/>
            <w:vAlign w:val="center"/>
            <w:hideMark/>
          </w:tcPr>
          <w:p w14:paraId="7136CE00" w14:textId="77777777" w:rsidR="00E36C1B" w:rsidRDefault="00E36C1B">
            <w:r>
              <w:t xml:space="preserve">Systematic review and meta-analysis of </w:t>
            </w:r>
            <w:r>
              <w:lastRenderedPageBreak/>
              <w:t>single-arm studies</w:t>
            </w:r>
          </w:p>
        </w:tc>
        <w:tc>
          <w:tcPr>
            <w:tcW w:w="0" w:type="auto"/>
            <w:vAlign w:val="center"/>
            <w:hideMark/>
          </w:tcPr>
          <w:p w14:paraId="5E89DB4C" w14:textId="77777777" w:rsidR="00E36C1B" w:rsidRDefault="00E36C1B">
            <w:r>
              <w:lastRenderedPageBreak/>
              <w:t xml:space="preserve">Fluocinolone acetonide implant after prior </w:t>
            </w:r>
            <w:r>
              <w:lastRenderedPageBreak/>
              <w:t>dexamethasone implant in DME.</w:t>
            </w:r>
          </w:p>
        </w:tc>
        <w:tc>
          <w:tcPr>
            <w:tcW w:w="0" w:type="auto"/>
            <w:vAlign w:val="center"/>
            <w:hideMark/>
          </w:tcPr>
          <w:p w14:paraId="69AED1D7" w14:textId="77777777" w:rsidR="00E36C1B" w:rsidRDefault="00E36C1B">
            <w:r>
              <w:lastRenderedPageBreak/>
              <w:t xml:space="preserve">8 studies; 365 eyes; BCVA, CRT, and IOP after fluocinolone </w:t>
            </w:r>
            <w:r>
              <w:lastRenderedPageBreak/>
              <w:t>acetonide implant.</w:t>
            </w:r>
          </w:p>
        </w:tc>
        <w:tc>
          <w:tcPr>
            <w:tcW w:w="0" w:type="auto"/>
            <w:vAlign w:val="center"/>
            <w:hideMark/>
          </w:tcPr>
          <w:p w14:paraId="72B52023" w14:textId="77777777" w:rsidR="00E36C1B" w:rsidRDefault="00E36C1B">
            <w:r>
              <w:lastRenderedPageBreak/>
              <w:t xml:space="preserve">Low initial confidence; single-arm evidence and </w:t>
            </w:r>
            <w:r>
              <w:lastRenderedPageBreak/>
              <w:t>high heterogeneity.</w:t>
            </w:r>
          </w:p>
        </w:tc>
      </w:tr>
      <w:tr w:rsidR="00E36C1B" w14:paraId="2D71B934" w14:textId="77777777" w:rsidTr="00E36C1B">
        <w:tc>
          <w:tcPr>
            <w:tcW w:w="0" w:type="auto"/>
            <w:vAlign w:val="center"/>
            <w:hideMark/>
          </w:tcPr>
          <w:p w14:paraId="3A0E229C" w14:textId="77777777" w:rsidR="00E36C1B" w:rsidRDefault="00E36C1B">
            <w:pPr>
              <w:rPr>
                <w:kern w:val="0"/>
                <w14:ligatures w14:val="none"/>
              </w:rPr>
            </w:pPr>
            <w:r>
              <w:lastRenderedPageBreak/>
              <w:t>35</w:t>
            </w:r>
          </w:p>
        </w:tc>
        <w:tc>
          <w:tcPr>
            <w:tcW w:w="0" w:type="auto"/>
            <w:vAlign w:val="center"/>
            <w:hideMark/>
          </w:tcPr>
          <w:p w14:paraId="4B529675" w14:textId="77777777" w:rsidR="00E36C1B" w:rsidRDefault="00E36C1B">
            <w:r>
              <w:t>Karam 2025</w:t>
            </w:r>
          </w:p>
        </w:tc>
        <w:tc>
          <w:tcPr>
            <w:tcW w:w="0" w:type="auto"/>
            <w:vAlign w:val="center"/>
            <w:hideMark/>
          </w:tcPr>
          <w:p w14:paraId="3A62F3E6" w14:textId="77777777" w:rsidR="00E36C1B" w:rsidRDefault="00E36C1B">
            <w:r>
              <w:t>2025</w:t>
            </w:r>
          </w:p>
        </w:tc>
        <w:tc>
          <w:tcPr>
            <w:tcW w:w="0" w:type="auto"/>
            <w:vAlign w:val="center"/>
            <w:hideMark/>
          </w:tcPr>
          <w:p w14:paraId="01339FE4" w14:textId="77777777" w:rsidR="00E36C1B" w:rsidRDefault="00E36C1B">
            <w:r>
              <w:t>Systematic review and meta-analysis</w:t>
            </w:r>
          </w:p>
        </w:tc>
        <w:tc>
          <w:tcPr>
            <w:tcW w:w="0" w:type="auto"/>
            <w:vAlign w:val="center"/>
            <w:hideMark/>
          </w:tcPr>
          <w:p w14:paraId="34899F6F" w14:textId="77777777" w:rsidR="00E36C1B" w:rsidRDefault="00E36C1B">
            <w:r>
              <w:t>Suprachoroidal triamcinolone acetonide for DME or related retinal edema contexts.</w:t>
            </w:r>
          </w:p>
        </w:tc>
        <w:tc>
          <w:tcPr>
            <w:tcW w:w="0" w:type="auto"/>
            <w:vAlign w:val="center"/>
            <w:hideMark/>
          </w:tcPr>
          <w:p w14:paraId="1EB6223F" w14:textId="77777777" w:rsidR="00E36C1B" w:rsidRDefault="00E36C1B">
            <w:r>
              <w:t>11 studies; 411 eyes; CMT, corrected distance visual acuity, duration of effect, IOP, and complications.</w:t>
            </w:r>
          </w:p>
        </w:tc>
        <w:tc>
          <w:tcPr>
            <w:tcW w:w="0" w:type="auto"/>
            <w:vAlign w:val="center"/>
            <w:hideMark/>
          </w:tcPr>
          <w:p w14:paraId="4C4C7D5A" w14:textId="77777777" w:rsidR="00E36C1B" w:rsidRDefault="00E36C1B">
            <w:r>
              <w:t>Low initial confidence; emerging treatment with likely heterogeneous study designs.</w:t>
            </w:r>
          </w:p>
        </w:tc>
      </w:tr>
      <w:tr w:rsidR="00E36C1B" w14:paraId="5ED333D3" w14:textId="77777777" w:rsidTr="00E36C1B">
        <w:tc>
          <w:tcPr>
            <w:tcW w:w="0" w:type="auto"/>
            <w:vAlign w:val="center"/>
            <w:hideMark/>
          </w:tcPr>
          <w:p w14:paraId="4D6FF9CE" w14:textId="77777777" w:rsidR="00E36C1B" w:rsidRDefault="00E36C1B">
            <w:pPr>
              <w:rPr>
                <w:kern w:val="0"/>
                <w14:ligatures w14:val="none"/>
              </w:rPr>
            </w:pPr>
            <w:r>
              <w:t>36</w:t>
            </w:r>
          </w:p>
        </w:tc>
        <w:tc>
          <w:tcPr>
            <w:tcW w:w="0" w:type="auto"/>
            <w:vAlign w:val="center"/>
            <w:hideMark/>
          </w:tcPr>
          <w:p w14:paraId="5BCF3FF5" w14:textId="77777777" w:rsidR="00E36C1B" w:rsidRDefault="00E36C1B">
            <w:r>
              <w:t>Kataoka 2023</w:t>
            </w:r>
          </w:p>
        </w:tc>
        <w:tc>
          <w:tcPr>
            <w:tcW w:w="0" w:type="auto"/>
            <w:vAlign w:val="center"/>
            <w:hideMark/>
          </w:tcPr>
          <w:p w14:paraId="38D577F7" w14:textId="77777777" w:rsidR="00E36C1B" w:rsidRDefault="00E36C1B">
            <w:r>
              <w:t>2023</w:t>
            </w:r>
          </w:p>
        </w:tc>
        <w:tc>
          <w:tcPr>
            <w:tcW w:w="0" w:type="auto"/>
            <w:vAlign w:val="center"/>
            <w:hideMark/>
          </w:tcPr>
          <w:p w14:paraId="70681006" w14:textId="77777777" w:rsidR="00E36C1B" w:rsidRDefault="00E36C1B">
            <w:r>
              <w:t>Cochrane systematic review</w:t>
            </w:r>
          </w:p>
        </w:tc>
        <w:tc>
          <w:tcPr>
            <w:tcW w:w="0" w:type="auto"/>
            <w:vAlign w:val="center"/>
            <w:hideMark/>
          </w:tcPr>
          <w:p w14:paraId="633BB974" w14:textId="77777777" w:rsidR="00E36C1B" w:rsidRDefault="00E36C1B">
            <w:r>
              <w:t>Fenofibrate versus placebo for diabetic retinopathy outcomes.</w:t>
            </w:r>
          </w:p>
        </w:tc>
        <w:tc>
          <w:tcPr>
            <w:tcW w:w="0" w:type="auto"/>
            <w:vAlign w:val="center"/>
            <w:hideMark/>
          </w:tcPr>
          <w:p w14:paraId="054679FA" w14:textId="77777777" w:rsidR="00E36C1B" w:rsidRDefault="00E36C1B">
            <w:r>
              <w:t>2 RCTs; 15,313 participants; DR progression, incident retinopathy/DMO, need for additional treatments, and serious adverse events.</w:t>
            </w:r>
          </w:p>
        </w:tc>
        <w:tc>
          <w:tcPr>
            <w:tcW w:w="0" w:type="auto"/>
            <w:vAlign w:val="center"/>
            <w:hideMark/>
          </w:tcPr>
          <w:p w14:paraId="7BC20F55" w14:textId="77777777" w:rsidR="00E36C1B" w:rsidRDefault="00E36C1B">
            <w:r>
              <w:t>High initial confidence as Cochrane methods; systemic intervention and peripheral to intravitreal treatment hierarchy.</w:t>
            </w:r>
          </w:p>
        </w:tc>
      </w:tr>
      <w:tr w:rsidR="00E36C1B" w14:paraId="601604BE" w14:textId="77777777" w:rsidTr="00E36C1B">
        <w:tc>
          <w:tcPr>
            <w:tcW w:w="0" w:type="auto"/>
            <w:vAlign w:val="center"/>
            <w:hideMark/>
          </w:tcPr>
          <w:p w14:paraId="7997E864" w14:textId="77777777" w:rsidR="00E36C1B" w:rsidRDefault="00E36C1B">
            <w:pPr>
              <w:rPr>
                <w:kern w:val="0"/>
                <w14:ligatures w14:val="none"/>
              </w:rPr>
            </w:pPr>
            <w:r>
              <w:t>37</w:t>
            </w:r>
          </w:p>
        </w:tc>
        <w:tc>
          <w:tcPr>
            <w:tcW w:w="0" w:type="auto"/>
            <w:vAlign w:val="center"/>
            <w:hideMark/>
          </w:tcPr>
          <w:p w14:paraId="53BB4727" w14:textId="77777777" w:rsidR="00E36C1B" w:rsidRDefault="00E36C1B">
            <w:proofErr w:type="spellStart"/>
            <w:r>
              <w:t>Kodjikian</w:t>
            </w:r>
            <w:proofErr w:type="spellEnd"/>
            <w:r>
              <w:t xml:space="preserve"> 2021</w:t>
            </w:r>
          </w:p>
        </w:tc>
        <w:tc>
          <w:tcPr>
            <w:tcW w:w="0" w:type="auto"/>
            <w:vAlign w:val="center"/>
            <w:hideMark/>
          </w:tcPr>
          <w:p w14:paraId="52A582B3" w14:textId="77777777" w:rsidR="00E36C1B" w:rsidRDefault="00E36C1B">
            <w:r>
              <w:t>2021</w:t>
            </w:r>
          </w:p>
        </w:tc>
        <w:tc>
          <w:tcPr>
            <w:tcW w:w="0" w:type="auto"/>
            <w:vAlign w:val="center"/>
            <w:hideMark/>
          </w:tcPr>
          <w:p w14:paraId="3293FD92" w14:textId="77777777" w:rsidR="00E36C1B" w:rsidRDefault="00E36C1B">
            <w:r>
              <w:t>Systematic review of real-world observational studies</w:t>
            </w:r>
          </w:p>
        </w:tc>
        <w:tc>
          <w:tcPr>
            <w:tcW w:w="0" w:type="auto"/>
            <w:vAlign w:val="center"/>
            <w:hideMark/>
          </w:tcPr>
          <w:p w14:paraId="72739D22" w14:textId="77777777" w:rsidR="00E36C1B" w:rsidRDefault="00E36C1B">
            <w:r>
              <w:t>Fluocinolone acetonide implant; real-world pre/post outcomes without RCTs.</w:t>
            </w:r>
          </w:p>
        </w:tc>
        <w:tc>
          <w:tcPr>
            <w:tcW w:w="0" w:type="auto"/>
            <w:vAlign w:val="center"/>
            <w:hideMark/>
          </w:tcPr>
          <w:p w14:paraId="58600C0C" w14:textId="77777777" w:rsidR="00E36C1B" w:rsidRDefault="00E36C1B">
            <w:r>
              <w:t>22 observational real-world studies; 1880 eyes; visual gain, CMT, IOP, cataract, and safety outcomes.</w:t>
            </w:r>
          </w:p>
        </w:tc>
        <w:tc>
          <w:tcPr>
            <w:tcW w:w="0" w:type="auto"/>
            <w:vAlign w:val="center"/>
            <w:hideMark/>
          </w:tcPr>
          <w:p w14:paraId="77BB1B5F" w14:textId="77777777" w:rsidR="00E36C1B" w:rsidRDefault="00E36C1B">
            <w:r>
              <w:t>Low to moderate initial confidence; real-world only and no meta-analysis in some sections.</w:t>
            </w:r>
          </w:p>
        </w:tc>
      </w:tr>
      <w:tr w:rsidR="00E36C1B" w14:paraId="6457269D" w14:textId="77777777" w:rsidTr="009370B1">
        <w:tc>
          <w:tcPr>
            <w:tcW w:w="0" w:type="auto"/>
            <w:vAlign w:val="center"/>
            <w:hideMark/>
          </w:tcPr>
          <w:p w14:paraId="1D0AE19B" w14:textId="77777777" w:rsidR="00E36C1B" w:rsidRDefault="00E36C1B">
            <w:pPr>
              <w:rPr>
                <w:kern w:val="0"/>
                <w14:ligatures w14:val="none"/>
              </w:rPr>
            </w:pPr>
            <w:r>
              <w:t>38</w:t>
            </w:r>
          </w:p>
        </w:tc>
        <w:tc>
          <w:tcPr>
            <w:tcW w:w="0" w:type="auto"/>
            <w:vAlign w:val="center"/>
            <w:hideMark/>
          </w:tcPr>
          <w:p w14:paraId="457DCA41" w14:textId="77777777" w:rsidR="00E36C1B" w:rsidRDefault="00E36C1B">
            <w:r>
              <w:t>Krishnan 2026</w:t>
            </w:r>
          </w:p>
        </w:tc>
        <w:tc>
          <w:tcPr>
            <w:tcW w:w="0" w:type="auto"/>
            <w:vAlign w:val="center"/>
            <w:hideMark/>
          </w:tcPr>
          <w:p w14:paraId="05C4FC61" w14:textId="77777777" w:rsidR="00E36C1B" w:rsidRDefault="00E36C1B">
            <w:r>
              <w:t>2026</w:t>
            </w:r>
          </w:p>
        </w:tc>
        <w:tc>
          <w:tcPr>
            <w:tcW w:w="0" w:type="auto"/>
            <w:tcMar>
              <w:top w:w="0" w:type="dxa"/>
              <w:left w:w="108" w:type="dxa"/>
              <w:bottom w:w="0" w:type="dxa"/>
              <w:right w:w="108" w:type="dxa"/>
            </w:tcMar>
            <w:vAlign w:val="center"/>
            <w:hideMark/>
          </w:tcPr>
          <w:p w14:paraId="7112C3C4" w14:textId="62C276B1" w:rsidR="00E36C1B" w:rsidRDefault="009370B1" w:rsidP="009370B1">
            <w:r>
              <w:t>Systematic review and meta-analysis</w:t>
            </w:r>
          </w:p>
        </w:tc>
        <w:tc>
          <w:tcPr>
            <w:tcW w:w="0" w:type="auto"/>
            <w:vAlign w:val="center"/>
            <w:hideMark/>
          </w:tcPr>
          <w:p w14:paraId="77ED2EAF" w14:textId="77777777" w:rsidR="00E36C1B" w:rsidRDefault="00E36C1B">
            <w:r>
              <w:t>Aflibercept, bevacizumab, ranibizumab, faricimab, brolucizumab, and biosimilars compared across anti-VEGF agents and regimens.</w:t>
            </w:r>
          </w:p>
        </w:tc>
        <w:tc>
          <w:tcPr>
            <w:tcW w:w="0" w:type="auto"/>
            <w:vAlign w:val="center"/>
            <w:hideMark/>
          </w:tcPr>
          <w:p w14:paraId="6124F2C6" w14:textId="77777777" w:rsidR="00E36C1B" w:rsidRDefault="00E36C1B">
            <w:r>
              <w:t>21 studies; visual acuity, central retinal thickness, drug/dosing subgroup, and safety outcomes.</w:t>
            </w:r>
          </w:p>
        </w:tc>
        <w:tc>
          <w:tcPr>
            <w:tcW w:w="0" w:type="auto"/>
            <w:vAlign w:val="center"/>
            <w:hideMark/>
          </w:tcPr>
          <w:p w14:paraId="618271DD" w14:textId="7DA57D78" w:rsidR="00E36C1B" w:rsidRPr="009370B1" w:rsidRDefault="009370B1" w:rsidP="009370B1">
            <w:pPr>
              <w:rPr>
                <w:kern w:val="0"/>
                <w14:ligatures w14:val="none"/>
              </w:rPr>
            </w:pPr>
            <w:r>
              <w:t>Critically low initial confidence; very high heterogeneity and broad pooling.</w:t>
            </w:r>
          </w:p>
        </w:tc>
      </w:tr>
      <w:tr w:rsidR="00E36C1B" w14:paraId="6305FABB" w14:textId="77777777" w:rsidTr="00E36C1B">
        <w:tc>
          <w:tcPr>
            <w:tcW w:w="0" w:type="auto"/>
            <w:vAlign w:val="center"/>
            <w:hideMark/>
          </w:tcPr>
          <w:p w14:paraId="28D440FB" w14:textId="77777777" w:rsidR="00E36C1B" w:rsidRDefault="00E36C1B">
            <w:pPr>
              <w:rPr>
                <w:kern w:val="0"/>
                <w14:ligatures w14:val="none"/>
              </w:rPr>
            </w:pPr>
            <w:r>
              <w:t>39</w:t>
            </w:r>
          </w:p>
        </w:tc>
        <w:tc>
          <w:tcPr>
            <w:tcW w:w="0" w:type="auto"/>
            <w:vAlign w:val="center"/>
            <w:hideMark/>
          </w:tcPr>
          <w:p w14:paraId="71CD9D78" w14:textId="77777777" w:rsidR="00E36C1B" w:rsidRDefault="00E36C1B">
            <w:r>
              <w:t>Lim 2022</w:t>
            </w:r>
          </w:p>
        </w:tc>
        <w:tc>
          <w:tcPr>
            <w:tcW w:w="0" w:type="auto"/>
            <w:vAlign w:val="center"/>
            <w:hideMark/>
          </w:tcPr>
          <w:p w14:paraId="781EFEF3" w14:textId="77777777" w:rsidR="00E36C1B" w:rsidRDefault="00E36C1B">
            <w:r>
              <w:t>2022</w:t>
            </w:r>
          </w:p>
        </w:tc>
        <w:tc>
          <w:tcPr>
            <w:tcW w:w="0" w:type="auto"/>
            <w:vAlign w:val="center"/>
            <w:hideMark/>
          </w:tcPr>
          <w:p w14:paraId="5827A1F1" w14:textId="77777777" w:rsidR="00E36C1B" w:rsidRDefault="00E36C1B">
            <w:r>
              <w:t>Systematic review and meta-analysis</w:t>
            </w:r>
          </w:p>
        </w:tc>
        <w:tc>
          <w:tcPr>
            <w:tcW w:w="0" w:type="auto"/>
            <w:vAlign w:val="center"/>
            <w:hideMark/>
          </w:tcPr>
          <w:p w14:paraId="037C8986" w14:textId="77777777" w:rsidR="00E36C1B" w:rsidRDefault="00E36C1B">
            <w:r>
              <w:t>Treat-and-extend aflibercept or ranibizumab; contextual comparison with PRN or fixed landmark trial regimens.</w:t>
            </w:r>
          </w:p>
        </w:tc>
        <w:tc>
          <w:tcPr>
            <w:tcW w:w="0" w:type="auto"/>
            <w:vAlign w:val="center"/>
            <w:hideMark/>
          </w:tcPr>
          <w:p w14:paraId="5BB48D87" w14:textId="77777777" w:rsidR="00E36C1B" w:rsidRDefault="00E36C1B">
            <w:r>
              <w:t>10 studies; injection number, VA letters, and central subfield thickness.</w:t>
            </w:r>
          </w:p>
        </w:tc>
        <w:tc>
          <w:tcPr>
            <w:tcW w:w="0" w:type="auto"/>
            <w:vAlign w:val="center"/>
            <w:hideMark/>
          </w:tcPr>
          <w:p w14:paraId="38A6688F" w14:textId="77777777" w:rsidR="00E36C1B" w:rsidRDefault="00E36C1B">
            <w:r>
              <w:t>Low to moderate initial confidence; small number of heterogeneous treat-and-extend studies.</w:t>
            </w:r>
          </w:p>
        </w:tc>
      </w:tr>
      <w:tr w:rsidR="00E36C1B" w14:paraId="71767AB6" w14:textId="77777777" w:rsidTr="00E36C1B">
        <w:tc>
          <w:tcPr>
            <w:tcW w:w="0" w:type="auto"/>
            <w:vAlign w:val="center"/>
            <w:hideMark/>
          </w:tcPr>
          <w:p w14:paraId="204FAA83" w14:textId="77777777" w:rsidR="00E36C1B" w:rsidRDefault="00E36C1B">
            <w:pPr>
              <w:rPr>
                <w:kern w:val="0"/>
                <w14:ligatures w14:val="none"/>
              </w:rPr>
            </w:pPr>
            <w:r>
              <w:lastRenderedPageBreak/>
              <w:t>40</w:t>
            </w:r>
          </w:p>
        </w:tc>
        <w:tc>
          <w:tcPr>
            <w:tcW w:w="0" w:type="auto"/>
            <w:vAlign w:val="center"/>
            <w:hideMark/>
          </w:tcPr>
          <w:p w14:paraId="2B4D1F3C" w14:textId="77777777" w:rsidR="00E36C1B" w:rsidRDefault="00E36C1B">
            <w:r>
              <w:t>Mehta 2022</w:t>
            </w:r>
          </w:p>
        </w:tc>
        <w:tc>
          <w:tcPr>
            <w:tcW w:w="0" w:type="auto"/>
            <w:vAlign w:val="center"/>
            <w:hideMark/>
          </w:tcPr>
          <w:p w14:paraId="48B41863" w14:textId="77777777" w:rsidR="00E36C1B" w:rsidRDefault="00E36C1B">
            <w:r>
              <w:t>2022</w:t>
            </w:r>
          </w:p>
        </w:tc>
        <w:tc>
          <w:tcPr>
            <w:tcW w:w="0" w:type="auto"/>
            <w:vAlign w:val="center"/>
            <w:hideMark/>
          </w:tcPr>
          <w:p w14:paraId="401874C4" w14:textId="77777777" w:rsidR="00E36C1B" w:rsidRDefault="00E36C1B">
            <w:r>
              <w:t>Systematic review and meta-analysis of real-world studies</w:t>
            </w:r>
          </w:p>
        </w:tc>
        <w:tc>
          <w:tcPr>
            <w:tcW w:w="0" w:type="auto"/>
            <w:vAlign w:val="center"/>
            <w:hideMark/>
          </w:tcPr>
          <w:p w14:paraId="05446523" w14:textId="77777777" w:rsidR="00E36C1B" w:rsidRDefault="00E36C1B">
            <w:r>
              <w:t>Anti-VEGF, steroids, and macular laser across real-world DME treatment modalities.</w:t>
            </w:r>
          </w:p>
        </w:tc>
        <w:tc>
          <w:tcPr>
            <w:tcW w:w="0" w:type="auto"/>
            <w:vAlign w:val="center"/>
            <w:hideMark/>
          </w:tcPr>
          <w:p w14:paraId="2BE8B2B4" w14:textId="77777777" w:rsidR="00E36C1B" w:rsidRDefault="00E36C1B">
            <w:r>
              <w:t>138 studies; more than 40,000 eyes; 12-month VA change, treatment modality, injection intensity, and safety reporting.</w:t>
            </w:r>
          </w:p>
        </w:tc>
        <w:tc>
          <w:tcPr>
            <w:tcW w:w="0" w:type="auto"/>
            <w:vAlign w:val="center"/>
            <w:hideMark/>
          </w:tcPr>
          <w:p w14:paraId="191C65B4" w14:textId="77777777" w:rsidR="00E36C1B" w:rsidRDefault="00E36C1B">
            <w:r>
              <w:t>Moderate initial confidence for real-world evidence; RCTs excluded.</w:t>
            </w:r>
          </w:p>
        </w:tc>
      </w:tr>
      <w:tr w:rsidR="009370B1" w14:paraId="14E3BB6E" w14:textId="77777777" w:rsidTr="009370B1">
        <w:tc>
          <w:tcPr>
            <w:tcW w:w="0" w:type="auto"/>
            <w:vAlign w:val="center"/>
            <w:hideMark/>
          </w:tcPr>
          <w:p w14:paraId="0FDABCC2" w14:textId="77777777" w:rsidR="009370B1" w:rsidRDefault="009370B1">
            <w:pPr>
              <w:rPr>
                <w:kern w:val="0"/>
                <w14:ligatures w14:val="none"/>
              </w:rPr>
            </w:pPr>
            <w:r>
              <w:t>41</w:t>
            </w:r>
          </w:p>
        </w:tc>
        <w:tc>
          <w:tcPr>
            <w:tcW w:w="0" w:type="auto"/>
            <w:vAlign w:val="center"/>
            <w:hideMark/>
          </w:tcPr>
          <w:p w14:paraId="55882A61" w14:textId="77777777" w:rsidR="009370B1" w:rsidRDefault="009370B1">
            <w:r>
              <w:t>Thagaard 2022</w:t>
            </w:r>
          </w:p>
        </w:tc>
        <w:tc>
          <w:tcPr>
            <w:tcW w:w="0" w:type="auto"/>
            <w:vAlign w:val="center"/>
            <w:hideMark/>
          </w:tcPr>
          <w:p w14:paraId="63CEA526" w14:textId="77777777" w:rsidR="009370B1" w:rsidRDefault="009370B1">
            <w:r>
              <w:t>2022</w:t>
            </w:r>
          </w:p>
        </w:tc>
        <w:tc>
          <w:tcPr>
            <w:tcW w:w="0" w:type="auto"/>
            <w:vAlign w:val="center"/>
            <w:hideMark/>
          </w:tcPr>
          <w:p w14:paraId="09A2A1D0" w14:textId="77777777" w:rsidR="009370B1" w:rsidRDefault="009370B1">
            <w:r>
              <w:t>Systematic review</w:t>
            </w:r>
          </w:p>
        </w:tc>
        <w:tc>
          <w:tcPr>
            <w:tcW w:w="0" w:type="auto"/>
            <w:vAlign w:val="center"/>
            <w:hideMark/>
          </w:tcPr>
          <w:p w14:paraId="3F265778" w14:textId="77777777" w:rsidR="009370B1" w:rsidRDefault="009370B1">
            <w:r>
              <w:t>Supportive/background evidence for topical eye drops in DR/DMO, including corticosteroids, NSAIDs, neuroprotective agents, and other topical pharmacological groups.</w:t>
            </w:r>
          </w:p>
        </w:tc>
        <w:tc>
          <w:tcPr>
            <w:tcW w:w="0" w:type="auto"/>
            <w:vAlign w:val="center"/>
            <w:hideMark/>
          </w:tcPr>
          <w:p w14:paraId="3CF66532" w14:textId="77777777" w:rsidR="009370B1" w:rsidRDefault="009370B1">
            <w:r>
              <w:t>19 studies suitable for inclusion; 7 randomized trials; 11 pharmacological groups; anatomical, functional, visual acuity, retinal anatomy, physiology, and function outcomes.</w:t>
            </w:r>
          </w:p>
        </w:tc>
        <w:tc>
          <w:tcPr>
            <w:tcW w:w="0" w:type="auto"/>
            <w:vAlign w:val="center"/>
            <w:hideMark/>
          </w:tcPr>
          <w:p w14:paraId="5394F765" w14:textId="77777777" w:rsidR="009370B1" w:rsidRDefault="009370B1">
            <w:r>
              <w:t>Protocol registered; included randomized and nonrandomized studies; evidence heterogeneous across drug classes and outcomes.</w:t>
            </w:r>
          </w:p>
        </w:tc>
      </w:tr>
      <w:tr w:rsidR="009370B1" w14:paraId="45D1DA67" w14:textId="77777777" w:rsidTr="009370B1">
        <w:tc>
          <w:tcPr>
            <w:tcW w:w="0" w:type="auto"/>
            <w:vAlign w:val="center"/>
            <w:hideMark/>
          </w:tcPr>
          <w:p w14:paraId="4872FFF9" w14:textId="77777777" w:rsidR="009370B1" w:rsidRDefault="009370B1">
            <w:pPr>
              <w:rPr>
                <w:kern w:val="0"/>
                <w14:ligatures w14:val="none"/>
              </w:rPr>
            </w:pPr>
            <w:r>
              <w:t>42</w:t>
            </w:r>
          </w:p>
        </w:tc>
        <w:tc>
          <w:tcPr>
            <w:tcW w:w="0" w:type="auto"/>
            <w:vAlign w:val="center"/>
            <w:hideMark/>
          </w:tcPr>
          <w:p w14:paraId="7ED2D097" w14:textId="77777777" w:rsidR="009370B1" w:rsidRDefault="009370B1">
            <w:r>
              <w:t>Tsao 2023</w:t>
            </w:r>
          </w:p>
        </w:tc>
        <w:tc>
          <w:tcPr>
            <w:tcW w:w="0" w:type="auto"/>
            <w:vAlign w:val="center"/>
            <w:hideMark/>
          </w:tcPr>
          <w:p w14:paraId="78992896" w14:textId="77777777" w:rsidR="009370B1" w:rsidRDefault="009370B1">
            <w:r>
              <w:t>2023</w:t>
            </w:r>
          </w:p>
        </w:tc>
        <w:tc>
          <w:tcPr>
            <w:tcW w:w="0" w:type="auto"/>
            <w:vAlign w:val="center"/>
            <w:hideMark/>
          </w:tcPr>
          <w:p w14:paraId="26B70CE3" w14:textId="77777777" w:rsidR="009370B1" w:rsidRDefault="009370B1">
            <w:r>
              <w:t>Systematic review and meta-analysis of RCTs</w:t>
            </w:r>
          </w:p>
        </w:tc>
        <w:tc>
          <w:tcPr>
            <w:tcW w:w="0" w:type="auto"/>
            <w:vAlign w:val="center"/>
            <w:hideMark/>
          </w:tcPr>
          <w:p w14:paraId="577626D2" w14:textId="77777777" w:rsidR="009370B1" w:rsidRDefault="009370B1">
            <w:r>
              <w:t>Supportive safety extraction for acute kidney injury risk after intravitreal anti-VEGF drugs including aflibercept, ranibizumab, bevacizumab, and brolucizumab where available.</w:t>
            </w:r>
          </w:p>
        </w:tc>
        <w:tc>
          <w:tcPr>
            <w:tcW w:w="0" w:type="auto"/>
            <w:vAlign w:val="center"/>
            <w:hideMark/>
          </w:tcPr>
          <w:p w14:paraId="6ABC35A1" w14:textId="77777777" w:rsidR="009370B1" w:rsidRDefault="009370B1">
            <w:r>
              <w:t>13 RCTs; 4282 participants; acute kidney injury risk overall and by anti-VEGF drug, retinal indication, dose/regimen, and follow-up period.</w:t>
            </w:r>
          </w:p>
        </w:tc>
        <w:tc>
          <w:tcPr>
            <w:tcW w:w="0" w:type="auto"/>
            <w:vAlign w:val="center"/>
            <w:hideMark/>
          </w:tcPr>
          <w:p w14:paraId="51625E8B" w14:textId="77777777" w:rsidR="009370B1" w:rsidRDefault="009370B1">
            <w:r>
              <w:t>AKI events rare; RCTs may exclude high-risk systemic patients and may be underpowered for rare renal harms.</w:t>
            </w:r>
          </w:p>
        </w:tc>
      </w:tr>
      <w:tr w:rsidR="009370B1" w14:paraId="5D26809B" w14:textId="77777777" w:rsidTr="009370B1">
        <w:tc>
          <w:tcPr>
            <w:tcW w:w="0" w:type="auto"/>
            <w:vAlign w:val="center"/>
            <w:hideMark/>
          </w:tcPr>
          <w:p w14:paraId="72655D8B" w14:textId="77777777" w:rsidR="009370B1" w:rsidRDefault="009370B1">
            <w:pPr>
              <w:rPr>
                <w:kern w:val="0"/>
                <w14:ligatures w14:val="none"/>
              </w:rPr>
            </w:pPr>
            <w:r>
              <w:t>43</w:t>
            </w:r>
          </w:p>
        </w:tc>
        <w:tc>
          <w:tcPr>
            <w:tcW w:w="0" w:type="auto"/>
            <w:vAlign w:val="center"/>
            <w:hideMark/>
          </w:tcPr>
          <w:p w14:paraId="35C28F17" w14:textId="77777777" w:rsidR="009370B1" w:rsidRDefault="009370B1">
            <w:r>
              <w:t>Yang 2025</w:t>
            </w:r>
          </w:p>
        </w:tc>
        <w:tc>
          <w:tcPr>
            <w:tcW w:w="0" w:type="auto"/>
            <w:vAlign w:val="center"/>
            <w:hideMark/>
          </w:tcPr>
          <w:p w14:paraId="03F826EC" w14:textId="77777777" w:rsidR="009370B1" w:rsidRDefault="009370B1">
            <w:r>
              <w:t>2025</w:t>
            </w:r>
          </w:p>
        </w:tc>
        <w:tc>
          <w:tcPr>
            <w:tcW w:w="0" w:type="auto"/>
            <w:vAlign w:val="center"/>
            <w:hideMark/>
          </w:tcPr>
          <w:p w14:paraId="61F9DCBC" w14:textId="77777777" w:rsidR="009370B1" w:rsidRDefault="009370B1">
            <w:r>
              <w:t>Bayesian network meta-analysis of RCTs</w:t>
            </w:r>
          </w:p>
        </w:tc>
        <w:tc>
          <w:tcPr>
            <w:tcW w:w="0" w:type="auto"/>
            <w:vAlign w:val="center"/>
            <w:hideMark/>
          </w:tcPr>
          <w:p w14:paraId="4996108E" w14:textId="77777777" w:rsidR="009370B1" w:rsidRDefault="009370B1">
            <w:r>
              <w:t>Supportive combination-therapy evidence; anti-VEGF monotherapy, anti-VEGF plus laser, and anti-VEGF plus intravitreal glucocorticoid therapy.</w:t>
            </w:r>
          </w:p>
        </w:tc>
        <w:tc>
          <w:tcPr>
            <w:tcW w:w="0" w:type="auto"/>
            <w:vAlign w:val="center"/>
            <w:hideMark/>
          </w:tcPr>
          <w:p w14:paraId="1D0605E2" w14:textId="77777777" w:rsidR="009370B1" w:rsidRDefault="009370B1">
            <w:r>
              <w:t>21 RCTs; 1798 eyes; BCVA and CMT changes at 6 and 12 months; simulation-based ranking.</w:t>
            </w:r>
          </w:p>
        </w:tc>
        <w:tc>
          <w:tcPr>
            <w:tcW w:w="0" w:type="auto"/>
            <w:vAlign w:val="center"/>
            <w:hideMark/>
          </w:tcPr>
          <w:p w14:paraId="0B1C70F8" w14:textId="77777777" w:rsidR="009370B1" w:rsidRDefault="009370B1">
            <w:r>
              <w:t>NMA synthesizes direct and indirect RCT evidence; no manual search; depends on quality and comparability of included RCTs.</w:t>
            </w:r>
          </w:p>
        </w:tc>
      </w:tr>
      <w:tr w:rsidR="009370B1" w14:paraId="564C1285" w14:textId="77777777" w:rsidTr="009370B1">
        <w:tc>
          <w:tcPr>
            <w:tcW w:w="0" w:type="auto"/>
            <w:vAlign w:val="center"/>
            <w:hideMark/>
          </w:tcPr>
          <w:p w14:paraId="2ED5CAF4" w14:textId="77777777" w:rsidR="009370B1" w:rsidRDefault="009370B1">
            <w:pPr>
              <w:rPr>
                <w:kern w:val="0"/>
                <w14:ligatures w14:val="none"/>
              </w:rPr>
            </w:pPr>
            <w:r>
              <w:t>44</w:t>
            </w:r>
          </w:p>
        </w:tc>
        <w:tc>
          <w:tcPr>
            <w:tcW w:w="0" w:type="auto"/>
            <w:vAlign w:val="center"/>
            <w:hideMark/>
          </w:tcPr>
          <w:p w14:paraId="5AD7BE04" w14:textId="77777777" w:rsidR="009370B1" w:rsidRDefault="009370B1">
            <w:r>
              <w:t>Yuan 2022</w:t>
            </w:r>
          </w:p>
        </w:tc>
        <w:tc>
          <w:tcPr>
            <w:tcW w:w="0" w:type="auto"/>
            <w:vAlign w:val="center"/>
            <w:hideMark/>
          </w:tcPr>
          <w:p w14:paraId="21A19551" w14:textId="77777777" w:rsidR="009370B1" w:rsidRDefault="009370B1">
            <w:r>
              <w:t>2022</w:t>
            </w:r>
          </w:p>
        </w:tc>
        <w:tc>
          <w:tcPr>
            <w:tcW w:w="0" w:type="auto"/>
            <w:vAlign w:val="center"/>
            <w:hideMark/>
          </w:tcPr>
          <w:p w14:paraId="4EEA138D" w14:textId="77777777" w:rsidR="009370B1" w:rsidRDefault="009370B1">
            <w:r>
              <w:t>Systematic review and meta-analysis</w:t>
            </w:r>
          </w:p>
        </w:tc>
        <w:tc>
          <w:tcPr>
            <w:tcW w:w="0" w:type="auto"/>
            <w:vAlign w:val="center"/>
            <w:hideMark/>
          </w:tcPr>
          <w:p w14:paraId="04FCDADF" w14:textId="77777777" w:rsidR="009370B1" w:rsidRDefault="009370B1">
            <w:r>
              <w:t xml:space="preserve">Supportive steroid subgroup evidence; intravitreal </w:t>
            </w:r>
            <w:r>
              <w:lastRenderedPageBreak/>
              <w:t xml:space="preserve">dexamethasone implant in vitrectomized versus </w:t>
            </w:r>
            <w:proofErr w:type="spellStart"/>
            <w:r>
              <w:t>nonvitrectomized</w:t>
            </w:r>
            <w:proofErr w:type="spellEnd"/>
            <w:r>
              <w:t xml:space="preserve"> eyes.</w:t>
            </w:r>
          </w:p>
        </w:tc>
        <w:tc>
          <w:tcPr>
            <w:tcW w:w="0" w:type="auto"/>
            <w:vAlign w:val="center"/>
            <w:hideMark/>
          </w:tcPr>
          <w:p w14:paraId="73655DE6" w14:textId="77777777" w:rsidR="009370B1" w:rsidRDefault="009370B1">
            <w:r>
              <w:lastRenderedPageBreak/>
              <w:t xml:space="preserve">7 studies; 582 eyes: 208 vitrectomized and 374 </w:t>
            </w:r>
            <w:proofErr w:type="spellStart"/>
            <w:r>
              <w:lastRenderedPageBreak/>
              <w:t>nonvitrectomized</w:t>
            </w:r>
            <w:proofErr w:type="spellEnd"/>
            <w:r>
              <w:t>; BCVA and CMT changes, duration of action, injection number, and safety.</w:t>
            </w:r>
          </w:p>
        </w:tc>
        <w:tc>
          <w:tcPr>
            <w:tcW w:w="0" w:type="auto"/>
            <w:vAlign w:val="center"/>
            <w:hideMark/>
          </w:tcPr>
          <w:p w14:paraId="12D025F0" w14:textId="77777777" w:rsidR="009370B1" w:rsidRDefault="009370B1">
            <w:r>
              <w:lastRenderedPageBreak/>
              <w:t xml:space="preserve">Subgroup evidence; only 7 studies and </w:t>
            </w:r>
            <w:r>
              <w:lastRenderedPageBreak/>
              <w:t>observational designs likely predominate; pharmacokinetic differences clinically relevant.</w:t>
            </w:r>
          </w:p>
        </w:tc>
      </w:tr>
      <w:tr w:rsidR="009370B1" w14:paraId="5F107643" w14:textId="77777777" w:rsidTr="009370B1">
        <w:tc>
          <w:tcPr>
            <w:tcW w:w="0" w:type="auto"/>
            <w:vAlign w:val="center"/>
            <w:hideMark/>
          </w:tcPr>
          <w:p w14:paraId="678566EC" w14:textId="77777777" w:rsidR="009370B1" w:rsidRDefault="009370B1">
            <w:pPr>
              <w:rPr>
                <w:kern w:val="0"/>
                <w14:ligatures w14:val="none"/>
              </w:rPr>
            </w:pPr>
            <w:r>
              <w:lastRenderedPageBreak/>
              <w:t>45</w:t>
            </w:r>
          </w:p>
        </w:tc>
        <w:tc>
          <w:tcPr>
            <w:tcW w:w="0" w:type="auto"/>
            <w:vAlign w:val="center"/>
            <w:hideMark/>
          </w:tcPr>
          <w:p w14:paraId="03CA5E27" w14:textId="77777777" w:rsidR="009370B1" w:rsidRDefault="009370B1">
            <w:r>
              <w:t>Zhang 2021</w:t>
            </w:r>
          </w:p>
        </w:tc>
        <w:tc>
          <w:tcPr>
            <w:tcW w:w="0" w:type="auto"/>
            <w:vAlign w:val="center"/>
            <w:hideMark/>
          </w:tcPr>
          <w:p w14:paraId="058ABFA9" w14:textId="77777777" w:rsidR="009370B1" w:rsidRDefault="009370B1">
            <w:r>
              <w:t>2021</w:t>
            </w:r>
          </w:p>
        </w:tc>
        <w:tc>
          <w:tcPr>
            <w:tcW w:w="0" w:type="auto"/>
            <w:vAlign w:val="center"/>
            <w:hideMark/>
          </w:tcPr>
          <w:p w14:paraId="36E7606E" w14:textId="77777777" w:rsidR="009370B1" w:rsidRDefault="009370B1">
            <w:r>
              <w:t>Systematic review and network meta-analysis</w:t>
            </w:r>
          </w:p>
        </w:tc>
        <w:tc>
          <w:tcPr>
            <w:tcW w:w="0" w:type="auto"/>
            <w:vAlign w:val="center"/>
            <w:hideMark/>
          </w:tcPr>
          <w:p w14:paraId="656B31FA" w14:textId="77777777" w:rsidR="009370B1" w:rsidRDefault="009370B1">
            <w:r>
              <w:t>Supportive PDR evidence; ranibizumab, laser, PRP, laser plus ranibizumab, and other PDR strategies.</w:t>
            </w:r>
          </w:p>
        </w:tc>
        <w:tc>
          <w:tcPr>
            <w:tcW w:w="0" w:type="auto"/>
            <w:vAlign w:val="center"/>
            <w:hideMark/>
          </w:tcPr>
          <w:p w14:paraId="5C6931BD" w14:textId="77777777" w:rsidR="009370B1" w:rsidRDefault="009370B1">
            <w:r>
              <w:t>15 studies; 3222 eyes; visual acuity, central retinal thickness, adverse reactions, and network ranking.</w:t>
            </w:r>
          </w:p>
        </w:tc>
        <w:tc>
          <w:tcPr>
            <w:tcW w:w="0" w:type="auto"/>
            <w:vAlign w:val="center"/>
            <w:hideMark/>
          </w:tcPr>
          <w:p w14:paraId="4AA60B68" w14:textId="77777777" w:rsidR="009370B1" w:rsidRDefault="009370B1">
            <w:r>
              <w:t>Older NMA; includes Chinese databases and heterogeneous treatment categories; use cautiously.</w:t>
            </w:r>
          </w:p>
        </w:tc>
      </w:tr>
      <w:tr w:rsidR="009370B1" w14:paraId="2C282B68" w14:textId="77777777" w:rsidTr="009370B1">
        <w:tc>
          <w:tcPr>
            <w:tcW w:w="0" w:type="auto"/>
            <w:vAlign w:val="center"/>
            <w:hideMark/>
          </w:tcPr>
          <w:p w14:paraId="4088AF48" w14:textId="77777777" w:rsidR="009370B1" w:rsidRDefault="009370B1">
            <w:pPr>
              <w:rPr>
                <w:kern w:val="0"/>
                <w14:ligatures w14:val="none"/>
              </w:rPr>
            </w:pPr>
            <w:r>
              <w:t>46</w:t>
            </w:r>
          </w:p>
        </w:tc>
        <w:tc>
          <w:tcPr>
            <w:tcW w:w="0" w:type="auto"/>
            <w:vAlign w:val="center"/>
            <w:hideMark/>
          </w:tcPr>
          <w:p w14:paraId="56B939D7" w14:textId="77777777" w:rsidR="009370B1" w:rsidRDefault="009370B1">
            <w:r>
              <w:t>Zhou 2025</w:t>
            </w:r>
          </w:p>
        </w:tc>
        <w:tc>
          <w:tcPr>
            <w:tcW w:w="0" w:type="auto"/>
            <w:vAlign w:val="center"/>
            <w:hideMark/>
          </w:tcPr>
          <w:p w14:paraId="1AECE166" w14:textId="77777777" w:rsidR="009370B1" w:rsidRDefault="009370B1">
            <w:r>
              <w:t>2025</w:t>
            </w:r>
          </w:p>
        </w:tc>
        <w:tc>
          <w:tcPr>
            <w:tcW w:w="0" w:type="auto"/>
            <w:vAlign w:val="center"/>
            <w:hideMark/>
          </w:tcPr>
          <w:p w14:paraId="0C8FB5F0" w14:textId="77777777" w:rsidR="009370B1" w:rsidRDefault="009370B1">
            <w:r>
              <w:t>Systematic review and meta-analysis with trial sequential analysis</w:t>
            </w:r>
          </w:p>
        </w:tc>
        <w:tc>
          <w:tcPr>
            <w:tcW w:w="0" w:type="auto"/>
            <w:vAlign w:val="center"/>
            <w:hideMark/>
          </w:tcPr>
          <w:p w14:paraId="00436E4A" w14:textId="77777777" w:rsidR="009370B1" w:rsidRDefault="009370B1">
            <w:r>
              <w:t>Supportive combination therapy and safety evidence; anti-VEGF combined with dexamethasone or triamcinolone versus anti-VEGF monotherapy.</w:t>
            </w:r>
          </w:p>
        </w:tc>
        <w:tc>
          <w:tcPr>
            <w:tcW w:w="0" w:type="auto"/>
            <w:vAlign w:val="center"/>
            <w:hideMark/>
          </w:tcPr>
          <w:p w14:paraId="35EAC5E7" w14:textId="77777777" w:rsidR="009370B1" w:rsidRDefault="009370B1">
            <w:r>
              <w:t>21 eligible studies; BCVA, CMT, CST subgroup, elevated IOP, ocular hypertension, and trial sequential analysis.</w:t>
            </w:r>
          </w:p>
        </w:tc>
        <w:tc>
          <w:tcPr>
            <w:tcW w:w="0" w:type="auto"/>
            <w:vAlign w:val="center"/>
            <w:hideMark/>
          </w:tcPr>
          <w:p w14:paraId="0AB71187" w14:textId="77777777" w:rsidR="009370B1" w:rsidRDefault="009370B1">
            <w:r>
              <w:t>TSA adds robustness, but heterogeneity and overlap with other combination reviews are major considerations.</w:t>
            </w:r>
          </w:p>
        </w:tc>
      </w:tr>
      <w:tr w:rsidR="009370B1" w14:paraId="63219308" w14:textId="77777777" w:rsidTr="009370B1">
        <w:tc>
          <w:tcPr>
            <w:tcW w:w="0" w:type="auto"/>
            <w:vAlign w:val="center"/>
            <w:hideMark/>
          </w:tcPr>
          <w:p w14:paraId="0BA37B3F" w14:textId="77777777" w:rsidR="009370B1" w:rsidRDefault="009370B1">
            <w:pPr>
              <w:rPr>
                <w:kern w:val="0"/>
                <w14:ligatures w14:val="none"/>
              </w:rPr>
            </w:pPr>
            <w:r>
              <w:t>47</w:t>
            </w:r>
          </w:p>
        </w:tc>
        <w:tc>
          <w:tcPr>
            <w:tcW w:w="0" w:type="auto"/>
            <w:vAlign w:val="center"/>
            <w:hideMark/>
          </w:tcPr>
          <w:p w14:paraId="19BBDE61" w14:textId="77777777" w:rsidR="009370B1" w:rsidRDefault="009370B1">
            <w:r>
              <w:t>Nasimi 2024</w:t>
            </w:r>
          </w:p>
        </w:tc>
        <w:tc>
          <w:tcPr>
            <w:tcW w:w="0" w:type="auto"/>
            <w:vAlign w:val="center"/>
            <w:hideMark/>
          </w:tcPr>
          <w:p w14:paraId="574EF572" w14:textId="77777777" w:rsidR="009370B1" w:rsidRDefault="009370B1">
            <w:r>
              <w:t>2024</w:t>
            </w:r>
          </w:p>
        </w:tc>
        <w:tc>
          <w:tcPr>
            <w:tcW w:w="0" w:type="auto"/>
            <w:vAlign w:val="center"/>
            <w:hideMark/>
          </w:tcPr>
          <w:p w14:paraId="0B2AF7D3" w14:textId="77777777" w:rsidR="009370B1" w:rsidRDefault="009370B1">
            <w:r>
              <w:t>Systematic review</w:t>
            </w:r>
          </w:p>
        </w:tc>
        <w:tc>
          <w:tcPr>
            <w:tcW w:w="0" w:type="auto"/>
            <w:vAlign w:val="center"/>
            <w:hideMark/>
          </w:tcPr>
          <w:p w14:paraId="0A72123A" w14:textId="77777777" w:rsidR="009370B1" w:rsidRDefault="009370B1">
            <w:r>
              <w:t>Supportive faricimab real-world evidence in DME; intravitreal faricimab 6 mg in real-world cohorts.</w:t>
            </w:r>
          </w:p>
        </w:tc>
        <w:tc>
          <w:tcPr>
            <w:tcW w:w="0" w:type="auto"/>
            <w:vAlign w:val="center"/>
            <w:hideMark/>
          </w:tcPr>
          <w:p w14:paraId="5531F3DD" w14:textId="77777777" w:rsidR="009370B1" w:rsidRDefault="009370B1">
            <w:r>
              <w:t>10 eligible studies; 6054 eyes; follow-up 55 days to 12 months; BCVA, macular thickness, and treatment interval extension.</w:t>
            </w:r>
          </w:p>
        </w:tc>
        <w:tc>
          <w:tcPr>
            <w:tcW w:w="0" w:type="auto"/>
            <w:vAlign w:val="center"/>
            <w:hideMark/>
          </w:tcPr>
          <w:p w14:paraId="78655959" w14:textId="77777777" w:rsidR="009370B1" w:rsidRDefault="009370B1">
            <w:r>
              <w:t>Systematic review of real-world evidence; no pooled meta-analysis; short follow-up and observational designs.</w:t>
            </w:r>
          </w:p>
        </w:tc>
      </w:tr>
      <w:tr w:rsidR="009370B1" w14:paraId="2FC7AA13" w14:textId="77777777" w:rsidTr="009370B1">
        <w:tc>
          <w:tcPr>
            <w:tcW w:w="0" w:type="auto"/>
            <w:vAlign w:val="center"/>
            <w:hideMark/>
          </w:tcPr>
          <w:p w14:paraId="02DAF2E1" w14:textId="77777777" w:rsidR="009370B1" w:rsidRDefault="009370B1">
            <w:pPr>
              <w:rPr>
                <w:kern w:val="0"/>
                <w14:ligatures w14:val="none"/>
              </w:rPr>
            </w:pPr>
            <w:r>
              <w:t>48</w:t>
            </w:r>
          </w:p>
        </w:tc>
        <w:tc>
          <w:tcPr>
            <w:tcW w:w="0" w:type="auto"/>
            <w:vAlign w:val="center"/>
            <w:hideMark/>
          </w:tcPr>
          <w:p w14:paraId="24A4616E" w14:textId="77777777" w:rsidR="009370B1" w:rsidRDefault="009370B1">
            <w:proofErr w:type="spellStart"/>
            <w:r>
              <w:t>Nichani</w:t>
            </w:r>
            <w:proofErr w:type="spellEnd"/>
            <w:r>
              <w:t xml:space="preserve"> 2024</w:t>
            </w:r>
          </w:p>
        </w:tc>
        <w:tc>
          <w:tcPr>
            <w:tcW w:w="0" w:type="auto"/>
            <w:vAlign w:val="center"/>
            <w:hideMark/>
          </w:tcPr>
          <w:p w14:paraId="513A7B93" w14:textId="77777777" w:rsidR="009370B1" w:rsidRDefault="009370B1">
            <w:r>
              <w:t>2024</w:t>
            </w:r>
          </w:p>
        </w:tc>
        <w:tc>
          <w:tcPr>
            <w:tcW w:w="0" w:type="auto"/>
            <w:tcMar>
              <w:top w:w="0" w:type="dxa"/>
              <w:left w:w="108" w:type="dxa"/>
              <w:bottom w:w="0" w:type="dxa"/>
              <w:right w:w="108" w:type="dxa"/>
            </w:tcMar>
            <w:vAlign w:val="center"/>
            <w:hideMark/>
          </w:tcPr>
          <w:p w14:paraId="4BA3933D" w14:textId="6E266FB1" w:rsidR="009370B1" w:rsidRDefault="009370B1" w:rsidP="009370B1">
            <w:r>
              <w:t>Systematic review and meta-analysis</w:t>
            </w:r>
          </w:p>
        </w:tc>
        <w:tc>
          <w:tcPr>
            <w:tcW w:w="0" w:type="auto"/>
            <w:vAlign w:val="center"/>
            <w:hideMark/>
          </w:tcPr>
          <w:p w14:paraId="5D546705" w14:textId="77777777" w:rsidR="009370B1" w:rsidRDefault="009370B1">
            <w:r>
              <w:t>Supportive faricimab comparative evidence for FDA-indicated retinal diseases including DME.</w:t>
            </w:r>
          </w:p>
        </w:tc>
        <w:tc>
          <w:tcPr>
            <w:tcW w:w="0" w:type="auto"/>
            <w:vAlign w:val="center"/>
            <w:hideMark/>
          </w:tcPr>
          <w:p w14:paraId="0A011F2F" w14:textId="77777777" w:rsidR="009370B1" w:rsidRDefault="009370B1">
            <w:r>
              <w:t>13 studies; 5248 baseline eyes; 4533 eyes at last follow-up; 41.31% DME; BCVA, CSFT, retinal fluid, and ocular adverse events.</w:t>
            </w:r>
          </w:p>
        </w:tc>
        <w:tc>
          <w:tcPr>
            <w:tcW w:w="0" w:type="auto"/>
            <w:vAlign w:val="center"/>
            <w:hideMark/>
          </w:tcPr>
          <w:p w14:paraId="681604EB" w14:textId="77777777" w:rsidR="009370B1" w:rsidRDefault="009370B1">
            <w:r>
              <w:t>GRADE, RoB2, and ROBINS-I used; mixed diseases and study designs limit direct DME applicability.</w:t>
            </w:r>
          </w:p>
        </w:tc>
      </w:tr>
      <w:tr w:rsidR="009370B1" w14:paraId="0ED53F6F" w14:textId="77777777" w:rsidTr="009370B1">
        <w:tc>
          <w:tcPr>
            <w:tcW w:w="0" w:type="auto"/>
            <w:vAlign w:val="center"/>
            <w:hideMark/>
          </w:tcPr>
          <w:p w14:paraId="66E304DC" w14:textId="77777777" w:rsidR="009370B1" w:rsidRDefault="009370B1">
            <w:pPr>
              <w:rPr>
                <w:kern w:val="0"/>
                <w14:ligatures w14:val="none"/>
              </w:rPr>
            </w:pPr>
            <w:r>
              <w:t>49</w:t>
            </w:r>
          </w:p>
        </w:tc>
        <w:tc>
          <w:tcPr>
            <w:tcW w:w="0" w:type="auto"/>
            <w:vAlign w:val="center"/>
            <w:hideMark/>
          </w:tcPr>
          <w:p w14:paraId="2E3E6083" w14:textId="77777777" w:rsidR="009370B1" w:rsidRDefault="009370B1">
            <w:r>
              <w:t>Song 2025</w:t>
            </w:r>
          </w:p>
        </w:tc>
        <w:tc>
          <w:tcPr>
            <w:tcW w:w="0" w:type="auto"/>
            <w:vAlign w:val="center"/>
            <w:hideMark/>
          </w:tcPr>
          <w:p w14:paraId="2A094D58" w14:textId="77777777" w:rsidR="009370B1" w:rsidRDefault="009370B1">
            <w:r>
              <w:t>2025</w:t>
            </w:r>
          </w:p>
        </w:tc>
        <w:tc>
          <w:tcPr>
            <w:tcW w:w="0" w:type="auto"/>
            <w:tcMar>
              <w:top w:w="0" w:type="dxa"/>
              <w:left w:w="108" w:type="dxa"/>
              <w:bottom w:w="0" w:type="dxa"/>
              <w:right w:w="108" w:type="dxa"/>
            </w:tcMar>
            <w:vAlign w:val="center"/>
            <w:hideMark/>
          </w:tcPr>
          <w:p w14:paraId="41E8F4F2" w14:textId="704E63C0" w:rsidR="009370B1" w:rsidRDefault="009370B1" w:rsidP="009370B1">
            <w:r>
              <w:t xml:space="preserve">Systematic review and </w:t>
            </w:r>
            <w:r>
              <w:lastRenderedPageBreak/>
              <w:t>meta-analysis</w:t>
            </w:r>
          </w:p>
        </w:tc>
        <w:tc>
          <w:tcPr>
            <w:tcW w:w="0" w:type="auto"/>
            <w:vAlign w:val="center"/>
            <w:hideMark/>
          </w:tcPr>
          <w:p w14:paraId="2109C8CC" w14:textId="77777777" w:rsidR="009370B1" w:rsidRDefault="009370B1">
            <w:r>
              <w:lastRenderedPageBreak/>
              <w:t xml:space="preserve">Supportive PDR surgical adjunct evidence; </w:t>
            </w:r>
            <w:r>
              <w:lastRenderedPageBreak/>
              <w:t>preoperative intravitreal anti-VEGF before pars plana vitrectomy.</w:t>
            </w:r>
          </w:p>
        </w:tc>
        <w:tc>
          <w:tcPr>
            <w:tcW w:w="0" w:type="auto"/>
            <w:vAlign w:val="center"/>
            <w:hideMark/>
          </w:tcPr>
          <w:p w14:paraId="0F690EA2" w14:textId="77777777" w:rsidR="009370B1" w:rsidRDefault="009370B1">
            <w:r>
              <w:lastRenderedPageBreak/>
              <w:t xml:space="preserve">91 RCTs; 8721 eyes; intraoperative </w:t>
            </w:r>
            <w:r>
              <w:lastRenderedPageBreak/>
              <w:t>bleeding, surgery duration, postoperative BCVA, retinal reattachment, MRT, IOP, POVH, re-PPV.</w:t>
            </w:r>
          </w:p>
        </w:tc>
        <w:tc>
          <w:tcPr>
            <w:tcW w:w="0" w:type="auto"/>
            <w:vAlign w:val="center"/>
            <w:hideMark/>
          </w:tcPr>
          <w:p w14:paraId="4C630C22" w14:textId="77777777" w:rsidR="009370B1" w:rsidRDefault="009370B1">
            <w:r>
              <w:lastRenderedPageBreak/>
              <w:t xml:space="preserve">Large number of RCTs but </w:t>
            </w:r>
            <w:r>
              <w:lastRenderedPageBreak/>
              <w:t>likely variable quality and high overlap with older PDR surgical meta-analyses.</w:t>
            </w:r>
          </w:p>
        </w:tc>
      </w:tr>
      <w:tr w:rsidR="009370B1" w14:paraId="1CAFB3C4" w14:textId="77777777" w:rsidTr="009370B1">
        <w:tc>
          <w:tcPr>
            <w:tcW w:w="0" w:type="auto"/>
            <w:vAlign w:val="center"/>
            <w:hideMark/>
          </w:tcPr>
          <w:p w14:paraId="03B053BE" w14:textId="77777777" w:rsidR="009370B1" w:rsidRDefault="009370B1">
            <w:pPr>
              <w:rPr>
                <w:kern w:val="0"/>
                <w14:ligatures w14:val="none"/>
              </w:rPr>
            </w:pPr>
            <w:r>
              <w:lastRenderedPageBreak/>
              <w:t>50</w:t>
            </w:r>
          </w:p>
        </w:tc>
        <w:tc>
          <w:tcPr>
            <w:tcW w:w="0" w:type="auto"/>
            <w:vAlign w:val="center"/>
            <w:hideMark/>
          </w:tcPr>
          <w:p w14:paraId="1E895573" w14:textId="77777777" w:rsidR="009370B1" w:rsidRDefault="009370B1">
            <w:proofErr w:type="spellStart"/>
            <w:r>
              <w:t>Hatamnejad</w:t>
            </w:r>
            <w:proofErr w:type="spellEnd"/>
            <w:r>
              <w:t xml:space="preserve"> 2024</w:t>
            </w:r>
          </w:p>
        </w:tc>
        <w:tc>
          <w:tcPr>
            <w:tcW w:w="0" w:type="auto"/>
            <w:vAlign w:val="center"/>
            <w:hideMark/>
          </w:tcPr>
          <w:p w14:paraId="159FE3D0" w14:textId="77777777" w:rsidR="009370B1" w:rsidRDefault="009370B1">
            <w:r>
              <w:t>2024</w:t>
            </w:r>
          </w:p>
        </w:tc>
        <w:tc>
          <w:tcPr>
            <w:tcW w:w="0" w:type="auto"/>
            <w:tcMar>
              <w:top w:w="0" w:type="dxa"/>
              <w:left w:w="108" w:type="dxa"/>
              <w:bottom w:w="0" w:type="dxa"/>
              <w:right w:w="108" w:type="dxa"/>
            </w:tcMar>
            <w:vAlign w:val="center"/>
            <w:hideMark/>
          </w:tcPr>
          <w:p w14:paraId="31F35D88" w14:textId="40140B8B" w:rsidR="009370B1" w:rsidRDefault="009370B1" w:rsidP="009370B1">
            <w:r>
              <w:t>Systematic review and meta-analysis</w:t>
            </w:r>
          </w:p>
        </w:tc>
        <w:tc>
          <w:tcPr>
            <w:tcW w:w="0" w:type="auto"/>
            <w:vAlign w:val="center"/>
            <w:hideMark/>
          </w:tcPr>
          <w:p w14:paraId="6058025F" w14:textId="77777777" w:rsidR="009370B1" w:rsidRDefault="009370B1">
            <w:r>
              <w:t>Core/supportive refractory DME steroid-combination evidence; intravitreal anti-VEGF combined with intravitreal or sub-Tenon corticosteroid therapy.</w:t>
            </w:r>
          </w:p>
        </w:tc>
        <w:tc>
          <w:tcPr>
            <w:tcW w:w="0" w:type="auto"/>
            <w:vAlign w:val="center"/>
            <w:hideMark/>
          </w:tcPr>
          <w:p w14:paraId="2B5FD9CB" w14:textId="77777777" w:rsidR="009370B1" w:rsidRDefault="009370B1">
            <w:r>
              <w:t>7 studies; 4 RCTs and 3 observational studies; 452 eyes; visual outcomes, anatomical outcomes, IOP-related adverse events, cataract-related adverse events, and injection burden.</w:t>
            </w:r>
          </w:p>
        </w:tc>
        <w:tc>
          <w:tcPr>
            <w:tcW w:w="0" w:type="auto"/>
            <w:vAlign w:val="center"/>
            <w:hideMark/>
          </w:tcPr>
          <w:p w14:paraId="17330E13" w14:textId="77777777" w:rsidR="009370B1" w:rsidRDefault="009370B1">
            <w:r>
              <w:t xml:space="preserve">AMSTAR 2 needed; protocol registered, multiple study designs </w:t>
            </w:r>
            <w:proofErr w:type="gramStart"/>
            <w:r>
              <w:t>included,</w:t>
            </w:r>
            <w:proofErr w:type="gramEnd"/>
            <w:r>
              <w:t xml:space="preserve"> RoB2/ROBINS-I and GRADE used; certainty low for primary outcomes.</w:t>
            </w:r>
          </w:p>
        </w:tc>
      </w:tr>
    </w:tbl>
    <w:p w14:paraId="6E39C853" w14:textId="77777777" w:rsidR="00E62E8F" w:rsidRDefault="00E62E8F">
      <w:pPr>
        <w:spacing w:line="300" w:lineRule="atLeast"/>
        <w:rPr>
          <w:kern w:val="0"/>
          <w14:ligatures w14:val="none"/>
        </w:rPr>
      </w:pPr>
      <w:r>
        <w:rPr>
          <w:rFonts w:ascii="Times New Roman" w:hAnsi="Times New Roman"/>
          <w:b/>
          <w:bCs/>
          <w:color w:val="000000"/>
          <w:sz w:val="21"/>
          <w:szCs w:val="21"/>
        </w:rPr>
        <w:t>Study ID convention:</w:t>
      </w:r>
      <w:r>
        <w:rPr>
          <w:rFonts w:ascii="Times New Roman" w:hAnsi="Times New Roman"/>
          <w:color w:val="000000"/>
          <w:sz w:val="21"/>
          <w:szCs w:val="21"/>
        </w:rPr>
        <w:t xml:space="preserve"> Study IDs in supplementary tables are extraction identifiers and do not necessarily correspond to the numbered reference list in the main manuscript.</w:t>
      </w:r>
    </w:p>
    <w:p w14:paraId="6061F8D5" w14:textId="1FB56E5A"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1794791E" w14:textId="77777777" w:rsidR="00E36C1B" w:rsidRDefault="00E36C1B">
      <w:pPr>
        <w:rPr>
          <w:kern w:val="0"/>
          <w14:ligatures w14:val="none"/>
        </w:rPr>
      </w:pPr>
      <w:r>
        <w:rPr>
          <w:rFonts w:ascii="Times New Roman" w:hAnsi="Times New Roman"/>
          <w:b/>
          <w:bCs/>
          <w:color w:val="000000"/>
          <w:sz w:val="36"/>
          <w:szCs w:val="36"/>
        </w:rPr>
        <w:t>Table S2A. Operational workflow for handling overlapping reviews</w:t>
      </w:r>
    </w:p>
    <w:tbl>
      <w:tblPr>
        <w:tblStyle w:val="TableGrid"/>
        <w:tblW w:w="5000" w:type="pct"/>
        <w:tblLook w:val="04A0" w:firstRow="1" w:lastRow="0" w:firstColumn="1" w:lastColumn="0" w:noHBand="0" w:noVBand="1"/>
      </w:tblPr>
      <w:tblGrid>
        <w:gridCol w:w="574"/>
        <w:gridCol w:w="4610"/>
        <w:gridCol w:w="3803"/>
      </w:tblGrid>
      <w:tr w:rsidR="00CF0A7B" w:rsidRPr="00767883" w14:paraId="4558C585"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53E5FC1E" w14:textId="77777777" w:rsidR="00CF0A7B" w:rsidRPr="00767883" w:rsidRDefault="00CF0A7B">
            <w:pPr>
              <w:jc w:val="center"/>
              <w:rPr>
                <w:rFonts w:ascii="Times New Roman" w:hAnsi="Times New Roman" w:cs="Times New Roman"/>
                <w:kern w:val="0"/>
                <w14:ligatures w14:val="none"/>
              </w:rPr>
            </w:pPr>
            <w:r w:rsidRPr="00767883">
              <w:rPr>
                <w:rFonts w:ascii="Times New Roman" w:hAnsi="Times New Roman" w:cs="Times New Roman"/>
                <w:b/>
                <w:bCs/>
                <w:color w:val="000000"/>
                <w:sz w:val="24"/>
                <w:szCs w:val="24"/>
              </w:rPr>
              <w:t>Step</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905EABC"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Workflow action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30AEDFD"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Purpose</w:t>
            </w:r>
          </w:p>
        </w:tc>
      </w:tr>
      <w:tr w:rsidR="00CF0A7B" w:rsidRPr="00767883" w14:paraId="6FEFDAED"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99E6B82" w14:textId="77777777" w:rsidR="00CF0A7B" w:rsidRPr="00767883" w:rsidRDefault="00CF0A7B">
            <w:pPr>
              <w:rPr>
                <w:rFonts w:ascii="Times New Roman" w:hAnsi="Times New Roman" w:cs="Times New Roman"/>
              </w:rPr>
            </w:pPr>
            <w:r w:rsidRPr="00767883">
              <w:rPr>
                <w:rFonts w:ascii="Times New Roman" w:hAnsi="Times New Roman" w:cs="Times New Roman"/>
              </w:rPr>
              <w:t>1</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D8F6585" w14:textId="397E5BB7" w:rsidR="00CF0A7B" w:rsidRPr="000B329A" w:rsidRDefault="000B329A" w:rsidP="000B329A">
            <w:pPr>
              <w:rPr>
                <w:rFonts w:ascii="Times New Roman" w:hAnsi="Times New Roman" w:cs="Times New Roman"/>
                <w:kern w:val="0"/>
                <w14:ligatures w14:val="none"/>
              </w:rPr>
            </w:pPr>
            <w:r>
              <w:rPr>
                <w:rFonts w:ascii="Times New Roman" w:hAnsi="Times New Roman"/>
              </w:rPr>
              <w:t>Define the clinical question and corresponding evidence domain using population, intervention, comparator, outcome, and follow-up window.</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1366C92" w14:textId="5CE6F46C" w:rsidR="00CF0A7B" w:rsidRPr="00B55C6D" w:rsidRDefault="00B55C6D" w:rsidP="00B55C6D">
            <w:pPr>
              <w:rPr>
                <w:rFonts w:ascii="Times New Roman" w:hAnsi="Times New Roman" w:cs="Times New Roman"/>
                <w:kern w:val="0"/>
                <w14:ligatures w14:val="none"/>
              </w:rPr>
            </w:pPr>
            <w:r>
              <w:rPr>
                <w:rFonts w:ascii="Times New Roman" w:hAnsi="Times New Roman"/>
              </w:rPr>
              <w:t>Create a coherent evidence domain for screening, grouping, overlap assessment, and synthesis.</w:t>
            </w:r>
          </w:p>
        </w:tc>
      </w:tr>
      <w:tr w:rsidR="00CF0A7B" w:rsidRPr="00767883" w14:paraId="3A1E00A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FAEB7A6" w14:textId="77777777" w:rsidR="00CF0A7B" w:rsidRPr="00767883" w:rsidRDefault="00CF0A7B">
            <w:pPr>
              <w:rPr>
                <w:rFonts w:ascii="Times New Roman" w:hAnsi="Times New Roman" w:cs="Times New Roman"/>
              </w:rPr>
            </w:pPr>
            <w:r w:rsidRPr="00767883">
              <w:rPr>
                <w:rFonts w:ascii="Times New Roman" w:hAnsi="Times New Roman" w:cs="Times New Roman"/>
              </w:rPr>
              <w:t>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CC83764" w14:textId="77777777" w:rsidR="00CF0A7B" w:rsidRPr="00767883" w:rsidRDefault="00CF0A7B">
            <w:pPr>
              <w:rPr>
                <w:rFonts w:ascii="Times New Roman" w:hAnsi="Times New Roman" w:cs="Times New Roman"/>
              </w:rPr>
            </w:pPr>
            <w:r w:rsidRPr="00767883">
              <w:rPr>
                <w:rFonts w:ascii="Times New Roman" w:hAnsi="Times New Roman" w:cs="Times New Roman"/>
              </w:rPr>
              <w:t>Identify eligible systematic reviews, meta-analyses, network meta-analyses, Cochrane reviews, and HTAs with explicit methods and extractable outcomes.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801DA3C" w14:textId="77777777" w:rsidR="00CF0A7B" w:rsidRPr="00767883" w:rsidRDefault="00CF0A7B">
            <w:pPr>
              <w:rPr>
                <w:rFonts w:ascii="Times New Roman" w:hAnsi="Times New Roman" w:cs="Times New Roman"/>
              </w:rPr>
            </w:pPr>
            <w:r w:rsidRPr="00767883">
              <w:rPr>
                <w:rFonts w:ascii="Times New Roman" w:hAnsi="Times New Roman" w:cs="Times New Roman"/>
              </w:rPr>
              <w:t>Build the candidate review set for each evidence domain.</w:t>
            </w:r>
          </w:p>
        </w:tc>
      </w:tr>
      <w:tr w:rsidR="00CF0A7B" w:rsidRPr="00767883" w14:paraId="5B35CD7E"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C0B9368" w14:textId="77777777" w:rsidR="00CF0A7B" w:rsidRPr="00767883" w:rsidRDefault="00CF0A7B">
            <w:pPr>
              <w:rPr>
                <w:rFonts w:ascii="Times New Roman" w:hAnsi="Times New Roman" w:cs="Times New Roman"/>
              </w:rPr>
            </w:pPr>
            <w:r w:rsidRPr="00767883">
              <w:rPr>
                <w:rFonts w:ascii="Times New Roman" w:hAnsi="Times New Roman" w:cs="Times New Roman"/>
              </w:rPr>
              <w:t>3</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322D1F9" w14:textId="77777777" w:rsidR="00CF0A7B" w:rsidRPr="00767883" w:rsidRDefault="00CF0A7B">
            <w:pPr>
              <w:rPr>
                <w:rFonts w:ascii="Times New Roman" w:hAnsi="Times New Roman" w:cs="Times New Roman"/>
              </w:rPr>
            </w:pPr>
            <w:r w:rsidRPr="00767883">
              <w:rPr>
                <w:rFonts w:ascii="Times New Roman" w:hAnsi="Times New Roman" w:cs="Times New Roman"/>
              </w:rPr>
              <w:t>Map included primary studies and group linked reports from the same trial program or cohort as evidence clusters.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9DE2B73" w14:textId="77777777" w:rsidR="00CF0A7B" w:rsidRPr="00767883" w:rsidRDefault="00CF0A7B">
            <w:pPr>
              <w:rPr>
                <w:rFonts w:ascii="Times New Roman" w:hAnsi="Times New Roman" w:cs="Times New Roman"/>
              </w:rPr>
            </w:pPr>
            <w:r w:rsidRPr="00767883">
              <w:rPr>
                <w:rFonts w:ascii="Times New Roman" w:hAnsi="Times New Roman" w:cs="Times New Roman"/>
              </w:rPr>
              <w:t>Reduce duplicate counting of repeated primary evidence.</w:t>
            </w:r>
          </w:p>
        </w:tc>
      </w:tr>
      <w:tr w:rsidR="00CF0A7B" w:rsidRPr="00767883" w14:paraId="017BF47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A193836" w14:textId="77777777" w:rsidR="00CF0A7B" w:rsidRPr="00767883" w:rsidRDefault="00CF0A7B">
            <w:pPr>
              <w:rPr>
                <w:rFonts w:ascii="Times New Roman" w:hAnsi="Times New Roman" w:cs="Times New Roman"/>
              </w:rPr>
            </w:pPr>
            <w:r w:rsidRPr="00767883">
              <w:rPr>
                <w:rFonts w:ascii="Times New Roman" w:hAnsi="Times New Roman" w:cs="Times New Roman"/>
              </w:rPr>
              <w:t>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48E367F" w14:textId="2D8F8041" w:rsidR="00CF0A7B" w:rsidRPr="000B329A" w:rsidRDefault="000B329A" w:rsidP="000B329A">
            <w:pPr>
              <w:rPr>
                <w:rFonts w:ascii="Times New Roman" w:hAnsi="Times New Roman" w:cs="Times New Roman"/>
                <w:kern w:val="0"/>
                <w14:ligatures w14:val="none"/>
              </w:rPr>
            </w:pPr>
            <w:r>
              <w:rPr>
                <w:rFonts w:ascii="Times New Roman" w:hAnsi="Times New Roman"/>
              </w:rPr>
              <w:t>Calculate domain-specific CCA as the operative overlap measure.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ECD9FE6" w14:textId="77777777" w:rsidR="00CF0A7B" w:rsidRPr="00767883" w:rsidRDefault="00CF0A7B">
            <w:pPr>
              <w:rPr>
                <w:rFonts w:ascii="Times New Roman" w:hAnsi="Times New Roman" w:cs="Times New Roman"/>
              </w:rPr>
            </w:pPr>
            <w:r w:rsidRPr="00767883">
              <w:rPr>
                <w:rFonts w:ascii="Times New Roman" w:hAnsi="Times New Roman" w:cs="Times New Roman"/>
              </w:rPr>
              <w:t>Assess whether repeated reviews provide independent corroboration or reuse the same primary evidence.</w:t>
            </w:r>
          </w:p>
        </w:tc>
      </w:tr>
      <w:tr w:rsidR="00CF0A7B" w:rsidRPr="00767883" w14:paraId="74087112"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B5EAF76" w14:textId="77777777" w:rsidR="00CF0A7B" w:rsidRPr="00767883" w:rsidRDefault="00CF0A7B">
            <w:pPr>
              <w:rPr>
                <w:rFonts w:ascii="Times New Roman" w:hAnsi="Times New Roman" w:cs="Times New Roman"/>
              </w:rPr>
            </w:pPr>
            <w:r w:rsidRPr="00767883">
              <w:rPr>
                <w:rFonts w:ascii="Times New Roman" w:hAnsi="Times New Roman" w:cs="Times New Roman"/>
              </w:rPr>
              <w:t>5</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A7DEBC1" w14:textId="1B4821E4" w:rsidR="00CF0A7B" w:rsidRPr="00767883" w:rsidRDefault="00000000" w:rsidP="00017F1A">
            <w:pPr>
              <w:rPr>
                <w:rFonts w:ascii="Times New Roman" w:hAnsi="Times New Roman" w:cs="Times New Roman"/>
                <w:lang w:val="en-MX"/>
              </w:rPr>
            </w:pPr>
            <w:r w:rsidRPr="00767883">
              <w:rPr>
                <w:rFonts w:ascii="Times New Roman" w:hAnsi="Times New Roman" w:cs="Times New Roman"/>
              </w:rPr>
              <w:t xml:space="preserve">Report exploratory AMSTAR 2-weighted CCA (wCCA) only as </w:t>
            </w:r>
            <w:r w:rsidR="00017F1A" w:rsidRPr="00767883">
              <w:rPr>
                <w:rFonts w:ascii="Times New Roman" w:hAnsi="Times New Roman" w:cs="Times New Roman"/>
              </w:rPr>
              <w:t>an exploratory supplementary</w:t>
            </w:r>
            <w:r w:rsidRPr="00767883">
              <w:rPr>
                <w:rFonts w:ascii="Times New Roman" w:hAnsi="Times New Roman" w:cs="Times New Roman"/>
              </w:rPr>
              <w:t xml:space="preserve"> sensitivity analysis.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BCA1EB2" w14:textId="77777777" w:rsidR="00CF0A7B" w:rsidRPr="00767883" w:rsidRDefault="00CF0A7B">
            <w:pPr>
              <w:rPr>
                <w:rFonts w:ascii="Times New Roman" w:hAnsi="Times New Roman" w:cs="Times New Roman"/>
              </w:rPr>
            </w:pPr>
            <w:r w:rsidRPr="00767883">
              <w:rPr>
                <w:rFonts w:ascii="Times New Roman" w:hAnsi="Times New Roman" w:cs="Times New Roman"/>
              </w:rPr>
              <w:t>Evaluate whether pragmatic AMSTAR 2 weighting materially changes overlap interpretation.</w:t>
            </w:r>
          </w:p>
        </w:tc>
      </w:tr>
      <w:tr w:rsidR="00CF0A7B" w:rsidRPr="00767883" w14:paraId="2A169D6B"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2E6BAA6" w14:textId="77777777" w:rsidR="00CF0A7B" w:rsidRPr="00767883" w:rsidRDefault="00CF0A7B">
            <w:pPr>
              <w:rPr>
                <w:rFonts w:ascii="Times New Roman" w:hAnsi="Times New Roman" w:cs="Times New Roman"/>
              </w:rPr>
            </w:pPr>
            <w:r w:rsidRPr="00767883">
              <w:rPr>
                <w:rFonts w:ascii="Times New Roman" w:hAnsi="Times New Roman" w:cs="Times New Roman"/>
              </w:rPr>
              <w:t>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8933690" w14:textId="77777777" w:rsidR="00CF0A7B" w:rsidRPr="00767883" w:rsidRDefault="00CF0A7B">
            <w:pPr>
              <w:rPr>
                <w:rFonts w:ascii="Times New Roman" w:hAnsi="Times New Roman" w:cs="Times New Roman"/>
              </w:rPr>
            </w:pPr>
            <w:r w:rsidRPr="00767883">
              <w:rPr>
                <w:rFonts w:ascii="Times New Roman" w:hAnsi="Times New Roman" w:cs="Times New Roman"/>
              </w:rPr>
              <w:t>Assess AMSTAR 2 confidence, directness, breadth, recency, outcome relevance, redundancy, and added clinical value.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2A11E5C" w14:textId="77777777" w:rsidR="00CF0A7B" w:rsidRPr="00767883" w:rsidRDefault="00CF0A7B">
            <w:pPr>
              <w:rPr>
                <w:rFonts w:ascii="Times New Roman" w:hAnsi="Times New Roman" w:cs="Times New Roman"/>
              </w:rPr>
            </w:pPr>
            <w:r w:rsidRPr="00767883">
              <w:rPr>
                <w:rFonts w:ascii="Times New Roman" w:hAnsi="Times New Roman" w:cs="Times New Roman"/>
              </w:rPr>
              <w:t>Identify reviews capable of carrying primary interpretive weight.</w:t>
            </w:r>
          </w:p>
        </w:tc>
      </w:tr>
      <w:tr w:rsidR="00CF0A7B" w:rsidRPr="00767883" w14:paraId="16D6A1A9"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0A1DE39" w14:textId="77777777" w:rsidR="00CF0A7B" w:rsidRPr="00767883" w:rsidRDefault="00CF0A7B">
            <w:pPr>
              <w:rPr>
                <w:rFonts w:ascii="Times New Roman" w:hAnsi="Times New Roman" w:cs="Times New Roman"/>
              </w:rPr>
            </w:pPr>
            <w:r w:rsidRPr="00767883">
              <w:rPr>
                <w:rFonts w:ascii="Times New Roman" w:hAnsi="Times New Roman" w:cs="Times New Roman"/>
              </w:rPr>
              <w:lastRenderedPageBreak/>
              <w:t>7</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CD70E12" w14:textId="77777777" w:rsidR="00CF0A7B" w:rsidRPr="00767883" w:rsidRDefault="00CF0A7B">
            <w:pPr>
              <w:rPr>
                <w:rFonts w:ascii="Times New Roman" w:hAnsi="Times New Roman" w:cs="Times New Roman"/>
              </w:rPr>
            </w:pPr>
            <w:r w:rsidRPr="00767883">
              <w:rPr>
                <w:rFonts w:ascii="Times New Roman" w:hAnsi="Times New Roman" w:cs="Times New Roman"/>
              </w:rPr>
              <w:t>Select primary interpretive reviews based on quality, directness, breadth, recency, and nonredundancy.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1438875" w14:textId="77777777" w:rsidR="00CF0A7B" w:rsidRPr="00767883" w:rsidRDefault="00CF0A7B">
            <w:pPr>
              <w:rPr>
                <w:rFonts w:ascii="Times New Roman" w:hAnsi="Times New Roman" w:cs="Times New Roman"/>
              </w:rPr>
            </w:pPr>
            <w:r w:rsidRPr="00767883">
              <w:rPr>
                <w:rFonts w:ascii="Times New Roman" w:hAnsi="Times New Roman" w:cs="Times New Roman"/>
              </w:rPr>
              <w:t>Identify reviews that can support the main conclusion within a domain.</w:t>
            </w:r>
          </w:p>
        </w:tc>
      </w:tr>
      <w:tr w:rsidR="00CF0A7B" w:rsidRPr="00767883" w14:paraId="7827257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30489DE" w14:textId="77777777" w:rsidR="00CF0A7B" w:rsidRPr="00767883" w:rsidRDefault="00CF0A7B">
            <w:pPr>
              <w:rPr>
                <w:rFonts w:ascii="Times New Roman" w:hAnsi="Times New Roman" w:cs="Times New Roman"/>
              </w:rPr>
            </w:pPr>
            <w:r w:rsidRPr="00767883">
              <w:rPr>
                <w:rFonts w:ascii="Times New Roman" w:hAnsi="Times New Roman" w:cs="Times New Roman"/>
              </w:rPr>
              <w:t>8</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029D4D7" w14:textId="69438311" w:rsidR="00CF0A7B" w:rsidRPr="00767883" w:rsidRDefault="00000000" w:rsidP="001267AC">
            <w:pPr>
              <w:rPr>
                <w:rFonts w:ascii="Times New Roman" w:hAnsi="Times New Roman" w:cs="Times New Roman"/>
                <w:lang w:val="en-MX"/>
              </w:rPr>
            </w:pPr>
            <w:r w:rsidRPr="00767883">
              <w:rPr>
                <w:rFonts w:ascii="Times New Roman" w:hAnsi="Times New Roman" w:cs="Times New Roman"/>
              </w:rPr>
              <w:t xml:space="preserve">Retain other reviews as contextual </w:t>
            </w:r>
            <w:r w:rsidR="001267AC" w:rsidRPr="00767883">
              <w:rPr>
                <w:rFonts w:ascii="Times New Roman" w:hAnsi="Times New Roman" w:cs="Times New Roman"/>
              </w:rPr>
              <w:t>information</w:t>
            </w:r>
            <w:r w:rsidRPr="00767883">
              <w:rPr>
                <w:rFonts w:ascii="Times New Roman" w:hAnsi="Times New Roman" w:cs="Times New Roman"/>
              </w:rPr>
              <w:t xml:space="preserve"> when they add unique subgroup, safety, dosing, real-world, durability, or implementation information.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FD70D53" w14:textId="77777777" w:rsidR="00CF0A7B" w:rsidRPr="00767883" w:rsidRDefault="00CF0A7B">
            <w:pPr>
              <w:rPr>
                <w:rFonts w:ascii="Times New Roman" w:hAnsi="Times New Roman" w:cs="Times New Roman"/>
              </w:rPr>
            </w:pPr>
            <w:r w:rsidRPr="00767883">
              <w:rPr>
                <w:rFonts w:ascii="Times New Roman" w:hAnsi="Times New Roman" w:cs="Times New Roman"/>
              </w:rPr>
              <w:t>Preserve useful context without inflating evidence weight.</w:t>
            </w:r>
          </w:p>
        </w:tc>
      </w:tr>
      <w:tr w:rsidR="00CF0A7B" w:rsidRPr="00767883" w14:paraId="73B7A9E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0D4E089" w14:textId="77777777" w:rsidR="00CF0A7B" w:rsidRPr="00767883" w:rsidRDefault="00CF0A7B">
            <w:pPr>
              <w:rPr>
                <w:rFonts w:ascii="Times New Roman" w:hAnsi="Times New Roman" w:cs="Times New Roman"/>
              </w:rPr>
            </w:pPr>
            <w:r w:rsidRPr="00767883">
              <w:rPr>
                <w:rFonts w:ascii="Times New Roman" w:hAnsi="Times New Roman" w:cs="Times New Roman"/>
              </w:rPr>
              <w:t>9</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1B691F4" w14:textId="012B196B" w:rsidR="00CF0A7B" w:rsidRPr="00B55C6D" w:rsidRDefault="00B55C6D" w:rsidP="00B55C6D">
            <w:pPr>
              <w:rPr>
                <w:rFonts w:ascii="Times New Roman" w:hAnsi="Times New Roman" w:cs="Times New Roman"/>
                <w:kern w:val="0"/>
                <w14:ligatures w14:val="none"/>
              </w:rPr>
            </w:pPr>
            <w:r>
              <w:rPr>
                <w:rFonts w:ascii="Times New Roman" w:hAnsi="Times New Roman"/>
              </w:rPr>
              <w:t xml:space="preserve">Assign narrative synthesis or contextual interpretation, and document when </w:t>
            </w:r>
            <w:proofErr w:type="gramStart"/>
            <w:r>
              <w:rPr>
                <w:rFonts w:ascii="Times New Roman" w:hAnsi="Times New Roman"/>
              </w:rPr>
              <w:t>no</w:t>
            </w:r>
            <w:proofErr w:type="gramEnd"/>
            <w:r>
              <w:rPr>
                <w:rFonts w:ascii="Times New Roman" w:hAnsi="Times New Roman"/>
              </w:rPr>
              <w:t xml:space="preserve"> de novo meta-analysis was performed.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40A2198" w14:textId="4DCC6B71" w:rsidR="00CF0A7B" w:rsidRPr="000B329A" w:rsidRDefault="000B329A" w:rsidP="000B329A">
            <w:pPr>
              <w:rPr>
                <w:rFonts w:ascii="Times New Roman" w:hAnsi="Times New Roman" w:cs="Times New Roman"/>
                <w:kern w:val="0"/>
                <w14:ligatures w14:val="none"/>
              </w:rPr>
            </w:pPr>
            <w:r>
              <w:rPr>
                <w:rFonts w:ascii="Times New Roman" w:hAnsi="Times New Roman"/>
              </w:rPr>
              <w:t>Avoid unsupported de novo meta-analysis when primary-study overlap, repeated clusters, or heterogeneous outcomes limit independence.</w:t>
            </w:r>
          </w:p>
        </w:tc>
      </w:tr>
      <w:tr w:rsidR="00CF0A7B" w:rsidRPr="00767883" w14:paraId="42794E3F"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7FDA2AF" w14:textId="77777777" w:rsidR="00CF0A7B" w:rsidRPr="00767883" w:rsidRDefault="00CF0A7B">
            <w:pPr>
              <w:rPr>
                <w:rFonts w:ascii="Times New Roman" w:hAnsi="Times New Roman" w:cs="Times New Roman"/>
              </w:rPr>
            </w:pPr>
            <w:r w:rsidRPr="00767883">
              <w:rPr>
                <w:rFonts w:ascii="Times New Roman" w:hAnsi="Times New Roman" w:cs="Times New Roman"/>
              </w:rPr>
              <w:t>10</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8571461" w14:textId="77777777" w:rsidR="00CF0A7B" w:rsidRPr="00767883" w:rsidRDefault="00CF0A7B">
            <w:pPr>
              <w:rPr>
                <w:rFonts w:ascii="Times New Roman" w:hAnsi="Times New Roman" w:cs="Times New Roman"/>
              </w:rPr>
            </w:pPr>
            <w:r w:rsidRPr="00767883">
              <w:rPr>
                <w:rFonts w:ascii="Times New Roman" w:hAnsi="Times New Roman" w:cs="Times New Roman"/>
              </w:rPr>
              <w:t>Weight conclusions by AMSTAR 2 confidence, overlap, directness, consistency, durability, burden, safety, clinical context, and GRADE-informed interpretive considerations.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FB589EF" w14:textId="77777777" w:rsidR="00CF0A7B" w:rsidRPr="00767883" w:rsidRDefault="00CF0A7B">
            <w:pPr>
              <w:rPr>
                <w:rFonts w:ascii="Times New Roman" w:hAnsi="Times New Roman" w:cs="Times New Roman"/>
              </w:rPr>
            </w:pPr>
            <w:r w:rsidRPr="00767883">
              <w:rPr>
                <w:rFonts w:ascii="Times New Roman" w:hAnsi="Times New Roman" w:cs="Times New Roman"/>
              </w:rPr>
              <w:t>Produce conclusion-level interpretations for the manuscript and evidence maps.</w:t>
            </w:r>
          </w:p>
        </w:tc>
      </w:tr>
    </w:tbl>
    <w:p w14:paraId="6AC320F4" w14:textId="77777777" w:rsidR="007C619F" w:rsidRDefault="007C619F">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Domain-specific CCA was the operative overlap measure. wCCA was retained only as an exploratory supplementary sensitivity analysis, used solely to test whether pragmatic AMSTAR 2 weighting altered overlap interpretation. wCCA is nonstandard, the weights are pragmatic rather than externally validated, and wCCA did not upgrade, downgrade, or determine any evidence-category assignment. All conclusions were based on standard CCA together with AMSTAR 2 confidence, directness, consistency, clinical relevance, safety, durability, and nonredundant contribution.</w:t>
      </w:r>
    </w:p>
    <w:p w14:paraId="51E4C7DA" w14:textId="0E5728A6"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50D3E3AA" w14:textId="77777777" w:rsidR="00F671DE" w:rsidRPr="00767883" w:rsidRDefault="00F671DE" w:rsidP="00F671DE">
      <w:pPr>
        <w:spacing w:before="100" w:beforeAutospacing="1" w:after="100" w:afterAutospacing="1" w:line="300" w:lineRule="atLeast"/>
        <w:outlineLvl w:val="0"/>
        <w:rPr>
          <w:rFonts w:ascii="Times New Roman" w:eastAsia="Times New Roman" w:hAnsi="Times New Roman" w:cs="Times New Roman"/>
          <w:b/>
          <w:bCs/>
          <w:color w:val="000000"/>
          <w:kern w:val="36"/>
          <w:sz w:val="48"/>
          <w:szCs w:val="48"/>
          <w:lang w:val="en-MX"/>
          <w14:ligatures w14:val="none"/>
        </w:rPr>
      </w:pPr>
      <w:r w:rsidRPr="00767883">
        <w:rPr>
          <w:rFonts w:ascii="Times New Roman" w:eastAsia="Times New Roman" w:hAnsi="Times New Roman" w:cs="Times New Roman"/>
          <w:b/>
          <w:bCs/>
          <w:color w:val="000000"/>
          <w:kern w:val="36"/>
          <w:sz w:val="48"/>
          <w:szCs w:val="48"/>
          <w:lang w:val="en-MX"/>
          <w14:ligatures w14:val="none"/>
        </w:rPr>
        <w:t>Supplementary Appendix 2</w:t>
      </w:r>
    </w:p>
    <w:p w14:paraId="6BD1D90E"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Appendix 2 abbreviations</w:t>
      </w:r>
    </w:p>
    <w:p w14:paraId="6C80E84B" w14:textId="77777777" w:rsidR="00F671DE" w:rsidRPr="00767883" w:rsidRDefault="00F671DE" w:rsidP="00F671DE">
      <w:pPr>
        <w:spacing w:before="100" w:beforeAutospacing="1" w:after="100" w:afterAutospacing="1" w:line="300" w:lineRule="atLeast"/>
        <w:rPr>
          <w:rFonts w:ascii="Times New Roman" w:eastAsia="Times New Roman" w:hAnsi="Times New Roman" w:cs="Times New Roman"/>
          <w:color w:val="000000"/>
          <w:kern w:val="0"/>
          <w:sz w:val="21"/>
          <w:szCs w:val="21"/>
          <w:lang w:val="en-MX"/>
          <w14:ligatures w14:val="none"/>
        </w:rPr>
      </w:pPr>
      <w:r w:rsidRPr="00767883">
        <w:rPr>
          <w:rFonts w:ascii="Times New Roman" w:eastAsia="Times New Roman" w:hAnsi="Times New Roman" w:cs="Times New Roman"/>
          <w:color w:val="000000"/>
          <w:kern w:val="0"/>
          <w:sz w:val="21"/>
          <w:szCs w:val="21"/>
          <w:lang w:val="en-MX"/>
          <w14:ligatures w14:val="none"/>
        </w:rPr>
        <w:t>AMSTAR 2, A Measurement Tool to Assess Systematic Reviews 2; BCVA, best-corrected visual acuity; CCA, corrected covered area; CI-DME, center-involving diabetic macular edema; CMT, central macular thickness; CST, central subfield thickness; DME, diabetic macular edema; DR, diabetic retinopathy; DRSS, Diabetic Retinopathy Severity Scale; HTA, health technology assessment; IOP, intraocular pressure; NMA, network meta-analysis; NPDR, nonproliferative diabetic retinopathy; PDS, Port Delivery System; PDR, proliferative diabetic retinopathy; PRP, panretinal photocoagulation; VEGF, vascular endothelial growth factor; wCCA, AMSTAR 2–weighted corrected covered area [16,17,72–75].</w:t>
      </w:r>
    </w:p>
    <w:p w14:paraId="285C68FA" w14:textId="40BF1364"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7C340FAA"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S3. Review-level evidence domains included in the umbrella review</w:t>
      </w:r>
    </w:p>
    <w:tbl>
      <w:tblPr>
        <w:tblStyle w:val="TableGrid"/>
        <w:tblW w:w="5000" w:type="pct"/>
        <w:tblLook w:val="04A0" w:firstRow="1" w:lastRow="0" w:firstColumn="1" w:lastColumn="0" w:noHBand="0" w:noVBand="1"/>
      </w:tblPr>
      <w:tblGrid>
        <w:gridCol w:w="1724"/>
        <w:gridCol w:w="2361"/>
        <w:gridCol w:w="2738"/>
        <w:gridCol w:w="2164"/>
      </w:tblGrid>
      <w:tr w:rsidR="00CF0A7B" w:rsidRPr="00767883" w14:paraId="6E196883"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FAAB603" w14:textId="77777777" w:rsidR="00CF0A7B" w:rsidRPr="00767883" w:rsidRDefault="00CF0A7B">
            <w:pPr>
              <w:jc w:val="center"/>
              <w:rPr>
                <w:rFonts w:ascii="Times New Roman" w:hAnsi="Times New Roman" w:cs="Times New Roman"/>
                <w:kern w:val="0"/>
                <w14:ligatures w14:val="none"/>
              </w:rPr>
            </w:pPr>
            <w:r w:rsidRPr="00767883">
              <w:rPr>
                <w:rFonts w:ascii="Times New Roman" w:hAnsi="Times New Roman" w:cs="Times New Roman"/>
                <w:b/>
                <w:bCs/>
                <w:color w:val="000000"/>
                <w:sz w:val="24"/>
                <w:szCs w:val="24"/>
              </w:rPr>
              <w:t>Evidence domain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3154FBA"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Evidence focus</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3A08D15"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Source Study IDs</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1511182"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Evidence category / synthesis role</w:t>
            </w:r>
          </w:p>
        </w:tc>
      </w:tr>
      <w:tr w:rsidR="00CF0A7B" w:rsidRPr="00767883" w14:paraId="52210BD9"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FCB63F2" w14:textId="77777777" w:rsidR="00CF0A7B" w:rsidRPr="00767883" w:rsidRDefault="00CF0A7B">
            <w:pPr>
              <w:rPr>
                <w:rFonts w:ascii="Times New Roman" w:hAnsi="Times New Roman" w:cs="Times New Roman"/>
              </w:rPr>
            </w:pPr>
            <w:r w:rsidRPr="00767883">
              <w:rPr>
                <w:rFonts w:ascii="Times New Roman" w:hAnsi="Times New Roman" w:cs="Times New Roman"/>
              </w:rPr>
              <w:t>Anti-VEGF therapy for CI-</w:t>
            </w:r>
            <w:r w:rsidRPr="00767883">
              <w:rPr>
                <w:rFonts w:ascii="Times New Roman" w:hAnsi="Times New Roman" w:cs="Times New Roman"/>
              </w:rPr>
              <w:lastRenderedPageBreak/>
              <w:t>DME with visual impairment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8C62C95" w14:textId="77777777" w:rsidR="00CF0A7B" w:rsidRPr="00767883" w:rsidRDefault="00CF0A7B">
            <w:pPr>
              <w:rPr>
                <w:rFonts w:ascii="Times New Roman" w:hAnsi="Times New Roman" w:cs="Times New Roman"/>
              </w:rPr>
            </w:pPr>
            <w:r w:rsidRPr="00767883">
              <w:rPr>
                <w:rFonts w:ascii="Times New Roman" w:hAnsi="Times New Roman" w:cs="Times New Roman"/>
              </w:rPr>
              <w:lastRenderedPageBreak/>
              <w:t xml:space="preserve">Anti-VEGF agents compared with laser, </w:t>
            </w:r>
            <w:r w:rsidRPr="00767883">
              <w:rPr>
                <w:rFonts w:ascii="Times New Roman" w:hAnsi="Times New Roman" w:cs="Times New Roman"/>
              </w:rPr>
              <w:lastRenderedPageBreak/>
              <w:t>sham, observation, other anti-VEGF agents, or indirect-comparison networks.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5A918AA" w14:textId="77777777" w:rsidR="00CF0A7B" w:rsidRPr="00767883" w:rsidRDefault="00CF0A7B">
            <w:pPr>
              <w:rPr>
                <w:rFonts w:ascii="Times New Roman" w:hAnsi="Times New Roman" w:cs="Times New Roman"/>
              </w:rPr>
            </w:pPr>
            <w:r w:rsidRPr="00767883">
              <w:rPr>
                <w:rFonts w:ascii="Times New Roman" w:hAnsi="Times New Roman" w:cs="Times New Roman"/>
              </w:rPr>
              <w:lastRenderedPageBreak/>
              <w:t xml:space="preserve">Virgili 2023; Wang 2022; Sydnor 2023; Justino 2024; </w:t>
            </w:r>
            <w:r w:rsidRPr="00767883">
              <w:rPr>
                <w:rFonts w:ascii="Times New Roman" w:hAnsi="Times New Roman" w:cs="Times New Roman"/>
              </w:rPr>
              <w:lastRenderedPageBreak/>
              <w:t xml:space="preserve">Li et al. 2023; </w:t>
            </w:r>
            <w:proofErr w:type="spellStart"/>
            <w:r w:rsidRPr="00767883">
              <w:rPr>
                <w:rFonts w:ascii="Times New Roman" w:hAnsi="Times New Roman" w:cs="Times New Roman"/>
              </w:rPr>
              <w:t>Santhakumaran</w:t>
            </w:r>
            <w:proofErr w:type="spellEnd"/>
            <w:r w:rsidRPr="00767883">
              <w:rPr>
                <w:rFonts w:ascii="Times New Roman" w:hAnsi="Times New Roman" w:cs="Times New Roman"/>
              </w:rPr>
              <w:t xml:space="preserve"> et al. 2022; Chen J 2023; Chen L 2025; Friedman 2025; Falcão 2020; Krishnan 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323DEA4" w14:textId="0BD8F20B" w:rsidR="00CF0A7B" w:rsidRPr="007C619F" w:rsidRDefault="007C619F" w:rsidP="007C619F">
            <w:pPr>
              <w:rPr>
                <w:rFonts w:ascii="Times New Roman" w:hAnsi="Times New Roman" w:cs="Times New Roman"/>
                <w:kern w:val="0"/>
                <w14:ligatures w14:val="none"/>
              </w:rPr>
            </w:pPr>
            <w:r>
              <w:rPr>
                <w:rFonts w:ascii="Times New Roman" w:hAnsi="Times New Roman"/>
              </w:rPr>
              <w:lastRenderedPageBreak/>
              <w:t xml:space="preserve">Primary review-level evidence anchor; main </w:t>
            </w:r>
            <w:r>
              <w:rPr>
                <w:rFonts w:ascii="Times New Roman" w:hAnsi="Times New Roman"/>
              </w:rPr>
              <w:lastRenderedPageBreak/>
              <w:t>review-level conclusion.</w:t>
            </w:r>
          </w:p>
        </w:tc>
      </w:tr>
      <w:tr w:rsidR="00CF0A7B" w:rsidRPr="00767883" w14:paraId="7D9F1D83"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8D06E9B" w14:textId="77777777" w:rsidR="00CF0A7B" w:rsidRPr="00767883" w:rsidRDefault="00CF0A7B">
            <w:pPr>
              <w:rPr>
                <w:rFonts w:ascii="Times New Roman" w:hAnsi="Times New Roman" w:cs="Times New Roman"/>
              </w:rPr>
            </w:pPr>
            <w:r w:rsidRPr="00767883">
              <w:rPr>
                <w:rFonts w:ascii="Times New Roman" w:hAnsi="Times New Roman" w:cs="Times New Roman"/>
              </w:rPr>
              <w:lastRenderedPageBreak/>
              <w:t>Switching after incomplete anti-VEGF response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F3003EE" w14:textId="77777777" w:rsidR="00CF0A7B" w:rsidRPr="00767883" w:rsidRDefault="00CF0A7B">
            <w:pPr>
              <w:rPr>
                <w:rFonts w:ascii="Times New Roman" w:hAnsi="Times New Roman" w:cs="Times New Roman"/>
              </w:rPr>
            </w:pPr>
            <w:r w:rsidRPr="00767883">
              <w:rPr>
                <w:rFonts w:ascii="Times New Roman" w:hAnsi="Times New Roman" w:cs="Times New Roman"/>
              </w:rPr>
              <w:t>Switching to aflibercept, faricimab, dexamethasone implant, fluocinolone implant, or other second-line approaches after incomplete response.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0139037" w14:textId="674623BC" w:rsidR="00CF0A7B" w:rsidRPr="0032014D" w:rsidRDefault="0032014D" w:rsidP="0032014D">
            <w:pPr>
              <w:rPr>
                <w:rFonts w:ascii="Times New Roman" w:hAnsi="Times New Roman" w:cs="Times New Roman"/>
                <w:kern w:val="0"/>
                <w:lang w:val="es-ES"/>
                <w14:ligatures w14:val="none"/>
              </w:rPr>
            </w:pPr>
            <w:r w:rsidRPr="0032014D">
              <w:rPr>
                <w:rFonts w:ascii="Times New Roman" w:hAnsi="Times New Roman"/>
                <w:lang w:val="es-ES"/>
              </w:rPr>
              <w:t xml:space="preserve">Liu 2020; Xiao 2020; </w:t>
            </w:r>
            <w:proofErr w:type="spellStart"/>
            <w:r w:rsidRPr="0032014D">
              <w:rPr>
                <w:rFonts w:ascii="Times New Roman" w:hAnsi="Times New Roman"/>
                <w:lang w:val="es-ES"/>
              </w:rPr>
              <w:t>Madjedi</w:t>
            </w:r>
            <w:proofErr w:type="spellEnd"/>
            <w:r w:rsidRPr="0032014D">
              <w:rPr>
                <w:rFonts w:ascii="Times New Roman" w:hAnsi="Times New Roman"/>
                <w:lang w:val="es-ES"/>
              </w:rPr>
              <w:t xml:space="preserve"> 2022; Tahmasebi 2025; Cao 2025; </w:t>
            </w:r>
            <w:proofErr w:type="spellStart"/>
            <w:r w:rsidRPr="0032014D">
              <w:rPr>
                <w:rFonts w:ascii="Times New Roman" w:hAnsi="Times New Roman"/>
                <w:lang w:val="es-ES"/>
              </w:rPr>
              <w:t>Xu</w:t>
            </w:r>
            <w:proofErr w:type="spellEnd"/>
            <w:r w:rsidRPr="0032014D">
              <w:rPr>
                <w:rFonts w:ascii="Times New Roman" w:hAnsi="Times New Roman"/>
                <w:lang w:val="es-ES"/>
              </w:rPr>
              <w:t xml:space="preserve"> et al. 2024; Nasimi 2024; </w:t>
            </w:r>
            <w:proofErr w:type="spellStart"/>
            <w:r w:rsidRPr="0032014D">
              <w:rPr>
                <w:rFonts w:ascii="Times New Roman" w:hAnsi="Times New Roman"/>
                <w:lang w:val="es-ES"/>
              </w:rPr>
              <w:t>Hatamnejad</w:t>
            </w:r>
            <w:proofErr w:type="spellEnd"/>
            <w:r w:rsidRPr="0032014D">
              <w:rPr>
                <w:rFonts w:ascii="Times New Roman" w:hAnsi="Times New Roman"/>
                <w:lang w:val="es-ES"/>
              </w:rPr>
              <w:t xml:space="preserve"> 2024.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9903DCA" w14:textId="77777777" w:rsidR="00CF0A7B" w:rsidRPr="00767883" w:rsidRDefault="00CF0A7B">
            <w:pPr>
              <w:rPr>
                <w:rFonts w:ascii="Times New Roman" w:hAnsi="Times New Roman" w:cs="Times New Roman"/>
              </w:rPr>
            </w:pPr>
            <w:r w:rsidRPr="00767883">
              <w:rPr>
                <w:rFonts w:ascii="Times New Roman" w:hAnsi="Times New Roman" w:cs="Times New Roman"/>
              </w:rPr>
              <w:t>Conditional evidence; anatomical response more consistent than durable visual benefit.</w:t>
            </w:r>
          </w:p>
        </w:tc>
      </w:tr>
      <w:tr w:rsidR="00CF0A7B" w:rsidRPr="00767883" w14:paraId="59634441"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C3C1BC0" w14:textId="77777777" w:rsidR="00CF0A7B" w:rsidRPr="00767883" w:rsidRDefault="00CF0A7B">
            <w:pPr>
              <w:rPr>
                <w:rFonts w:ascii="Times New Roman" w:hAnsi="Times New Roman" w:cs="Times New Roman"/>
              </w:rPr>
            </w:pPr>
            <w:r w:rsidRPr="00767883">
              <w:rPr>
                <w:rFonts w:ascii="Times New Roman" w:hAnsi="Times New Roman" w:cs="Times New Roman"/>
              </w:rPr>
              <w:t>Corticosteroids and implants in selected DME contexts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9017171" w14:textId="77777777" w:rsidR="00CF0A7B" w:rsidRPr="00767883" w:rsidRDefault="00CF0A7B">
            <w:pPr>
              <w:rPr>
                <w:rFonts w:ascii="Times New Roman" w:hAnsi="Times New Roman" w:cs="Times New Roman"/>
              </w:rPr>
            </w:pPr>
            <w:r w:rsidRPr="00767883">
              <w:rPr>
                <w:rFonts w:ascii="Times New Roman" w:hAnsi="Times New Roman" w:cs="Times New Roman"/>
              </w:rPr>
              <w:t>Dexamethasone, fluocinolone, triamcinolone, suprachoroidal steroid, durability, and ocular safety evidence.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769A39E" w14:textId="2300FE35" w:rsidR="00CF0A7B" w:rsidRPr="0032014D" w:rsidRDefault="0032014D" w:rsidP="0032014D">
            <w:pPr>
              <w:rPr>
                <w:rFonts w:ascii="Times New Roman" w:hAnsi="Times New Roman" w:cs="Times New Roman"/>
                <w:kern w:val="0"/>
                <w:lang w:val="es-ES"/>
                <w14:ligatures w14:val="none"/>
              </w:rPr>
            </w:pPr>
            <w:proofErr w:type="spellStart"/>
            <w:r w:rsidRPr="0032014D">
              <w:rPr>
                <w:rFonts w:ascii="Times New Roman" w:hAnsi="Times New Roman"/>
                <w:lang w:val="es-ES"/>
              </w:rPr>
              <w:t>Rittiphairoj</w:t>
            </w:r>
            <w:proofErr w:type="spellEnd"/>
            <w:r w:rsidRPr="0032014D">
              <w:rPr>
                <w:rFonts w:ascii="Times New Roman" w:hAnsi="Times New Roman"/>
                <w:lang w:val="es-ES"/>
              </w:rPr>
              <w:t xml:space="preserve"> 2020; </w:t>
            </w:r>
            <w:proofErr w:type="spellStart"/>
            <w:r w:rsidRPr="0032014D">
              <w:rPr>
                <w:rFonts w:ascii="Times New Roman" w:hAnsi="Times New Roman"/>
                <w:lang w:val="es-ES"/>
              </w:rPr>
              <w:t>Xu</w:t>
            </w:r>
            <w:proofErr w:type="spellEnd"/>
            <w:r w:rsidRPr="0032014D">
              <w:rPr>
                <w:rFonts w:ascii="Times New Roman" w:hAnsi="Times New Roman"/>
                <w:lang w:val="es-ES"/>
              </w:rPr>
              <w:t xml:space="preserve"> et al. 2024; Ma et al. 2024; Chi 2023; Fallico 2021; </w:t>
            </w:r>
            <w:proofErr w:type="spellStart"/>
            <w:r w:rsidRPr="0032014D">
              <w:rPr>
                <w:rFonts w:ascii="Times New Roman" w:hAnsi="Times New Roman"/>
                <w:lang w:val="es-ES"/>
              </w:rPr>
              <w:t>Kodjikian</w:t>
            </w:r>
            <w:proofErr w:type="spellEnd"/>
            <w:r w:rsidRPr="0032014D">
              <w:rPr>
                <w:rFonts w:ascii="Times New Roman" w:hAnsi="Times New Roman"/>
                <w:lang w:val="es-ES"/>
              </w:rPr>
              <w:t xml:space="preserve"> 2021; Bucolo 2018; Cao 2025; </w:t>
            </w:r>
            <w:proofErr w:type="spellStart"/>
            <w:r w:rsidRPr="0032014D">
              <w:rPr>
                <w:rFonts w:ascii="Times New Roman" w:hAnsi="Times New Roman"/>
                <w:lang w:val="es-ES"/>
              </w:rPr>
              <w:t>Hu</w:t>
            </w:r>
            <w:proofErr w:type="spellEnd"/>
            <w:r w:rsidRPr="0032014D">
              <w:rPr>
                <w:rFonts w:ascii="Times New Roman" w:hAnsi="Times New Roman"/>
                <w:lang w:val="es-ES"/>
              </w:rPr>
              <w:t xml:space="preserve"> 2025; Karam 2025; Yuan 2022.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AB69447" w14:textId="77777777" w:rsidR="00CF0A7B" w:rsidRPr="00767883" w:rsidRDefault="00CF0A7B">
            <w:pPr>
              <w:rPr>
                <w:rFonts w:ascii="Times New Roman" w:hAnsi="Times New Roman" w:cs="Times New Roman"/>
              </w:rPr>
            </w:pPr>
            <w:r w:rsidRPr="00767883">
              <w:rPr>
                <w:rFonts w:ascii="Times New Roman" w:hAnsi="Times New Roman" w:cs="Times New Roman"/>
              </w:rPr>
              <w:t>Conditional evidence; interpret with IOP, cataract, lens status, and monitoring capacity.</w:t>
            </w:r>
          </w:p>
        </w:tc>
      </w:tr>
      <w:tr w:rsidR="00CF0A7B" w:rsidRPr="00767883" w14:paraId="2689ECB6"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03E50FF" w14:textId="77777777" w:rsidR="00CF0A7B" w:rsidRPr="00767883" w:rsidRDefault="00CF0A7B">
            <w:pPr>
              <w:rPr>
                <w:rFonts w:ascii="Times New Roman" w:hAnsi="Times New Roman" w:cs="Times New Roman"/>
              </w:rPr>
            </w:pPr>
            <w:r w:rsidRPr="00767883">
              <w:rPr>
                <w:rFonts w:ascii="Times New Roman" w:hAnsi="Times New Roman" w:cs="Times New Roman"/>
              </w:rPr>
              <w:t>Combination therapy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1B6293F" w14:textId="77777777" w:rsidR="00CF0A7B" w:rsidRPr="00767883" w:rsidRDefault="00CF0A7B">
            <w:pPr>
              <w:rPr>
                <w:rFonts w:ascii="Times New Roman" w:hAnsi="Times New Roman" w:cs="Times New Roman"/>
              </w:rPr>
            </w:pPr>
            <w:r w:rsidRPr="00767883">
              <w:rPr>
                <w:rFonts w:ascii="Times New Roman" w:hAnsi="Times New Roman" w:cs="Times New Roman"/>
              </w:rPr>
              <w:t>Anti-VEGF plus corticosteroid, laser, implant, PRP, or mixed combination strategies.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4590ADC" w14:textId="77777777" w:rsidR="00CF0A7B" w:rsidRPr="00767883" w:rsidRDefault="00CF0A7B">
            <w:pPr>
              <w:rPr>
                <w:rFonts w:ascii="Times New Roman" w:hAnsi="Times New Roman" w:cs="Times New Roman"/>
              </w:rPr>
            </w:pPr>
            <w:r w:rsidRPr="00767883">
              <w:rPr>
                <w:rFonts w:ascii="Times New Roman" w:hAnsi="Times New Roman" w:cs="Times New Roman"/>
              </w:rPr>
              <w:t xml:space="preserve">Ma et al. 2024; Grad 2025; Yang 2025; Zhou 2025; </w:t>
            </w:r>
            <w:proofErr w:type="spellStart"/>
            <w:r w:rsidRPr="00767883">
              <w:rPr>
                <w:rFonts w:ascii="Times New Roman" w:hAnsi="Times New Roman" w:cs="Times New Roman"/>
              </w:rPr>
              <w:t>Hatamnejad</w:t>
            </w:r>
            <w:proofErr w:type="spellEnd"/>
            <w:r w:rsidRPr="00767883">
              <w:rPr>
                <w:rFonts w:ascii="Times New Roman" w:hAnsi="Times New Roman" w:cs="Times New Roman"/>
              </w:rPr>
              <w:t xml:space="preserve"> 2024; Chen J 2023; Chen L 2025; Fu et al. 2023.</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70283E0" w14:textId="77777777" w:rsidR="00CF0A7B" w:rsidRPr="00767883" w:rsidRDefault="00CF0A7B">
            <w:pPr>
              <w:rPr>
                <w:rFonts w:ascii="Times New Roman" w:hAnsi="Times New Roman" w:cs="Times New Roman"/>
              </w:rPr>
            </w:pPr>
            <w:r w:rsidRPr="00767883">
              <w:rPr>
                <w:rFonts w:ascii="Times New Roman" w:hAnsi="Times New Roman" w:cs="Times New Roman"/>
              </w:rPr>
              <w:t>Hypothesis-generating evidence; inconsistent visual superiority and possible added safety burden.</w:t>
            </w:r>
          </w:p>
        </w:tc>
      </w:tr>
      <w:tr w:rsidR="00CF0A7B" w:rsidRPr="00767883" w14:paraId="327D63C6"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44ACEC6" w14:textId="77777777" w:rsidR="00CF0A7B" w:rsidRPr="00767883" w:rsidRDefault="00CF0A7B">
            <w:pPr>
              <w:rPr>
                <w:rFonts w:ascii="Times New Roman" w:hAnsi="Times New Roman" w:cs="Times New Roman"/>
              </w:rPr>
            </w:pPr>
            <w:r w:rsidRPr="00767883">
              <w:rPr>
                <w:rFonts w:ascii="Times New Roman" w:hAnsi="Times New Roman" w:cs="Times New Roman"/>
              </w:rPr>
              <w:t>NPDR/PDR disease-control strategies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4EB2E71" w14:textId="77777777" w:rsidR="00CF0A7B" w:rsidRPr="00767883" w:rsidRDefault="00CF0A7B">
            <w:pPr>
              <w:rPr>
                <w:rFonts w:ascii="Times New Roman" w:hAnsi="Times New Roman" w:cs="Times New Roman"/>
              </w:rPr>
            </w:pPr>
            <w:r w:rsidRPr="00767883">
              <w:rPr>
                <w:rFonts w:ascii="Times New Roman" w:hAnsi="Times New Roman" w:cs="Times New Roman"/>
              </w:rPr>
              <w:t>Anti-VEGF for NPDR, anti-VEGF versus PRP for PDR, PRP combinations, perioperative anti-VEGF, and fenofibrate.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D61547C" w14:textId="77777777" w:rsidR="00CF0A7B" w:rsidRPr="00767883" w:rsidRDefault="00CF0A7B">
            <w:pPr>
              <w:rPr>
                <w:rFonts w:ascii="Times New Roman" w:hAnsi="Times New Roman" w:cs="Times New Roman"/>
              </w:rPr>
            </w:pPr>
            <w:r w:rsidRPr="00767883">
              <w:rPr>
                <w:rFonts w:ascii="Times New Roman" w:hAnsi="Times New Roman" w:cs="Times New Roman"/>
              </w:rPr>
              <w:t>Simmonds 2025; Chaudhary 2023; Chen K-Y et al. 2025; Fu et al. 2023; Zhang 2021; Song 2025; Kataoka 2023; Thagaard 2022.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9F2CBB3" w14:textId="77777777" w:rsidR="00CF0A7B" w:rsidRPr="00767883" w:rsidRDefault="00CF0A7B">
            <w:pPr>
              <w:rPr>
                <w:rFonts w:ascii="Times New Roman" w:hAnsi="Times New Roman" w:cs="Times New Roman"/>
              </w:rPr>
            </w:pPr>
            <w:r w:rsidRPr="00767883">
              <w:rPr>
                <w:rFonts w:ascii="Times New Roman" w:hAnsi="Times New Roman" w:cs="Times New Roman"/>
              </w:rPr>
              <w:t>Conditional evidence; follow-up, retreatment, and durability determine clinical usefulness.</w:t>
            </w:r>
          </w:p>
        </w:tc>
      </w:tr>
      <w:tr w:rsidR="00CF0A7B" w:rsidRPr="00767883" w14:paraId="5A6F9FA2"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F69834A" w14:textId="77777777" w:rsidR="00CF0A7B" w:rsidRPr="00767883" w:rsidRDefault="00CF0A7B">
            <w:pPr>
              <w:rPr>
                <w:rFonts w:ascii="Times New Roman" w:hAnsi="Times New Roman" w:cs="Times New Roman"/>
              </w:rPr>
            </w:pPr>
            <w:r w:rsidRPr="00767883">
              <w:rPr>
                <w:rFonts w:ascii="Times New Roman" w:hAnsi="Times New Roman" w:cs="Times New Roman"/>
              </w:rPr>
              <w:t>Real-world outcomes and treatment burden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DDE77FC" w14:textId="77777777" w:rsidR="00CF0A7B" w:rsidRPr="00767883" w:rsidRDefault="00CF0A7B">
            <w:pPr>
              <w:rPr>
                <w:rFonts w:ascii="Times New Roman" w:hAnsi="Times New Roman" w:cs="Times New Roman"/>
              </w:rPr>
            </w:pPr>
            <w:r w:rsidRPr="00767883">
              <w:rPr>
                <w:rFonts w:ascii="Times New Roman" w:hAnsi="Times New Roman" w:cs="Times New Roman"/>
              </w:rPr>
              <w:t>Routine-practice outcomes, treat-and-extend regimens, injection frequency, monitoring intensity, and implementation constraints.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AADF10A" w14:textId="40DAC3C1" w:rsidR="00CF0A7B" w:rsidRPr="0032014D" w:rsidRDefault="0032014D" w:rsidP="0032014D">
            <w:pPr>
              <w:rPr>
                <w:rFonts w:ascii="Times New Roman" w:hAnsi="Times New Roman" w:cs="Times New Roman"/>
                <w:kern w:val="0"/>
                <w:lang w:val="es-ES"/>
                <w14:ligatures w14:val="none"/>
              </w:rPr>
            </w:pPr>
            <w:proofErr w:type="spellStart"/>
            <w:r w:rsidRPr="0032014D">
              <w:rPr>
                <w:rFonts w:ascii="Times New Roman" w:hAnsi="Times New Roman"/>
                <w:lang w:val="es-ES"/>
              </w:rPr>
              <w:t>Santhakumaran</w:t>
            </w:r>
            <w:proofErr w:type="spellEnd"/>
            <w:r w:rsidRPr="0032014D">
              <w:rPr>
                <w:rFonts w:ascii="Times New Roman" w:hAnsi="Times New Roman"/>
                <w:lang w:val="es-ES"/>
              </w:rPr>
              <w:t xml:space="preserve"> et al. 2022; Sarohia et al. 2022; Falcão 2020; Lim 2022; Mehta 2022; Bucolo 2018; Fallico 2021; </w:t>
            </w:r>
            <w:proofErr w:type="spellStart"/>
            <w:r w:rsidRPr="0032014D">
              <w:rPr>
                <w:rFonts w:ascii="Times New Roman" w:hAnsi="Times New Roman"/>
                <w:lang w:val="es-ES"/>
              </w:rPr>
              <w:t>Kodjikian</w:t>
            </w:r>
            <w:proofErr w:type="spellEnd"/>
            <w:r w:rsidRPr="0032014D">
              <w:rPr>
                <w:rFonts w:ascii="Times New Roman" w:hAnsi="Times New Roman"/>
                <w:lang w:val="es-ES"/>
              </w:rPr>
              <w:t xml:space="preserve"> 2021; Nasimi 2024; Friedman 2025.</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E04D517" w14:textId="6F291043" w:rsidR="00CF0A7B" w:rsidRPr="00767883" w:rsidRDefault="00000000" w:rsidP="00AE42B5">
            <w:pPr>
              <w:rPr>
                <w:rFonts w:ascii="Times New Roman" w:hAnsi="Times New Roman" w:cs="Times New Roman"/>
                <w:lang w:val="en-MX"/>
              </w:rPr>
            </w:pPr>
            <w:r w:rsidRPr="00767883">
              <w:rPr>
                <w:rFonts w:ascii="Times New Roman" w:hAnsi="Times New Roman" w:cs="Times New Roman"/>
              </w:rPr>
              <w:t>Supplementary evidence; informs external validity and implementation.</w:t>
            </w:r>
          </w:p>
        </w:tc>
      </w:tr>
      <w:tr w:rsidR="00CF0A7B" w:rsidRPr="00767883" w14:paraId="539EB63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74BE03F" w14:textId="77777777" w:rsidR="00CF0A7B" w:rsidRPr="00767883" w:rsidRDefault="00CF0A7B">
            <w:pPr>
              <w:rPr>
                <w:rFonts w:ascii="Times New Roman" w:hAnsi="Times New Roman" w:cs="Times New Roman"/>
              </w:rPr>
            </w:pPr>
            <w:r w:rsidRPr="00767883">
              <w:rPr>
                <w:rFonts w:ascii="Times New Roman" w:hAnsi="Times New Roman" w:cs="Times New Roman"/>
              </w:rPr>
              <w:t>Systemic and treatment-specific safety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4E694ED" w14:textId="77777777" w:rsidR="00CF0A7B" w:rsidRPr="00767883" w:rsidRDefault="00CF0A7B">
            <w:pPr>
              <w:rPr>
                <w:rFonts w:ascii="Times New Roman" w:hAnsi="Times New Roman" w:cs="Times New Roman"/>
              </w:rPr>
            </w:pPr>
            <w:r w:rsidRPr="00767883">
              <w:rPr>
                <w:rFonts w:ascii="Times New Roman" w:hAnsi="Times New Roman" w:cs="Times New Roman"/>
              </w:rPr>
              <w:t>Systemic vascular, renal, mortality, ocular steroid-related, inflammatory, and treatment-specific safety evidence.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CEBF8E1" w14:textId="77777777" w:rsidR="00CF0A7B" w:rsidRPr="00767883" w:rsidRDefault="00CF0A7B">
            <w:pPr>
              <w:rPr>
                <w:rFonts w:ascii="Times New Roman" w:hAnsi="Times New Roman" w:cs="Times New Roman"/>
              </w:rPr>
            </w:pPr>
            <w:r w:rsidRPr="00767883">
              <w:rPr>
                <w:rFonts w:ascii="Times New Roman" w:hAnsi="Times New Roman" w:cs="Times New Roman"/>
              </w:rPr>
              <w:t xml:space="preserve">Avery &amp; Gordon 2015; Yanagida 2014; Tsao 2023; Virgili 2023; Krishnan 2026; </w:t>
            </w:r>
            <w:proofErr w:type="spellStart"/>
            <w:r w:rsidRPr="00767883">
              <w:rPr>
                <w:rFonts w:ascii="Times New Roman" w:hAnsi="Times New Roman" w:cs="Times New Roman"/>
              </w:rPr>
              <w:t>Rittiphairoj</w:t>
            </w:r>
            <w:proofErr w:type="spellEnd"/>
            <w:r w:rsidRPr="00767883">
              <w:rPr>
                <w:rFonts w:ascii="Times New Roman" w:hAnsi="Times New Roman" w:cs="Times New Roman"/>
              </w:rPr>
              <w:t xml:space="preserve"> 2020; Ma et al. 2024; Grad 2025; Yang 2025; Zhou 2025; </w:t>
            </w:r>
            <w:proofErr w:type="spellStart"/>
            <w:r w:rsidRPr="00767883">
              <w:rPr>
                <w:rFonts w:ascii="Times New Roman" w:hAnsi="Times New Roman" w:cs="Times New Roman"/>
              </w:rPr>
              <w:t>Hatamnejad</w:t>
            </w:r>
            <w:proofErr w:type="spellEnd"/>
            <w:r w:rsidRPr="00767883">
              <w:rPr>
                <w:rFonts w:ascii="Times New Roman" w:hAnsi="Times New Roman" w:cs="Times New Roman"/>
              </w:rPr>
              <w:t xml:space="preserve"> 2024; Alali et al. 2025; Justino 2024; </w:t>
            </w:r>
            <w:proofErr w:type="spellStart"/>
            <w:r w:rsidRPr="00767883">
              <w:rPr>
                <w:rFonts w:ascii="Times New Roman" w:hAnsi="Times New Roman" w:cs="Times New Roman"/>
              </w:rPr>
              <w:t>Nichani</w:t>
            </w:r>
            <w:proofErr w:type="spellEnd"/>
            <w:r w:rsidRPr="00767883">
              <w:rPr>
                <w:rFonts w:ascii="Times New Roman" w:hAnsi="Times New Roman" w:cs="Times New Roman"/>
              </w:rPr>
              <w:t xml:space="preserve"> 2024.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3B78CBB" w14:textId="671AD504" w:rsidR="00CF0A7B" w:rsidRPr="00767883" w:rsidRDefault="00000000" w:rsidP="00690931">
            <w:pPr>
              <w:rPr>
                <w:rFonts w:ascii="Times New Roman" w:hAnsi="Times New Roman" w:cs="Times New Roman"/>
                <w:lang w:val="en-MX"/>
              </w:rPr>
            </w:pPr>
            <w:r w:rsidRPr="00767883">
              <w:rPr>
                <w:rFonts w:ascii="Times New Roman" w:hAnsi="Times New Roman" w:cs="Times New Roman"/>
              </w:rPr>
              <w:t>Supplementary evidence; informs safety interpretation because rare events and high-risk groups remain uncertain.</w:t>
            </w:r>
          </w:p>
        </w:tc>
      </w:tr>
    </w:tbl>
    <w:p w14:paraId="5323F61D" w14:textId="77777777" w:rsidR="00F64F84" w:rsidRDefault="00F64F84">
      <w:pPr>
        <w:spacing w:line="300" w:lineRule="atLeast"/>
        <w:rPr>
          <w:kern w:val="0"/>
          <w14:ligatures w14:val="none"/>
        </w:rPr>
      </w:pPr>
      <w:r>
        <w:rPr>
          <w:rFonts w:ascii="Times New Roman" w:hAnsi="Times New Roman"/>
          <w:color w:val="000000"/>
          <w:sz w:val="21"/>
          <w:szCs w:val="21"/>
        </w:rPr>
        <w:t xml:space="preserve">Source Study IDs in Table S3 were aligned against the review-level extraction list in </w:t>
      </w:r>
      <w:r>
        <w:rPr>
          <w:rFonts w:ascii="Times New Roman" w:hAnsi="Times New Roman"/>
          <w:i/>
          <w:iCs/>
          <w:color w:val="000000"/>
          <w:sz w:val="21"/>
          <w:szCs w:val="21"/>
        </w:rPr>
        <w:t>Supplementary_Data_File_2_Review_Extraction.xlsx</w:t>
      </w:r>
      <w:r>
        <w:rPr>
          <w:rFonts w:ascii="Times New Roman" w:hAnsi="Times New Roman"/>
          <w:color w:val="000000"/>
          <w:sz w:val="21"/>
          <w:szCs w:val="21"/>
        </w:rPr>
        <w:t xml:space="preserve">. PDS contextual material, including ClinicalTrials.gov trial-registry records, was retained only as contextual sustained-delivery background, </w:t>
      </w:r>
      <w:r>
        <w:rPr>
          <w:rFonts w:ascii="Times New Roman" w:hAnsi="Times New Roman"/>
          <w:color w:val="000000"/>
          <w:sz w:val="21"/>
          <w:szCs w:val="21"/>
        </w:rPr>
        <w:lastRenderedPageBreak/>
        <w:t>was not assigned an umbrella-review evidence category, and did not contribute to AMSTAR 2 ratings, CCA/wCCA calculations, evidence-category assignment, or the 50-review hierarchy.</w:t>
      </w:r>
    </w:p>
    <w:p w14:paraId="47994628" w14:textId="7D57A7CF"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5E255428"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S4. Evidence-weighting and overlap-handling summary</w:t>
      </w:r>
    </w:p>
    <w:tbl>
      <w:tblPr>
        <w:tblStyle w:val="TableGrid"/>
        <w:tblW w:w="5000" w:type="pct"/>
        <w:tblLook w:val="04A0" w:firstRow="1" w:lastRow="0" w:firstColumn="1" w:lastColumn="0" w:noHBand="0" w:noVBand="1"/>
      </w:tblPr>
      <w:tblGrid>
        <w:gridCol w:w="1388"/>
        <w:gridCol w:w="1487"/>
        <w:gridCol w:w="6112"/>
      </w:tblGrid>
      <w:tr w:rsidR="00CF0A7B" w:rsidRPr="00767883" w14:paraId="79972FEB"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4F9A0DE6" w14:textId="77777777" w:rsidR="00CF0A7B" w:rsidRPr="00767883" w:rsidRDefault="00CF0A7B">
            <w:pPr>
              <w:jc w:val="center"/>
              <w:rPr>
                <w:rFonts w:ascii="Times New Roman" w:hAnsi="Times New Roman" w:cs="Times New Roman"/>
                <w:kern w:val="0"/>
                <w14:ligatures w14:val="none"/>
              </w:rPr>
            </w:pPr>
            <w:r w:rsidRPr="00767883">
              <w:rPr>
                <w:rFonts w:ascii="Times New Roman" w:hAnsi="Times New Roman" w:cs="Times New Roman"/>
                <w:b/>
                <w:bCs/>
                <w:color w:val="000000"/>
                <w:sz w:val="24"/>
                <w:szCs w:val="24"/>
              </w:rPr>
              <w:t>Principle</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64140466"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How it was applied</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6EF9A0B5"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Source Study IDs / audit files</w:t>
            </w:r>
          </w:p>
        </w:tc>
      </w:tr>
      <w:tr w:rsidR="00CF0A7B" w:rsidRPr="00767883" w14:paraId="17C9C9D9"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816476D" w14:textId="7466C719" w:rsidR="00CF0A7B" w:rsidRPr="000B329A" w:rsidRDefault="000B329A" w:rsidP="000B329A">
            <w:pPr>
              <w:rPr>
                <w:rFonts w:ascii="Times New Roman" w:hAnsi="Times New Roman" w:cs="Times New Roman"/>
                <w:kern w:val="0"/>
                <w14:ligatures w14:val="none"/>
              </w:rPr>
            </w:pPr>
            <w:r>
              <w:rPr>
                <w:rFonts w:ascii="Times New Roman" w:hAnsi="Times New Roman"/>
              </w:rPr>
              <w:t>Define evidence domains first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9BF0095" w14:textId="77777777" w:rsidR="00CF0A7B" w:rsidRPr="00767883" w:rsidRDefault="00CF0A7B">
            <w:pPr>
              <w:rPr>
                <w:rFonts w:ascii="Times New Roman" w:hAnsi="Times New Roman" w:cs="Times New Roman"/>
              </w:rPr>
            </w:pPr>
            <w:r w:rsidRPr="00767883">
              <w:rPr>
                <w:rFonts w:ascii="Times New Roman" w:hAnsi="Times New Roman" w:cs="Times New Roman"/>
              </w:rPr>
              <w:t>Reviews were grouped by population, intervention, comparator, outcome, and follow-up window before synthesis.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F8621C1" w14:textId="77777777" w:rsidR="00CF0A7B" w:rsidRPr="00767883" w:rsidRDefault="00CF0A7B">
            <w:pPr>
              <w:rPr>
                <w:rFonts w:ascii="Times New Roman" w:hAnsi="Times New Roman" w:cs="Times New Roman"/>
              </w:rPr>
            </w:pPr>
            <w:r w:rsidRPr="00767883">
              <w:rPr>
                <w:rFonts w:ascii="Times New Roman" w:hAnsi="Times New Roman" w:cs="Times New Roman"/>
              </w:rPr>
              <w:t>All 50 included review-level Study IDs; Supplementary_Data_File_7_Evidence_Domain_Coding_Rules.xlsx.</w:t>
            </w:r>
          </w:p>
        </w:tc>
      </w:tr>
      <w:tr w:rsidR="00CF0A7B" w:rsidRPr="00767883" w14:paraId="53CA09D9"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351506A" w14:textId="77777777" w:rsidR="00CF0A7B" w:rsidRPr="00767883" w:rsidRDefault="00CF0A7B">
            <w:pPr>
              <w:rPr>
                <w:rFonts w:ascii="Times New Roman" w:hAnsi="Times New Roman" w:cs="Times New Roman"/>
              </w:rPr>
            </w:pPr>
            <w:r w:rsidRPr="00767883">
              <w:rPr>
                <w:rFonts w:ascii="Times New Roman" w:hAnsi="Times New Roman" w:cs="Times New Roman"/>
              </w:rPr>
              <w:t>Prioritize credible primary interpretive reviews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186D064" w14:textId="77777777" w:rsidR="00CF0A7B" w:rsidRPr="00767883" w:rsidRDefault="00CF0A7B">
            <w:pPr>
              <w:rPr>
                <w:rFonts w:ascii="Times New Roman" w:hAnsi="Times New Roman" w:cs="Times New Roman"/>
              </w:rPr>
            </w:pPr>
            <w:r w:rsidRPr="00767883">
              <w:rPr>
                <w:rFonts w:ascii="Times New Roman" w:hAnsi="Times New Roman" w:cs="Times New Roman"/>
              </w:rPr>
              <w:t>Primary interpretive review selection favored higher AMSTAR 2 confidence, directness, breadth, recency, and nonredundancy.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BF57D05" w14:textId="77777777" w:rsidR="00CF0A7B" w:rsidRPr="00767883" w:rsidRDefault="00CF0A7B">
            <w:pPr>
              <w:rPr>
                <w:rFonts w:ascii="Times New Roman" w:hAnsi="Times New Roman" w:cs="Times New Roman"/>
              </w:rPr>
            </w:pPr>
            <w:r w:rsidRPr="00767883">
              <w:rPr>
                <w:rFonts w:ascii="Times New Roman" w:hAnsi="Times New Roman" w:cs="Times New Roman"/>
              </w:rPr>
              <w:t xml:space="preserve">Virgili 2023; </w:t>
            </w:r>
            <w:proofErr w:type="spellStart"/>
            <w:r w:rsidRPr="00767883">
              <w:rPr>
                <w:rFonts w:ascii="Times New Roman" w:hAnsi="Times New Roman" w:cs="Times New Roman"/>
              </w:rPr>
              <w:t>Rittiphairoj</w:t>
            </w:r>
            <w:proofErr w:type="spellEnd"/>
            <w:r w:rsidRPr="00767883">
              <w:rPr>
                <w:rFonts w:ascii="Times New Roman" w:hAnsi="Times New Roman" w:cs="Times New Roman"/>
              </w:rPr>
              <w:t xml:space="preserve"> 2020; Simmonds 2025; Kataoka 2023; selected moderate-confidence reviews listed in Tables S3, S7, and S8.</w:t>
            </w:r>
          </w:p>
        </w:tc>
      </w:tr>
      <w:tr w:rsidR="00CF0A7B" w:rsidRPr="00767883" w14:paraId="34A2D547"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8E8AC4B" w14:textId="77777777" w:rsidR="00CF0A7B" w:rsidRPr="00767883" w:rsidRDefault="00CF0A7B">
            <w:pPr>
              <w:rPr>
                <w:rFonts w:ascii="Times New Roman" w:hAnsi="Times New Roman" w:cs="Times New Roman"/>
              </w:rPr>
            </w:pPr>
            <w:r w:rsidRPr="00767883">
              <w:rPr>
                <w:rFonts w:ascii="Times New Roman" w:hAnsi="Times New Roman" w:cs="Times New Roman"/>
              </w:rPr>
              <w:t>Account for overlap</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1266048" w14:textId="77777777" w:rsidR="00CF0A7B" w:rsidRPr="00767883" w:rsidRDefault="00CF0A7B">
            <w:pPr>
              <w:rPr>
                <w:rFonts w:ascii="Times New Roman" w:hAnsi="Times New Roman" w:cs="Times New Roman"/>
              </w:rPr>
            </w:pPr>
            <w:r w:rsidRPr="00767883">
              <w:rPr>
                <w:rFonts w:ascii="Times New Roman" w:hAnsi="Times New Roman" w:cs="Times New Roman"/>
              </w:rPr>
              <w:t>CCA and evidence-cluster mapping limited duplicate evidentiary weight from repeated trial programs.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8489C5A" w14:textId="77777777" w:rsidR="00CF0A7B" w:rsidRPr="00767883" w:rsidRDefault="00CF0A7B">
            <w:pPr>
              <w:rPr>
                <w:rFonts w:ascii="Times New Roman" w:hAnsi="Times New Roman" w:cs="Times New Roman"/>
              </w:rPr>
            </w:pPr>
            <w:r w:rsidRPr="00767883">
              <w:rPr>
                <w:rFonts w:ascii="Times New Roman" w:hAnsi="Times New Roman" w:cs="Times New Roman"/>
              </w:rPr>
              <w:t>All Study IDs contributing to cluster mappings in Supplementary_Data_File_5_Primary_Study_Overlap_Matrix.xlsx.</w:t>
            </w:r>
          </w:p>
        </w:tc>
      </w:tr>
      <w:tr w:rsidR="00CF0A7B" w:rsidRPr="00767883" w14:paraId="79925CAB"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5DCE18D" w14:textId="71F813F2" w:rsidR="00CF0A7B" w:rsidRPr="000B329A" w:rsidRDefault="000B329A" w:rsidP="000B329A">
            <w:pPr>
              <w:rPr>
                <w:rFonts w:ascii="Times New Roman" w:hAnsi="Times New Roman" w:cs="Times New Roman"/>
                <w:kern w:val="0"/>
                <w14:ligatures w14:val="none"/>
              </w:rPr>
            </w:pPr>
            <w:r>
              <w:rPr>
                <w:rFonts w:ascii="Times New Roman" w:hAnsi="Times New Roman"/>
              </w:rPr>
              <w:t>Use domain-specific CCA as the operative overlap measure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5C5D97A" w14:textId="0980E3A8" w:rsidR="00CF0A7B" w:rsidRPr="000B329A" w:rsidRDefault="000B329A" w:rsidP="000B329A">
            <w:pPr>
              <w:rPr>
                <w:rFonts w:ascii="Times New Roman" w:hAnsi="Times New Roman" w:cs="Times New Roman"/>
                <w:kern w:val="0"/>
                <w14:ligatures w14:val="none"/>
              </w:rPr>
            </w:pPr>
            <w:r>
              <w:rPr>
                <w:rFonts w:ascii="Times New Roman" w:hAnsi="Times New Roman"/>
              </w:rPr>
              <w:t xml:space="preserve">Domain-specific CCA was the operative overlap measure within clinically relevant evidence </w:t>
            </w:r>
            <w:r>
              <w:rPr>
                <w:rFonts w:ascii="Times New Roman" w:hAnsi="Times New Roman"/>
              </w:rPr>
              <w:lastRenderedPageBreak/>
              <w:t>domains. The global CCA was descriptive only.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23515CD" w14:textId="77777777" w:rsidR="00CF0A7B" w:rsidRPr="00767883" w:rsidRDefault="00CF0A7B">
            <w:pPr>
              <w:rPr>
                <w:rFonts w:ascii="Times New Roman" w:hAnsi="Times New Roman" w:cs="Times New Roman"/>
              </w:rPr>
            </w:pPr>
            <w:r w:rsidRPr="00767883">
              <w:rPr>
                <w:rFonts w:ascii="Times New Roman" w:hAnsi="Times New Roman" w:cs="Times New Roman"/>
              </w:rPr>
              <w:lastRenderedPageBreak/>
              <w:t>Domain Study IDs listed in Tables S5, S7, S10, and S11.</w:t>
            </w:r>
          </w:p>
        </w:tc>
      </w:tr>
      <w:tr w:rsidR="00CF0A7B" w:rsidRPr="00767883" w14:paraId="01BB60A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EFA0E6B" w14:textId="3F53C896" w:rsidR="00CF0A7B" w:rsidRPr="000B329A" w:rsidRDefault="000B329A" w:rsidP="000B329A">
            <w:pPr>
              <w:rPr>
                <w:rFonts w:ascii="Times New Roman" w:hAnsi="Times New Roman" w:cs="Times New Roman"/>
                <w:kern w:val="0"/>
                <w14:ligatures w14:val="none"/>
              </w:rPr>
            </w:pPr>
            <w:r>
              <w:rPr>
                <w:rFonts w:ascii="Times New Roman" w:hAnsi="Times New Roman"/>
              </w:rPr>
              <w:t>Use wCCA only as an exploratory supplementary sensitivity analysis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A081A47" w14:textId="77777777" w:rsidR="00CF0A7B" w:rsidRPr="00767883" w:rsidRDefault="00CF0A7B">
            <w:pPr>
              <w:rPr>
                <w:rFonts w:ascii="Times New Roman" w:hAnsi="Times New Roman" w:cs="Times New Roman"/>
              </w:rPr>
            </w:pPr>
            <w:r w:rsidRPr="00767883">
              <w:rPr>
                <w:rFonts w:ascii="Times New Roman" w:hAnsi="Times New Roman" w:cs="Times New Roman"/>
              </w:rPr>
              <w:t>wCCA was interpreted only as an exploratory supplementary sensitivity analysis.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3E4F5EE" w14:textId="77777777" w:rsidR="00CF0A7B" w:rsidRPr="00767883" w:rsidRDefault="00CF0A7B">
            <w:pPr>
              <w:rPr>
                <w:rFonts w:ascii="Times New Roman" w:hAnsi="Times New Roman" w:cs="Times New Roman"/>
              </w:rPr>
            </w:pPr>
            <w:r w:rsidRPr="00767883">
              <w:rPr>
                <w:rFonts w:ascii="Times New Roman" w:hAnsi="Times New Roman" w:cs="Times New Roman"/>
              </w:rPr>
              <w:t>Supplementary_Data_File_6_CCA_wCCA_Calculations.xlsx; AMSTAR 2 Study IDs in Supplementary_Data_File_3_AMSTAR2_Item_Level_Ratings.xlsx.</w:t>
            </w:r>
          </w:p>
        </w:tc>
      </w:tr>
      <w:tr w:rsidR="00CF0A7B" w:rsidRPr="00767883" w14:paraId="5F64D68E"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C780BE3" w14:textId="458F5E1E" w:rsidR="00CF0A7B" w:rsidRPr="000B329A" w:rsidRDefault="000B329A" w:rsidP="000B329A">
            <w:pPr>
              <w:rPr>
                <w:rFonts w:ascii="Times New Roman" w:hAnsi="Times New Roman" w:cs="Times New Roman"/>
                <w:kern w:val="0"/>
                <w14:ligatures w14:val="none"/>
              </w:rPr>
            </w:pPr>
            <w:r>
              <w:rPr>
                <w:rFonts w:ascii="Times New Roman" w:hAnsi="Times New Roman"/>
              </w:rPr>
              <w:t>Avoid unsupported de novo meta-analysis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46CCACC" w14:textId="0D6C94DA" w:rsidR="00CF0A7B" w:rsidRPr="000B329A" w:rsidRDefault="000B329A" w:rsidP="000B329A">
            <w:pPr>
              <w:rPr>
                <w:rFonts w:ascii="Times New Roman" w:hAnsi="Times New Roman" w:cs="Times New Roman"/>
                <w:kern w:val="0"/>
                <w14:ligatures w14:val="none"/>
              </w:rPr>
            </w:pPr>
            <w:proofErr w:type="gramStart"/>
            <w:r>
              <w:rPr>
                <w:rFonts w:ascii="Times New Roman" w:hAnsi="Times New Roman"/>
              </w:rPr>
              <w:t>No</w:t>
            </w:r>
            <w:proofErr w:type="gramEnd"/>
            <w:r>
              <w:rPr>
                <w:rFonts w:ascii="Times New Roman" w:hAnsi="Times New Roman"/>
              </w:rPr>
              <w:t xml:space="preserve"> de novo meta-analysis was performed when CCA was ≥10%, when major trial programs or evidence domains reused the same evidence, or when designs or outcomes limited independent pooling.</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CACE1F3" w14:textId="77777777" w:rsidR="00CF0A7B" w:rsidRPr="00767883" w:rsidRDefault="00CF0A7B">
            <w:pPr>
              <w:rPr>
                <w:rFonts w:ascii="Times New Roman" w:hAnsi="Times New Roman" w:cs="Times New Roman"/>
              </w:rPr>
            </w:pPr>
            <w:r w:rsidRPr="00767883">
              <w:rPr>
                <w:rFonts w:ascii="Times New Roman" w:hAnsi="Times New Roman" w:cs="Times New Roman"/>
              </w:rPr>
              <w:t>Domains and Study IDs in Table S11.</w:t>
            </w:r>
          </w:p>
        </w:tc>
      </w:tr>
      <w:tr w:rsidR="00CF0A7B" w:rsidRPr="00767883" w14:paraId="731F7099"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A87F707" w14:textId="77777777" w:rsidR="00CF0A7B" w:rsidRPr="00767883" w:rsidRDefault="00CF0A7B">
            <w:pPr>
              <w:rPr>
                <w:rFonts w:ascii="Times New Roman" w:hAnsi="Times New Roman" w:cs="Times New Roman"/>
              </w:rPr>
            </w:pPr>
            <w:r w:rsidRPr="00767883">
              <w:rPr>
                <w:rFonts w:ascii="Times New Roman" w:hAnsi="Times New Roman" w:cs="Times New Roman"/>
              </w:rPr>
              <w:t>Separate evidence from sequencing</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D1CA189" w14:textId="77777777" w:rsidR="00CF0A7B" w:rsidRPr="00767883" w:rsidRDefault="00CF0A7B">
            <w:pPr>
              <w:rPr>
                <w:rFonts w:ascii="Times New Roman" w:hAnsi="Times New Roman" w:cs="Times New Roman"/>
              </w:rPr>
            </w:pPr>
            <w:r w:rsidRPr="00767883">
              <w:rPr>
                <w:rFonts w:ascii="Times New Roman" w:hAnsi="Times New Roman" w:cs="Times New Roman"/>
              </w:rPr>
              <w:t>Conclusion-level categories describe strength of support within an evidence-weighting framework and do not prescribe treatment sequence.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E6DBE04" w14:textId="77777777" w:rsidR="00CF0A7B" w:rsidRPr="00767883" w:rsidRDefault="00CF0A7B">
            <w:pPr>
              <w:rPr>
                <w:rFonts w:ascii="Times New Roman" w:hAnsi="Times New Roman" w:cs="Times New Roman"/>
              </w:rPr>
            </w:pPr>
            <w:r w:rsidRPr="00767883">
              <w:rPr>
                <w:rFonts w:ascii="Times New Roman" w:hAnsi="Times New Roman" w:cs="Times New Roman"/>
              </w:rPr>
              <w:t>Tables S3, S5, S7, S8, S9, S10, and S11.</w:t>
            </w:r>
          </w:p>
        </w:tc>
      </w:tr>
    </w:tbl>
    <w:p w14:paraId="46F6EA6D" w14:textId="77777777" w:rsidR="00767883" w:rsidRPr="00767883" w:rsidRDefault="00767883">
      <w:pPr>
        <w:spacing w:line="300" w:lineRule="atLeast"/>
        <w:rPr>
          <w:rFonts w:ascii="Times New Roman" w:hAnsi="Times New Roman" w:cs="Times New Roman"/>
          <w:kern w:val="0"/>
          <w14:ligatures w14:val="none"/>
        </w:rPr>
      </w:pPr>
      <w:r w:rsidRPr="00767883">
        <w:rPr>
          <w:rFonts w:ascii="Times New Roman" w:hAnsi="Times New Roman" w:cs="Times New Roman"/>
          <w:b/>
          <w:bCs/>
          <w:color w:val="000000"/>
          <w:sz w:val="21"/>
          <w:szCs w:val="21"/>
        </w:rPr>
        <w:t>Evidence-category note:</w:t>
      </w:r>
      <w:r w:rsidRPr="00767883">
        <w:rPr>
          <w:rFonts w:ascii="Times New Roman" w:hAnsi="Times New Roman" w:cs="Times New Roman"/>
          <w:color w:val="000000"/>
          <w:sz w:val="21"/>
          <w:szCs w:val="21"/>
        </w:rPr>
        <w:t> The evidence categories used in this review are operational conclusion-level categories for an umbrella review. They are GRADE-informed but are not formal GRADE ratings.</w:t>
      </w:r>
    </w:p>
    <w:p w14:paraId="3F6D9C7D" w14:textId="77777777" w:rsidR="00F15885" w:rsidRDefault="00F15885">
      <w:pPr>
        <w:rPr>
          <w:kern w:val="0"/>
          <w14:ligatures w14:val="none"/>
        </w:rPr>
      </w:pPr>
      <w:r>
        <w:rPr>
          <w:rFonts w:ascii="Times New Roman" w:hAnsi="Times New Roman"/>
          <w:b/>
          <w:bCs/>
          <w:color w:val="000000"/>
          <w:sz w:val="36"/>
          <w:szCs w:val="36"/>
        </w:rPr>
        <w:t>Table S4A. Reproducible decision matrix for evidence-category assignment</w:t>
      </w:r>
    </w:p>
    <w:tbl>
      <w:tblPr>
        <w:tblStyle w:val="TableGrid"/>
        <w:tblW w:w="5000" w:type="pct"/>
        <w:tblLook w:val="04A0" w:firstRow="1" w:lastRow="0" w:firstColumn="1" w:lastColumn="0" w:noHBand="0" w:noVBand="1"/>
      </w:tblPr>
      <w:tblGrid>
        <w:gridCol w:w="1682"/>
        <w:gridCol w:w="3530"/>
        <w:gridCol w:w="2217"/>
        <w:gridCol w:w="1558"/>
      </w:tblGrid>
      <w:tr w:rsidR="00F15885" w14:paraId="60A7D213" w14:textId="77777777">
        <w:trPr>
          <w:cnfStyle w:val="100000000000" w:firstRow="1" w:lastRow="0" w:firstColumn="0" w:lastColumn="0" w:oddVBand="0" w:evenVBand="0" w:oddHBand="0" w:evenHBand="0" w:firstRowFirstColumn="0" w:firstRowLastColumn="0" w:lastRowFirstColumn="0" w:lastRowLastColumn="0"/>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63D14869" w14:textId="77777777" w:rsidR="00F15885" w:rsidRDefault="00F15885">
            <w:pPr>
              <w:jc w:val="center"/>
              <w:rPr>
                <w:kern w:val="0"/>
                <w14:ligatures w14:val="none"/>
              </w:rPr>
            </w:pPr>
            <w:r>
              <w:rPr>
                <w:b/>
                <w:bCs/>
                <w:color w:val="000000"/>
              </w:rPr>
              <w:lastRenderedPageBreak/>
              <w:t>Evidence category</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6ED3BE48" w14:textId="77777777" w:rsidR="00F15885" w:rsidRDefault="00F15885">
            <w:pPr>
              <w:jc w:val="center"/>
            </w:pPr>
            <w:r>
              <w:rPr>
                <w:b/>
                <w:bCs/>
                <w:color w:val="000000"/>
              </w:rPr>
              <w:t>Required yes criteria</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4C37BDB3" w14:textId="77777777" w:rsidR="00F15885" w:rsidRDefault="00F15885">
            <w:pPr>
              <w:jc w:val="center"/>
            </w:pPr>
            <w:r>
              <w:rPr>
                <w:b/>
                <w:bCs/>
                <w:color w:val="000000"/>
              </w:rPr>
              <w:t>Required no criteria</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1756B73" w14:textId="77777777" w:rsidR="00F15885" w:rsidRDefault="00F15885">
            <w:pPr>
              <w:jc w:val="center"/>
            </w:pPr>
            <w:r>
              <w:rPr>
                <w:b/>
                <w:bCs/>
                <w:color w:val="000000"/>
              </w:rPr>
              <w:t>Reviewer rule</w:t>
            </w:r>
          </w:p>
        </w:tc>
      </w:tr>
      <w:tr w:rsidR="00F15885" w14:paraId="31BAF769" w14:textId="77777777">
        <w:tc>
          <w:tcPr>
            <w:tcW w:w="0" w:type="auto"/>
            <w:hideMark/>
          </w:tcPr>
          <w:p w14:paraId="2132FEB1" w14:textId="77777777" w:rsidR="00F15885" w:rsidRDefault="00F15885">
            <w:pPr>
              <w:spacing w:after="160"/>
            </w:pPr>
            <w:r>
              <w:t>Primary review-level evidence anchor</w:t>
            </w:r>
          </w:p>
        </w:tc>
        <w:tc>
          <w:tcPr>
            <w:tcW w:w="0" w:type="auto"/>
            <w:hideMark/>
          </w:tcPr>
          <w:p w14:paraId="3C619355" w14:textId="77777777" w:rsidR="00F15885" w:rsidRDefault="00F15885">
            <w:pPr>
              <w:spacing w:after="160"/>
            </w:pPr>
            <w:r>
              <w:t>At least one high- or moderate-confidence primary interpretive review; clinically direct population/intervention/outcome; consistent direction of effect; clinically important visual or disease-control relevance; overlap acknowledged and not interpreted as independent corroboration.</w:t>
            </w:r>
          </w:p>
        </w:tc>
        <w:tc>
          <w:tcPr>
            <w:tcW w:w="0" w:type="auto"/>
            <w:hideMark/>
          </w:tcPr>
          <w:p w14:paraId="065E0537" w14:textId="77777777" w:rsidR="00F15885" w:rsidRDefault="00F15885">
            <w:pPr>
              <w:spacing w:after="160"/>
            </w:pPr>
            <w:r>
              <w:t>No unresolved major inconsistency, no reliance on low/critically low reviews as anchors, no decisive indirectness, and no safety signal that reverses interpretation.</w:t>
            </w:r>
          </w:p>
        </w:tc>
        <w:tc>
          <w:tcPr>
            <w:tcW w:w="0" w:type="auto"/>
            <w:hideMark/>
          </w:tcPr>
          <w:p w14:paraId="5FFAC095" w14:textId="77777777" w:rsidR="00F15885" w:rsidRDefault="00F15885">
            <w:pPr>
              <w:spacing w:after="160"/>
            </w:pPr>
            <w:r>
              <w:t>Assigned only when both reviewers agreed that the domain met all required elements or when adjudication confirmed them.</w:t>
            </w:r>
          </w:p>
        </w:tc>
      </w:tr>
      <w:tr w:rsidR="00F15885" w14:paraId="7557BBB3" w14:textId="77777777">
        <w:tc>
          <w:tcPr>
            <w:tcW w:w="0" w:type="auto"/>
            <w:hideMark/>
          </w:tcPr>
          <w:p w14:paraId="6CB24478" w14:textId="77777777" w:rsidR="00F15885" w:rsidRDefault="00F15885">
            <w:pPr>
              <w:spacing w:after="160"/>
            </w:pPr>
            <w:r>
              <w:t>Conditional evidence</w:t>
            </w:r>
          </w:p>
        </w:tc>
        <w:tc>
          <w:tcPr>
            <w:tcW w:w="0" w:type="auto"/>
            <w:hideMark/>
          </w:tcPr>
          <w:p w14:paraId="0DF99AD2" w14:textId="77777777" w:rsidR="00F15885" w:rsidRDefault="00F15885">
            <w:pPr>
              <w:spacing w:after="160"/>
            </w:pPr>
            <w:r>
              <w:t>At least one high- or moderate-confidence or clinically direct review supports the domain; effect direction is plausible or consistent for selected contexts; patient phenotype, monitoring, safety, durability, or feasibility modifiers are necessary for interpretation.</w:t>
            </w:r>
          </w:p>
        </w:tc>
        <w:tc>
          <w:tcPr>
            <w:tcW w:w="0" w:type="auto"/>
            <w:hideMark/>
          </w:tcPr>
          <w:p w14:paraId="3BB51B11" w14:textId="77777777" w:rsidR="00F15885" w:rsidRDefault="00F15885">
            <w:pPr>
              <w:spacing w:after="160"/>
            </w:pPr>
            <w:r>
              <w:t>No claim of universal superiority; no category upgrade based on low-confidence reviews; no pooling when overlap or heterogeneity limits independence.</w:t>
            </w:r>
          </w:p>
        </w:tc>
        <w:tc>
          <w:tcPr>
            <w:tcW w:w="0" w:type="auto"/>
            <w:hideMark/>
          </w:tcPr>
          <w:p w14:paraId="2DDC3E88" w14:textId="77777777" w:rsidR="00F15885" w:rsidRDefault="00F15885">
            <w:pPr>
              <w:spacing w:after="160"/>
            </w:pPr>
            <w:r>
              <w:t>Assigned when both reviewers agreed that evidence supported selected-context interpretation rather than broad practice-level certainty.</w:t>
            </w:r>
          </w:p>
        </w:tc>
      </w:tr>
      <w:tr w:rsidR="00F15885" w14:paraId="5BC6C953" w14:textId="77777777">
        <w:tc>
          <w:tcPr>
            <w:tcW w:w="0" w:type="auto"/>
            <w:hideMark/>
          </w:tcPr>
          <w:p w14:paraId="41C8A921" w14:textId="77777777" w:rsidR="00F15885" w:rsidRDefault="00F15885">
            <w:pPr>
              <w:spacing w:after="160"/>
            </w:pPr>
            <w:r>
              <w:t>Hypothesis-generating evidence</w:t>
            </w:r>
          </w:p>
        </w:tc>
        <w:tc>
          <w:tcPr>
            <w:tcW w:w="0" w:type="auto"/>
            <w:hideMark/>
          </w:tcPr>
          <w:p w14:paraId="4A0D2E6E" w14:textId="77777777" w:rsidR="00F15885" w:rsidRDefault="00F15885">
            <w:pPr>
              <w:spacing w:after="160"/>
            </w:pPr>
            <w:r>
              <w:t>Signal was biologically or clinically plausible and supported by review-level evidence, but interpretation was limited by heterogeneity, inconsistent visual benefit, indirectness, safety burden, or very high overlap.</w:t>
            </w:r>
          </w:p>
        </w:tc>
        <w:tc>
          <w:tcPr>
            <w:tcW w:w="0" w:type="auto"/>
            <w:hideMark/>
          </w:tcPr>
          <w:p w14:paraId="76BB0AD3" w14:textId="77777777" w:rsidR="00F15885" w:rsidRDefault="00F15885">
            <w:pPr>
              <w:spacing w:after="160"/>
            </w:pPr>
            <w:r>
              <w:t>No use as routine escalation evidence; no upgrade from low-confidence reviews; no primary conclusion based only on contextual or critically low evidence.</w:t>
            </w:r>
          </w:p>
        </w:tc>
        <w:tc>
          <w:tcPr>
            <w:tcW w:w="0" w:type="auto"/>
            <w:hideMark/>
          </w:tcPr>
          <w:p w14:paraId="009B2AD4" w14:textId="77777777" w:rsidR="00F15885" w:rsidRDefault="00F15885">
            <w:pPr>
              <w:spacing w:after="160"/>
            </w:pPr>
            <w:r>
              <w:t>Assigned when reviewers agreed that the evidence suggested a possible direction but was insufficient for conditional clinical inference.</w:t>
            </w:r>
          </w:p>
        </w:tc>
      </w:tr>
      <w:tr w:rsidR="00F15885" w14:paraId="7CA2DDA6" w14:textId="77777777">
        <w:tc>
          <w:tcPr>
            <w:tcW w:w="0" w:type="auto"/>
            <w:hideMark/>
          </w:tcPr>
          <w:p w14:paraId="74266BD6" w14:textId="77777777" w:rsidR="00F15885" w:rsidRDefault="00F15885">
            <w:pPr>
              <w:spacing w:after="160"/>
            </w:pPr>
            <w:r>
              <w:t>Supplementary evidence</w:t>
            </w:r>
          </w:p>
        </w:tc>
        <w:tc>
          <w:tcPr>
            <w:tcW w:w="0" w:type="auto"/>
            <w:hideMark/>
          </w:tcPr>
          <w:p w14:paraId="0103F19F" w14:textId="77777777" w:rsidR="00F15885" w:rsidRDefault="00F15885">
            <w:pPr>
              <w:spacing w:after="160"/>
            </w:pPr>
            <w:r>
              <w:t>Domain added safety, real-world, burden, durability, implementation, subgroup, or contextual information relevant to interpreting stronger domains.</w:t>
            </w:r>
          </w:p>
        </w:tc>
        <w:tc>
          <w:tcPr>
            <w:tcW w:w="0" w:type="auto"/>
            <w:hideMark/>
          </w:tcPr>
          <w:p w14:paraId="0F59246D" w14:textId="77777777" w:rsidR="00F15885" w:rsidRDefault="00F15885">
            <w:pPr>
              <w:spacing w:after="160"/>
            </w:pPr>
            <w:r>
              <w:t>No independent category upgrade; no treatment-sequence conclusion; no replacement of primary interpretive evidence.</w:t>
            </w:r>
          </w:p>
        </w:tc>
        <w:tc>
          <w:tcPr>
            <w:tcW w:w="0" w:type="auto"/>
            <w:hideMark/>
          </w:tcPr>
          <w:p w14:paraId="69D71DE6" w14:textId="77777777" w:rsidR="00F15885" w:rsidRDefault="00F15885">
            <w:pPr>
              <w:spacing w:after="160"/>
            </w:pPr>
            <w:r>
              <w:t xml:space="preserve">Assigned when reviewers agreed that the material informed interpretation without </w:t>
            </w:r>
            <w:r>
              <w:lastRenderedPageBreak/>
              <w:t>carrying primary category weight.</w:t>
            </w:r>
          </w:p>
        </w:tc>
      </w:tr>
      <w:tr w:rsidR="00F15885" w14:paraId="3ED91AA0" w14:textId="77777777">
        <w:tc>
          <w:tcPr>
            <w:tcW w:w="0" w:type="auto"/>
            <w:hideMark/>
          </w:tcPr>
          <w:p w14:paraId="0F1E30C7" w14:textId="77777777" w:rsidR="00F15885" w:rsidRDefault="00F15885">
            <w:pPr>
              <w:spacing w:after="160"/>
            </w:pPr>
            <w:r>
              <w:lastRenderedPageBreak/>
              <w:t>Context only / not classified</w:t>
            </w:r>
          </w:p>
        </w:tc>
        <w:tc>
          <w:tcPr>
            <w:tcW w:w="0" w:type="auto"/>
            <w:hideMark/>
          </w:tcPr>
          <w:p w14:paraId="1442055B" w14:textId="77777777" w:rsidR="00F15885" w:rsidRDefault="00F15885">
            <w:pPr>
              <w:spacing w:after="160"/>
            </w:pPr>
            <w:r>
              <w:t>Material was primary evidence, trial-registry evidence, PDS contextual material, critically low-confidence review evidence, or otherwise outside the eligible hierarchy.</w:t>
            </w:r>
          </w:p>
        </w:tc>
        <w:tc>
          <w:tcPr>
            <w:tcW w:w="0" w:type="auto"/>
            <w:hideMark/>
          </w:tcPr>
          <w:p w14:paraId="43D43D57" w14:textId="77777777" w:rsidR="00F15885" w:rsidRDefault="00F15885">
            <w:pPr>
              <w:spacing w:after="160"/>
            </w:pPr>
            <w:r>
              <w:t>No contribution to AMSTAR 2 hierarchy, CCA/wCCA category decisions, category upgrade/downgrade, or primary interpretive conclusions.</w:t>
            </w:r>
          </w:p>
        </w:tc>
        <w:tc>
          <w:tcPr>
            <w:tcW w:w="0" w:type="auto"/>
            <w:hideMark/>
          </w:tcPr>
          <w:p w14:paraId="4041FECF" w14:textId="77777777" w:rsidR="00F15885" w:rsidRDefault="00F15885">
            <w:pPr>
              <w:spacing w:after="160"/>
            </w:pPr>
            <w:r>
              <w:t>Retained only when explicitly labelled as contextual and excluded from evidence-category assignment.</w:t>
            </w:r>
          </w:p>
        </w:tc>
      </w:tr>
    </w:tbl>
    <w:p w14:paraId="296E31CD" w14:textId="77777777" w:rsidR="007C619F" w:rsidRDefault="007C619F">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The Primary review-level evidence anchor, Conditional, Hypothesis-generating, and Supplementary categories are operational, author-defined conclusion-level categories for this overlap-aware umbrella synthesis and are not externally validated certainty ratings, GRADE certainty ratings, or guideline recommendation-strength labels. To reduce subjectivity, each domain was assigned using the yes/no matrix above, AMSTAR 2 consequence rules in Table S6A, source mapping in Table S7, direction-of-evidence summaries in Table S5, and overlap implications in Table S11. Critically low-confidence reviews and PDS contextual material were excluded from category assignment.</w:t>
      </w:r>
    </w:p>
    <w:p w14:paraId="197F83B1" w14:textId="77777777" w:rsidR="007854BD" w:rsidRDefault="007854BD">
      <w:pPr>
        <w:rPr>
          <w:kern w:val="0"/>
          <w14:ligatures w14:val="none"/>
        </w:rPr>
      </w:pPr>
      <w:r>
        <w:rPr>
          <w:rFonts w:ascii="Times New Roman" w:hAnsi="Times New Roman"/>
          <w:b/>
          <w:bCs/>
          <w:color w:val="000000"/>
          <w:sz w:val="21"/>
          <w:szCs w:val="21"/>
        </w:rPr>
        <w:t>Subjectivity-control note:</w:t>
      </w:r>
      <w:r>
        <w:rPr>
          <w:rFonts w:ascii="Times New Roman" w:hAnsi="Times New Roman"/>
          <w:color w:val="000000"/>
          <w:sz w:val="21"/>
          <w:szCs w:val="21"/>
        </w:rPr>
        <w:t xml:space="preserve"> Because these evidence categories are author-defined operational categories rather than externally validated certainty ratings, category assignment was treated as a rule-based judgement rather than an intuitive label. Reviewers first applied the yes/no requirements in Table S4A, then checked AMSTAR 2 consequences in Table S6A, domain source mapping in Table S7, direction-of-evidence summaries in Table S5, and overlap implications in Table S11. A category could be assigned only when the required positive criteria were </w:t>
      </w:r>
      <w:proofErr w:type="gramStart"/>
      <w:r>
        <w:rPr>
          <w:rFonts w:ascii="Times New Roman" w:hAnsi="Times New Roman"/>
          <w:color w:val="000000"/>
          <w:sz w:val="21"/>
          <w:szCs w:val="21"/>
        </w:rPr>
        <w:t>met</w:t>
      </w:r>
      <w:proofErr w:type="gramEnd"/>
      <w:r>
        <w:rPr>
          <w:rFonts w:ascii="Times New Roman" w:hAnsi="Times New Roman"/>
          <w:color w:val="000000"/>
          <w:sz w:val="21"/>
          <w:szCs w:val="21"/>
        </w:rPr>
        <w:t xml:space="preserve"> and the exclusion criteria were absent. When criteria were partially met, the more conservative eligible category was used. Low-confidence reviews could not upgrade a category, critically low-confidence reviews and PDS contextual material could not determine any category, and high overlap limited independent-corroboration claims unless directness, consistency, and nonredundant contribution remained clear. Disagreements were resolved by adjudication and documented in the reviewer-agreement file.</w:t>
      </w:r>
    </w:p>
    <w:p w14:paraId="7C566C5E" w14:textId="77777777" w:rsidR="007C619F" w:rsidRDefault="007C619F">
      <w:pPr>
        <w:rPr>
          <w:kern w:val="0"/>
          <w14:ligatures w14:val="none"/>
        </w:rPr>
      </w:pPr>
      <w:r>
        <w:rPr>
          <w:rFonts w:ascii="Times New Roman" w:hAnsi="Times New Roman"/>
          <w:b/>
          <w:bCs/>
          <w:color w:val="000000"/>
          <w:sz w:val="21"/>
          <w:szCs w:val="21"/>
        </w:rPr>
        <w:t>Independent reviewer assignment and adjudication:</w:t>
      </w:r>
      <w:r>
        <w:rPr>
          <w:rFonts w:ascii="Times New Roman" w:hAnsi="Times New Roman"/>
          <w:color w:val="000000"/>
          <w:sz w:val="21"/>
          <w:szCs w:val="21"/>
        </w:rPr>
        <w:t xml:space="preserve"> Evidence-domain category assignment was performed independently by two reviewers using the prespecified decision matrix. Disagreements were resolved by discussion and adjudication before final category assignment. Reviewer agreement/disagreement flags and conflict-resolution notes are documented in </w:t>
      </w:r>
      <w:r>
        <w:rPr>
          <w:rFonts w:ascii="Times New Roman" w:hAnsi="Times New Roman"/>
          <w:i/>
          <w:iCs/>
          <w:color w:val="000000"/>
          <w:sz w:val="21"/>
          <w:szCs w:val="21"/>
        </w:rPr>
        <w:t>Supplementary_Data_File_4_Reviewer_Agreement_Conflict_Resolution.xlsx</w:t>
      </w:r>
      <w:r>
        <w:rPr>
          <w:rFonts w:ascii="Times New Roman" w:hAnsi="Times New Roman"/>
          <w:color w:val="000000"/>
          <w:sz w:val="21"/>
          <w:szCs w:val="21"/>
        </w:rPr>
        <w:t xml:space="preserve">, and the applied coding rules are provided in </w:t>
      </w:r>
      <w:r>
        <w:rPr>
          <w:rFonts w:ascii="Times New Roman" w:hAnsi="Times New Roman"/>
          <w:i/>
          <w:iCs/>
          <w:color w:val="000000"/>
          <w:sz w:val="21"/>
          <w:szCs w:val="21"/>
        </w:rPr>
        <w:t>Supplementary_Data_File_7_Evidence_Domain_Coding_Rules.xlsx</w:t>
      </w:r>
      <w:r>
        <w:rPr>
          <w:rFonts w:ascii="Times New Roman" w:hAnsi="Times New Roman"/>
          <w:color w:val="000000"/>
          <w:sz w:val="21"/>
          <w:szCs w:val="21"/>
        </w:rPr>
        <w:t>.</w:t>
      </w:r>
    </w:p>
    <w:p w14:paraId="2785C692" w14:textId="77777777" w:rsidR="00F15885" w:rsidRDefault="00F15885">
      <w:pPr>
        <w:rPr>
          <w:kern w:val="0"/>
          <w14:ligatures w14:val="none"/>
        </w:rPr>
      </w:pPr>
      <w:r>
        <w:rPr>
          <w:rFonts w:ascii="Times New Roman" w:hAnsi="Times New Roman"/>
          <w:b/>
          <w:bCs/>
          <w:color w:val="000000"/>
          <w:sz w:val="36"/>
          <w:szCs w:val="36"/>
        </w:rPr>
        <w:t>Table S4B. Domain-by-domain evidence-category justification matrix</w:t>
      </w:r>
    </w:p>
    <w:tbl>
      <w:tblPr>
        <w:tblStyle w:val="TableGrid"/>
        <w:tblW w:w="5000" w:type="pct"/>
        <w:tblLook w:val="04A0" w:firstRow="1" w:lastRow="0" w:firstColumn="1" w:lastColumn="0" w:noHBand="0" w:noVBand="1"/>
      </w:tblPr>
      <w:tblGrid>
        <w:gridCol w:w="1690"/>
        <w:gridCol w:w="1673"/>
        <w:gridCol w:w="1905"/>
        <w:gridCol w:w="1986"/>
        <w:gridCol w:w="1733"/>
      </w:tblGrid>
      <w:tr w:rsidR="0032014D" w14:paraId="50846365" w14:textId="77777777" w:rsidTr="0032014D">
        <w:trPr>
          <w:cnfStyle w:val="100000000000" w:firstRow="1" w:lastRow="0" w:firstColumn="0" w:lastColumn="0" w:oddVBand="0" w:evenVBand="0" w:oddHBand="0" w:evenHBand="0" w:firstRowFirstColumn="0" w:firstRowLastColumn="0" w:lastRowFirstColumn="0" w:lastRowLastColumn="0"/>
        </w:trPr>
        <w:tc>
          <w:tcPr>
            <w:tcW w:w="0" w:type="auto"/>
            <w:tcBorders>
              <w:top w:val="single" w:sz="6" w:space="0" w:color="A6A6A6"/>
              <w:left w:val="single" w:sz="6" w:space="0" w:color="A6A6A6"/>
              <w:bottom w:val="single" w:sz="6" w:space="0" w:color="A6A6A6"/>
              <w:right w:val="single" w:sz="6" w:space="0" w:color="A6A6A6"/>
            </w:tcBorders>
            <w:shd w:val="clear" w:color="auto" w:fill="F5F5F5"/>
            <w:hideMark/>
          </w:tcPr>
          <w:p w14:paraId="13282D9A" w14:textId="77777777" w:rsidR="0032014D" w:rsidRDefault="0032014D">
            <w:pPr>
              <w:jc w:val="center"/>
              <w:rPr>
                <w:kern w:val="0"/>
                <w14:ligatures w14:val="none"/>
              </w:rPr>
            </w:pPr>
            <w:r>
              <w:rPr>
                <w:b/>
                <w:bCs/>
                <w:color w:val="000000"/>
              </w:rPr>
              <w:t>Evidence domain</w:t>
            </w:r>
          </w:p>
        </w:tc>
        <w:tc>
          <w:tcPr>
            <w:tcW w:w="0" w:type="auto"/>
            <w:tcBorders>
              <w:top w:val="single" w:sz="6" w:space="0" w:color="A6A6A6"/>
              <w:bottom w:val="single" w:sz="6" w:space="0" w:color="A6A6A6"/>
              <w:right w:val="single" w:sz="6" w:space="0" w:color="A6A6A6"/>
            </w:tcBorders>
            <w:shd w:val="clear" w:color="auto" w:fill="F5F5F5"/>
            <w:hideMark/>
          </w:tcPr>
          <w:p w14:paraId="076A370E" w14:textId="77777777" w:rsidR="0032014D" w:rsidRDefault="0032014D">
            <w:pPr>
              <w:jc w:val="center"/>
            </w:pPr>
            <w:r>
              <w:rPr>
                <w:b/>
                <w:bCs/>
                <w:color w:val="000000"/>
              </w:rPr>
              <w:t>Assigned category</w:t>
            </w:r>
          </w:p>
        </w:tc>
        <w:tc>
          <w:tcPr>
            <w:tcW w:w="0" w:type="auto"/>
            <w:tcBorders>
              <w:top w:val="single" w:sz="6" w:space="0" w:color="A6A6A6"/>
              <w:bottom w:val="single" w:sz="6" w:space="0" w:color="A6A6A6"/>
              <w:right w:val="single" w:sz="6" w:space="0" w:color="A6A6A6"/>
            </w:tcBorders>
            <w:shd w:val="clear" w:color="auto" w:fill="F5F5F5"/>
            <w:hideMark/>
          </w:tcPr>
          <w:p w14:paraId="10CEC55B" w14:textId="77777777" w:rsidR="0032014D" w:rsidRDefault="0032014D">
            <w:pPr>
              <w:jc w:val="center"/>
            </w:pPr>
            <w:r>
              <w:rPr>
                <w:b/>
                <w:bCs/>
                <w:color w:val="000000"/>
              </w:rPr>
              <w:t>Key yes criteria met</w:t>
            </w:r>
          </w:p>
        </w:tc>
        <w:tc>
          <w:tcPr>
            <w:tcW w:w="0" w:type="auto"/>
            <w:tcBorders>
              <w:top w:val="single" w:sz="6" w:space="0" w:color="A6A6A6"/>
              <w:bottom w:val="single" w:sz="6" w:space="0" w:color="A6A6A6"/>
              <w:right w:val="single" w:sz="6" w:space="0" w:color="A6A6A6"/>
            </w:tcBorders>
            <w:shd w:val="clear" w:color="auto" w:fill="F5F5F5"/>
            <w:hideMark/>
          </w:tcPr>
          <w:p w14:paraId="6775E4CC" w14:textId="77777777" w:rsidR="0032014D" w:rsidRDefault="0032014D">
            <w:pPr>
              <w:jc w:val="center"/>
            </w:pPr>
            <w:r>
              <w:rPr>
                <w:b/>
                <w:bCs/>
                <w:color w:val="000000"/>
              </w:rPr>
              <w:t>Key no criteria / limiting factors</w:t>
            </w:r>
          </w:p>
        </w:tc>
        <w:tc>
          <w:tcPr>
            <w:tcW w:w="0" w:type="auto"/>
            <w:tcBorders>
              <w:top w:val="single" w:sz="6" w:space="0" w:color="A6A6A6"/>
              <w:bottom w:val="single" w:sz="6" w:space="0" w:color="A6A6A6"/>
              <w:right w:val="single" w:sz="6" w:space="0" w:color="A6A6A6"/>
            </w:tcBorders>
            <w:shd w:val="clear" w:color="auto" w:fill="F5F5F5"/>
            <w:hideMark/>
          </w:tcPr>
          <w:p w14:paraId="30D7592A" w14:textId="77777777" w:rsidR="0032014D" w:rsidRDefault="0032014D">
            <w:pPr>
              <w:jc w:val="center"/>
            </w:pPr>
            <w:r>
              <w:rPr>
                <w:b/>
                <w:bCs/>
                <w:color w:val="000000"/>
              </w:rPr>
              <w:t>Rationale for assignment</w:t>
            </w:r>
          </w:p>
        </w:tc>
      </w:tr>
      <w:tr w:rsidR="007C619F" w14:paraId="5CEB8900" w14:textId="77777777">
        <w:tc>
          <w:tcPr>
            <w:tcW w:w="0" w:type="auto"/>
            <w:hideMark/>
          </w:tcPr>
          <w:p w14:paraId="3AC2F808" w14:textId="77777777" w:rsidR="007C619F" w:rsidRDefault="007C619F">
            <w:pPr>
              <w:spacing w:after="160"/>
            </w:pPr>
            <w:r>
              <w:t>Anti-VEGF therapy for CI-DME with visual impairment</w:t>
            </w:r>
          </w:p>
        </w:tc>
        <w:tc>
          <w:tcPr>
            <w:tcW w:w="0" w:type="auto"/>
            <w:hideMark/>
          </w:tcPr>
          <w:p w14:paraId="64B21EE6" w14:textId="4319AB42" w:rsidR="007C619F" w:rsidRPr="007C619F" w:rsidRDefault="007C619F" w:rsidP="007C619F">
            <w:pPr>
              <w:rPr>
                <w:kern w:val="0"/>
                <w14:ligatures w14:val="none"/>
              </w:rPr>
            </w:pPr>
            <w:r>
              <w:t>Primary review-level evidence anchor</w:t>
            </w:r>
          </w:p>
        </w:tc>
        <w:tc>
          <w:tcPr>
            <w:tcW w:w="0" w:type="auto"/>
            <w:hideMark/>
          </w:tcPr>
          <w:p w14:paraId="20584F26" w14:textId="77777777" w:rsidR="007C619F" w:rsidRDefault="007C619F">
            <w:pPr>
              <w:spacing w:after="160"/>
            </w:pPr>
            <w:r>
              <w:t xml:space="preserve">High- or moderate-confidence interpretive evidence </w:t>
            </w:r>
            <w:r>
              <w:lastRenderedPageBreak/>
              <w:t>present; clinically direct population, intervention, and visual/anatomical outcomes; consistent direction of benefit across review-level evidence.</w:t>
            </w:r>
          </w:p>
        </w:tc>
        <w:tc>
          <w:tcPr>
            <w:tcW w:w="0" w:type="auto"/>
            <w:hideMark/>
          </w:tcPr>
          <w:p w14:paraId="76E1265D" w14:textId="77777777" w:rsidR="007C619F" w:rsidRDefault="007C619F">
            <w:pPr>
              <w:spacing w:after="160"/>
            </w:pPr>
            <w:r>
              <w:lastRenderedPageBreak/>
              <w:t xml:space="preserve">No reliance on low- or critically low-confidence reviews as category anchors; </w:t>
            </w:r>
            <w:r>
              <w:lastRenderedPageBreak/>
              <w:t>overlap was high and therefore not treated as independent corroboration.</w:t>
            </w:r>
          </w:p>
        </w:tc>
        <w:tc>
          <w:tcPr>
            <w:tcW w:w="0" w:type="auto"/>
            <w:hideMark/>
          </w:tcPr>
          <w:p w14:paraId="3689BB84" w14:textId="144D5370" w:rsidR="007C619F" w:rsidRPr="007C619F" w:rsidRDefault="007C619F" w:rsidP="007C619F">
            <w:pPr>
              <w:rPr>
                <w:kern w:val="0"/>
                <w14:ligatures w14:val="none"/>
              </w:rPr>
            </w:pPr>
            <w:r>
              <w:lastRenderedPageBreak/>
              <w:t>Assigned as a Primary review-level evidence anchor because higher-</w:t>
            </w:r>
            <w:r>
              <w:lastRenderedPageBreak/>
              <w:t>confidence Cochrane and NMA evidence consistently supported anti-VEGF benefit versus laser, sham, or observation, and contextual lower-confidence reviews did not determine the category.</w:t>
            </w:r>
          </w:p>
        </w:tc>
      </w:tr>
      <w:tr w:rsidR="007C619F" w14:paraId="21820C02" w14:textId="77777777">
        <w:tc>
          <w:tcPr>
            <w:tcW w:w="0" w:type="auto"/>
            <w:hideMark/>
          </w:tcPr>
          <w:p w14:paraId="52F39ADE" w14:textId="77777777" w:rsidR="007C619F" w:rsidRDefault="007C619F">
            <w:pPr>
              <w:spacing w:after="160"/>
            </w:pPr>
            <w:r>
              <w:lastRenderedPageBreak/>
              <w:t>Corticosteroids and implants in selected DME contexts</w:t>
            </w:r>
          </w:p>
        </w:tc>
        <w:tc>
          <w:tcPr>
            <w:tcW w:w="0" w:type="auto"/>
            <w:hideMark/>
          </w:tcPr>
          <w:p w14:paraId="668916A1" w14:textId="77777777" w:rsidR="007C619F" w:rsidRDefault="007C619F">
            <w:pPr>
              <w:spacing w:after="160"/>
            </w:pPr>
            <w:r>
              <w:t>Conditional evidence</w:t>
            </w:r>
          </w:p>
        </w:tc>
        <w:tc>
          <w:tcPr>
            <w:tcW w:w="0" w:type="auto"/>
            <w:hideMark/>
          </w:tcPr>
          <w:p w14:paraId="3436127A" w14:textId="77777777" w:rsidR="007C619F" w:rsidRDefault="007C619F">
            <w:pPr>
              <w:spacing w:after="160"/>
            </w:pPr>
            <w:r>
              <w:t>High-confidence steroid evidence and clinically relevant implant reviews supported selected anatomical, durability, or benefit-risk contexts.</w:t>
            </w:r>
          </w:p>
        </w:tc>
        <w:tc>
          <w:tcPr>
            <w:tcW w:w="0" w:type="auto"/>
            <w:hideMark/>
          </w:tcPr>
          <w:p w14:paraId="196FB30E" w14:textId="77777777" w:rsidR="007C619F" w:rsidRDefault="007C619F">
            <w:pPr>
              <w:spacing w:after="160"/>
            </w:pPr>
            <w:r>
              <w:t>Visual benefit was less uniform; ocular safety concerns, lens status, IOP risk, heterogeneous populations, repeated implant cohorts, and very high overlap limited broader certainty.</w:t>
            </w:r>
          </w:p>
        </w:tc>
        <w:tc>
          <w:tcPr>
            <w:tcW w:w="0" w:type="auto"/>
            <w:hideMark/>
          </w:tcPr>
          <w:p w14:paraId="6D34E6AA" w14:textId="77777777" w:rsidR="007C619F" w:rsidRDefault="007C619F">
            <w:pPr>
              <w:spacing w:after="160"/>
            </w:pPr>
            <w:r>
              <w:t>Assigned Conditional because evidence was clinically useful in selected contexts but required phenotype, safety, and monitoring modifiers rather than broad practice-level certainty.</w:t>
            </w:r>
          </w:p>
        </w:tc>
      </w:tr>
      <w:tr w:rsidR="007C619F" w14:paraId="01927A85" w14:textId="77777777">
        <w:tc>
          <w:tcPr>
            <w:tcW w:w="0" w:type="auto"/>
            <w:hideMark/>
          </w:tcPr>
          <w:p w14:paraId="15137322" w14:textId="77777777" w:rsidR="007C619F" w:rsidRDefault="007C619F">
            <w:pPr>
              <w:spacing w:after="160"/>
            </w:pPr>
            <w:r>
              <w:t>NPDR/PDR disease-control strategies</w:t>
            </w:r>
          </w:p>
        </w:tc>
        <w:tc>
          <w:tcPr>
            <w:tcW w:w="0" w:type="auto"/>
            <w:hideMark/>
          </w:tcPr>
          <w:p w14:paraId="2634A0FE" w14:textId="77777777" w:rsidR="007C619F" w:rsidRDefault="007C619F">
            <w:pPr>
              <w:spacing w:after="160"/>
            </w:pPr>
            <w:r>
              <w:t>Conditional evidence</w:t>
            </w:r>
          </w:p>
        </w:tc>
        <w:tc>
          <w:tcPr>
            <w:tcW w:w="0" w:type="auto"/>
            <w:hideMark/>
          </w:tcPr>
          <w:p w14:paraId="4C10E83F" w14:textId="77777777" w:rsidR="007C619F" w:rsidRDefault="007C619F">
            <w:pPr>
              <w:spacing w:after="160"/>
            </w:pPr>
            <w:r>
              <w:t>High- or moderate-confidence HTA, Cochrane, NMA, and adjunctive-treatment evidence supported disease-control effects in selected NPDR/PDR settings.</w:t>
            </w:r>
          </w:p>
        </w:tc>
        <w:tc>
          <w:tcPr>
            <w:tcW w:w="0" w:type="auto"/>
            <w:hideMark/>
          </w:tcPr>
          <w:p w14:paraId="3FAA86AA" w14:textId="77777777" w:rsidR="007C619F" w:rsidRDefault="007C619F">
            <w:pPr>
              <w:spacing w:after="160"/>
            </w:pPr>
            <w:r>
              <w:t>Durability, retreatment capacity, follow-up reliability, feasibility, indication differences, and very high overlap limited universal interpretation.</w:t>
            </w:r>
          </w:p>
        </w:tc>
        <w:tc>
          <w:tcPr>
            <w:tcW w:w="0" w:type="auto"/>
            <w:hideMark/>
          </w:tcPr>
          <w:p w14:paraId="0BFCF011" w14:textId="77777777" w:rsidR="007C619F" w:rsidRDefault="007C619F">
            <w:pPr>
              <w:spacing w:after="160"/>
            </w:pPr>
            <w:r>
              <w:t>Assigned Conditional because the evidence supported disease-control decisions in selected settings but depended strongly on context and health-system feasibility.</w:t>
            </w:r>
          </w:p>
        </w:tc>
      </w:tr>
      <w:tr w:rsidR="007C619F" w14:paraId="164974EC" w14:textId="77777777">
        <w:tc>
          <w:tcPr>
            <w:tcW w:w="0" w:type="auto"/>
            <w:hideMark/>
          </w:tcPr>
          <w:p w14:paraId="6B72F896" w14:textId="77777777" w:rsidR="007C619F" w:rsidRDefault="007C619F">
            <w:pPr>
              <w:spacing w:after="160"/>
            </w:pPr>
            <w:r>
              <w:t>Switching after incomplete anti-VEGF response</w:t>
            </w:r>
          </w:p>
        </w:tc>
        <w:tc>
          <w:tcPr>
            <w:tcW w:w="0" w:type="auto"/>
            <w:hideMark/>
          </w:tcPr>
          <w:p w14:paraId="34B77C25" w14:textId="77777777" w:rsidR="007C619F" w:rsidRDefault="007C619F">
            <w:pPr>
              <w:spacing w:after="160"/>
            </w:pPr>
            <w:r>
              <w:t>Conditional evidence</w:t>
            </w:r>
          </w:p>
        </w:tc>
        <w:tc>
          <w:tcPr>
            <w:tcW w:w="0" w:type="auto"/>
            <w:hideMark/>
          </w:tcPr>
          <w:p w14:paraId="7E225ACC" w14:textId="77777777" w:rsidR="007C619F" w:rsidRDefault="007C619F">
            <w:pPr>
              <w:spacing w:after="160"/>
            </w:pPr>
            <w:r>
              <w:t xml:space="preserve">Review-level evidence consistently suggested anatomical improvement </w:t>
            </w:r>
            <w:r>
              <w:lastRenderedPageBreak/>
              <w:t>after switching in incomplete-response or refractory DME contexts.</w:t>
            </w:r>
          </w:p>
        </w:tc>
        <w:tc>
          <w:tcPr>
            <w:tcW w:w="0" w:type="auto"/>
            <w:hideMark/>
          </w:tcPr>
          <w:p w14:paraId="07024FA1" w14:textId="77777777" w:rsidR="007C619F" w:rsidRDefault="007C619F">
            <w:pPr>
              <w:spacing w:after="160"/>
            </w:pPr>
            <w:r>
              <w:lastRenderedPageBreak/>
              <w:t>Durable visual benefit was less consistent; refractory definitions, prior exposure, follow-</w:t>
            </w:r>
            <w:r>
              <w:lastRenderedPageBreak/>
              <w:t>up, observational evidence, and high overlap limited causal inference.</w:t>
            </w:r>
          </w:p>
        </w:tc>
        <w:tc>
          <w:tcPr>
            <w:tcW w:w="0" w:type="auto"/>
            <w:hideMark/>
          </w:tcPr>
          <w:p w14:paraId="7EB58F5A" w14:textId="77777777" w:rsidR="007C619F" w:rsidRDefault="007C619F">
            <w:pPr>
              <w:spacing w:after="160"/>
            </w:pPr>
            <w:r>
              <w:lastRenderedPageBreak/>
              <w:t xml:space="preserve">Assigned Conditional because switching may be reasonable in selected </w:t>
            </w:r>
            <w:r>
              <w:lastRenderedPageBreak/>
              <w:t>eyes after adequate prior therapy, but the evidence did not support a broad or pooled escalation claim.</w:t>
            </w:r>
          </w:p>
        </w:tc>
      </w:tr>
      <w:tr w:rsidR="007C619F" w14:paraId="35A2A5DE" w14:textId="77777777">
        <w:tc>
          <w:tcPr>
            <w:tcW w:w="0" w:type="auto"/>
            <w:hideMark/>
          </w:tcPr>
          <w:p w14:paraId="1B1733B7" w14:textId="77777777" w:rsidR="007C619F" w:rsidRDefault="007C619F">
            <w:pPr>
              <w:spacing w:after="160"/>
            </w:pPr>
            <w:r>
              <w:lastRenderedPageBreak/>
              <w:t>Combination therapy</w:t>
            </w:r>
          </w:p>
        </w:tc>
        <w:tc>
          <w:tcPr>
            <w:tcW w:w="0" w:type="auto"/>
            <w:hideMark/>
          </w:tcPr>
          <w:p w14:paraId="6427ACE0" w14:textId="77777777" w:rsidR="007C619F" w:rsidRDefault="007C619F">
            <w:pPr>
              <w:spacing w:after="160"/>
            </w:pPr>
            <w:r>
              <w:t>Hypothesis-generating evidence</w:t>
            </w:r>
          </w:p>
        </w:tc>
        <w:tc>
          <w:tcPr>
            <w:tcW w:w="0" w:type="auto"/>
            <w:hideMark/>
          </w:tcPr>
          <w:p w14:paraId="611FEC75" w14:textId="77777777" w:rsidR="007C619F" w:rsidRDefault="007C619F">
            <w:pPr>
              <w:spacing w:after="160"/>
            </w:pPr>
            <w:r>
              <w:t>Review-level evidence suggested possible anatomical benefit for anti-VEGF plus steroid, laser, implant, PRP, or mixed combination strategies.</w:t>
            </w:r>
          </w:p>
        </w:tc>
        <w:tc>
          <w:tcPr>
            <w:tcW w:w="0" w:type="auto"/>
            <w:hideMark/>
          </w:tcPr>
          <w:p w14:paraId="20BF319A" w14:textId="77777777" w:rsidR="007C619F" w:rsidRDefault="007C619F">
            <w:pPr>
              <w:spacing w:after="160"/>
            </w:pPr>
            <w:r>
              <w:t>Visual superiority was inconsistent; interventions and comparators were heterogeneous; safety reporting was variable; steroid-containing combinations added ocular risk; overlap was very high.</w:t>
            </w:r>
          </w:p>
        </w:tc>
        <w:tc>
          <w:tcPr>
            <w:tcW w:w="0" w:type="auto"/>
            <w:hideMark/>
          </w:tcPr>
          <w:p w14:paraId="61DEA667" w14:textId="77777777" w:rsidR="007C619F" w:rsidRDefault="007C619F">
            <w:pPr>
              <w:spacing w:after="160"/>
            </w:pPr>
            <w:r>
              <w:t>Assigned Hypothesis-generating because the evidence suggested a plausible signal but was insufficient for routine escalation or conditional clinical inference.</w:t>
            </w:r>
          </w:p>
        </w:tc>
      </w:tr>
      <w:tr w:rsidR="007C619F" w14:paraId="71B1CBCF" w14:textId="77777777">
        <w:tc>
          <w:tcPr>
            <w:tcW w:w="0" w:type="auto"/>
            <w:hideMark/>
          </w:tcPr>
          <w:p w14:paraId="3BC2176E" w14:textId="77777777" w:rsidR="007C619F" w:rsidRDefault="007C619F">
            <w:pPr>
              <w:spacing w:after="160"/>
            </w:pPr>
            <w:r>
              <w:t>Real-world outcomes and treatment burden</w:t>
            </w:r>
          </w:p>
        </w:tc>
        <w:tc>
          <w:tcPr>
            <w:tcW w:w="0" w:type="auto"/>
            <w:hideMark/>
          </w:tcPr>
          <w:p w14:paraId="2009B260" w14:textId="77777777" w:rsidR="007C619F" w:rsidRDefault="007C619F">
            <w:pPr>
              <w:spacing w:after="160"/>
            </w:pPr>
            <w:r>
              <w:t>Supplementary evidence</w:t>
            </w:r>
          </w:p>
        </w:tc>
        <w:tc>
          <w:tcPr>
            <w:tcW w:w="0" w:type="auto"/>
            <w:hideMark/>
          </w:tcPr>
          <w:p w14:paraId="2F0CD76E" w14:textId="77777777" w:rsidR="007C619F" w:rsidRDefault="007C619F">
            <w:pPr>
              <w:spacing w:after="160"/>
            </w:pPr>
            <w:r>
              <w:t>Reviews added implementation, external-validity, treatment-burden, injection-frequency, monitoring, durability, and routine-practice context.</w:t>
            </w:r>
          </w:p>
        </w:tc>
        <w:tc>
          <w:tcPr>
            <w:tcW w:w="0" w:type="auto"/>
            <w:hideMark/>
          </w:tcPr>
          <w:p w14:paraId="1AB1668A" w14:textId="77777777" w:rsidR="007C619F" w:rsidRDefault="007C619F">
            <w:pPr>
              <w:spacing w:after="160"/>
            </w:pPr>
            <w:r>
              <w:t>Observational designs, selection bias, heterogeneous monitoring, incomplete access data, and nonrandomized treatment intensity limited comparative efficacy inference.</w:t>
            </w:r>
          </w:p>
        </w:tc>
        <w:tc>
          <w:tcPr>
            <w:tcW w:w="0" w:type="auto"/>
            <w:hideMark/>
          </w:tcPr>
          <w:p w14:paraId="22B76BDD" w14:textId="77777777" w:rsidR="007C619F" w:rsidRDefault="007C619F">
            <w:pPr>
              <w:spacing w:after="160"/>
            </w:pPr>
            <w:r>
              <w:t>Assigned Supplementary because these reviews informed applicability and implementation but did not replace primary interpretive evidence or upgrade treatment categories.</w:t>
            </w:r>
          </w:p>
        </w:tc>
      </w:tr>
      <w:tr w:rsidR="007C619F" w14:paraId="528B5E59" w14:textId="77777777">
        <w:tc>
          <w:tcPr>
            <w:tcW w:w="0" w:type="auto"/>
            <w:hideMark/>
          </w:tcPr>
          <w:p w14:paraId="4CE4ABD3" w14:textId="77777777" w:rsidR="007C619F" w:rsidRDefault="007C619F">
            <w:pPr>
              <w:spacing w:after="160"/>
            </w:pPr>
            <w:r>
              <w:t>Systemic and treatment-specific safety</w:t>
            </w:r>
          </w:p>
        </w:tc>
        <w:tc>
          <w:tcPr>
            <w:tcW w:w="0" w:type="auto"/>
            <w:hideMark/>
          </w:tcPr>
          <w:p w14:paraId="7BA09F95" w14:textId="77777777" w:rsidR="007C619F" w:rsidRDefault="007C619F">
            <w:pPr>
              <w:spacing w:after="160"/>
            </w:pPr>
            <w:r>
              <w:t>Supplementary evidence</w:t>
            </w:r>
          </w:p>
        </w:tc>
        <w:tc>
          <w:tcPr>
            <w:tcW w:w="0" w:type="auto"/>
            <w:hideMark/>
          </w:tcPr>
          <w:p w14:paraId="5C17007A" w14:textId="77777777" w:rsidR="007C619F" w:rsidRDefault="007C619F">
            <w:pPr>
              <w:spacing w:after="160"/>
            </w:pPr>
            <w:r>
              <w:t>Safety reviews provided clinically relevant systemic vascular, renal, rare-event, ocular steroid, inflammatory, and agent-specific context.</w:t>
            </w:r>
          </w:p>
        </w:tc>
        <w:tc>
          <w:tcPr>
            <w:tcW w:w="0" w:type="auto"/>
            <w:hideMark/>
          </w:tcPr>
          <w:p w14:paraId="797A3124" w14:textId="77777777" w:rsidR="007C619F" w:rsidRDefault="007C619F">
            <w:pPr>
              <w:spacing w:after="160"/>
            </w:pPr>
            <w:r>
              <w:t>Rare events were underpowered; high-risk subgroups were underrepresented; safety pools overlapped substantially; critically low reviews were context only.</w:t>
            </w:r>
          </w:p>
        </w:tc>
        <w:tc>
          <w:tcPr>
            <w:tcW w:w="0" w:type="auto"/>
            <w:hideMark/>
          </w:tcPr>
          <w:p w14:paraId="5FBC36B3" w14:textId="77777777" w:rsidR="007C619F" w:rsidRDefault="007C619F">
            <w:pPr>
              <w:spacing w:after="160"/>
            </w:pPr>
            <w:r>
              <w:t>Assigned Supplementary because safety evidence informed interpretation and individualized caution but did not establish definitive safety certainty or drive efficacy-</w:t>
            </w:r>
            <w:r>
              <w:lastRenderedPageBreak/>
              <w:t>category assignment.</w:t>
            </w:r>
          </w:p>
        </w:tc>
      </w:tr>
      <w:tr w:rsidR="007C619F" w14:paraId="36AAE016" w14:textId="77777777">
        <w:tc>
          <w:tcPr>
            <w:tcW w:w="0" w:type="auto"/>
            <w:hideMark/>
          </w:tcPr>
          <w:p w14:paraId="47AF56B2" w14:textId="77777777" w:rsidR="007C619F" w:rsidRDefault="007C619F">
            <w:pPr>
              <w:spacing w:after="160"/>
            </w:pPr>
            <w:r>
              <w:lastRenderedPageBreak/>
              <w:t>PDS and sustained-delivery contextual material</w:t>
            </w:r>
          </w:p>
        </w:tc>
        <w:tc>
          <w:tcPr>
            <w:tcW w:w="0" w:type="auto"/>
            <w:hideMark/>
          </w:tcPr>
          <w:p w14:paraId="2C9DC6C1" w14:textId="77777777" w:rsidR="007C619F" w:rsidRDefault="007C619F">
            <w:pPr>
              <w:spacing w:after="160"/>
            </w:pPr>
            <w:r>
              <w:t>Context only / not classified</w:t>
            </w:r>
          </w:p>
        </w:tc>
        <w:tc>
          <w:tcPr>
            <w:tcW w:w="0" w:type="auto"/>
            <w:hideMark/>
          </w:tcPr>
          <w:p w14:paraId="3BDE96A8" w14:textId="77777777" w:rsidR="007C619F" w:rsidRDefault="007C619F">
            <w:pPr>
              <w:spacing w:after="160"/>
            </w:pPr>
            <w:r>
              <w:t>Recent primary RCT and trial-registry material was clinically relevant to emerging durability and device-specific safety questions.</w:t>
            </w:r>
          </w:p>
        </w:tc>
        <w:tc>
          <w:tcPr>
            <w:tcW w:w="0" w:type="auto"/>
            <w:hideMark/>
          </w:tcPr>
          <w:p w14:paraId="65467BE0" w14:textId="77777777" w:rsidR="007C619F" w:rsidRDefault="007C619F">
            <w:pPr>
              <w:spacing w:after="160"/>
            </w:pPr>
            <w:r>
              <w:t>No mature eligible DME/DR review-level synthesis was available at the final search date; primary trials and registry records were outside the hierarchy.</w:t>
            </w:r>
          </w:p>
        </w:tc>
        <w:tc>
          <w:tcPr>
            <w:tcW w:w="0" w:type="auto"/>
            <w:hideMark/>
          </w:tcPr>
          <w:p w14:paraId="5C0B4034" w14:textId="77777777" w:rsidR="007C619F" w:rsidRDefault="007C619F">
            <w:pPr>
              <w:spacing w:after="160"/>
            </w:pPr>
            <w:r>
              <w:t>Not classified because PDS contextual material did not contribute to AMSTAR 2 ratings, CCA/wCCA calculations, evidence-category assignment, or the 50-review hierarchy.</w:t>
            </w:r>
          </w:p>
        </w:tc>
      </w:tr>
    </w:tbl>
    <w:p w14:paraId="21C9ECAE" w14:textId="77777777" w:rsidR="007C619F" w:rsidRDefault="007C619F">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Table S4B operationalizes the decision rules in Table S4A at the evidence-domain level. Categories were assigned only after considering AMSTAR 2 confidence, clinical directness, consistency, overlap, safety, nonredundant contribution, and whether the material was eligible review-level evidence or contextual material. Two reviewers independently applied these criteria, and disagreements were resolved by discussion and adjudication as documented in </w:t>
      </w:r>
      <w:r>
        <w:rPr>
          <w:rFonts w:ascii="Times New Roman" w:hAnsi="Times New Roman"/>
          <w:i/>
          <w:iCs/>
          <w:color w:val="000000"/>
          <w:sz w:val="21"/>
          <w:szCs w:val="21"/>
        </w:rPr>
        <w:t>Supplementary_Data_File_4_Reviewer_Agreement_Conflict_Resolution.xlsx</w:t>
      </w:r>
      <w:r>
        <w:rPr>
          <w:rFonts w:ascii="Times New Roman" w:hAnsi="Times New Roman"/>
          <w:color w:val="000000"/>
          <w:sz w:val="21"/>
          <w:szCs w:val="21"/>
        </w:rPr>
        <w:t xml:space="preserve"> and </w:t>
      </w:r>
      <w:r>
        <w:rPr>
          <w:rFonts w:ascii="Times New Roman" w:hAnsi="Times New Roman"/>
          <w:i/>
          <w:iCs/>
          <w:color w:val="000000"/>
          <w:sz w:val="21"/>
          <w:szCs w:val="21"/>
        </w:rPr>
        <w:t>Supplementary_Data_File_7_Evidence_Domain_Coding_Rules.xlsx</w:t>
      </w:r>
      <w:r>
        <w:rPr>
          <w:rFonts w:ascii="Times New Roman" w:hAnsi="Times New Roman"/>
          <w:color w:val="000000"/>
          <w:sz w:val="21"/>
          <w:szCs w:val="21"/>
        </w:rPr>
        <w:t>.</w:t>
      </w:r>
    </w:p>
    <w:p w14:paraId="224005F5" w14:textId="77777777" w:rsidR="00F15885" w:rsidRDefault="00F15885">
      <w:pPr>
        <w:rPr>
          <w:kern w:val="0"/>
          <w14:ligatures w14:val="none"/>
        </w:rPr>
      </w:pPr>
      <w:r>
        <w:rPr>
          <w:rFonts w:ascii="Times New Roman" w:hAnsi="Times New Roman"/>
          <w:b/>
          <w:bCs/>
          <w:color w:val="000000"/>
          <w:sz w:val="36"/>
          <w:szCs w:val="36"/>
        </w:rPr>
        <w:t>Table S4C. Domain-by-domain CCA interpretation and downgrade rationale</w:t>
      </w:r>
    </w:p>
    <w:tbl>
      <w:tblPr>
        <w:tblStyle w:val="TableGrid"/>
        <w:tblW w:w="5000" w:type="pct"/>
        <w:tblLook w:val="04A0" w:firstRow="1" w:lastRow="0" w:firstColumn="1" w:lastColumn="0" w:noHBand="0" w:noVBand="1"/>
      </w:tblPr>
      <w:tblGrid>
        <w:gridCol w:w="1116"/>
        <w:gridCol w:w="829"/>
        <w:gridCol w:w="1188"/>
        <w:gridCol w:w="1248"/>
        <w:gridCol w:w="989"/>
        <w:gridCol w:w="1446"/>
        <w:gridCol w:w="1107"/>
        <w:gridCol w:w="1064"/>
      </w:tblGrid>
      <w:tr w:rsidR="0032014D" w14:paraId="5A328CDF" w14:textId="77777777" w:rsidTr="0032014D">
        <w:trPr>
          <w:cnfStyle w:val="100000000000" w:firstRow="1" w:lastRow="0" w:firstColumn="0" w:lastColumn="0" w:oddVBand="0" w:evenVBand="0" w:oddHBand="0" w:evenHBand="0" w:firstRowFirstColumn="0" w:firstRowLastColumn="0" w:lastRowFirstColumn="0" w:lastRowLastColumn="0"/>
        </w:trPr>
        <w:tc>
          <w:tcPr>
            <w:tcW w:w="0" w:type="auto"/>
            <w:tcBorders>
              <w:top w:val="single" w:sz="6" w:space="0" w:color="A6A6A6"/>
              <w:left w:val="single" w:sz="6" w:space="0" w:color="A6A6A6"/>
              <w:bottom w:val="single" w:sz="6" w:space="0" w:color="A6A6A6"/>
              <w:right w:val="single" w:sz="6" w:space="0" w:color="A6A6A6"/>
            </w:tcBorders>
            <w:shd w:val="clear" w:color="auto" w:fill="F5F5F5"/>
            <w:hideMark/>
          </w:tcPr>
          <w:p w14:paraId="4721ABC7" w14:textId="77777777" w:rsidR="0032014D" w:rsidRDefault="0032014D">
            <w:pPr>
              <w:jc w:val="center"/>
              <w:rPr>
                <w:kern w:val="0"/>
                <w14:ligatures w14:val="none"/>
              </w:rPr>
            </w:pPr>
            <w:r>
              <w:rPr>
                <w:b/>
                <w:bCs/>
                <w:color w:val="000000"/>
              </w:rPr>
              <w:t>Evidence domain</w:t>
            </w:r>
          </w:p>
        </w:tc>
        <w:tc>
          <w:tcPr>
            <w:tcW w:w="0" w:type="auto"/>
            <w:tcBorders>
              <w:top w:val="single" w:sz="6" w:space="0" w:color="A6A6A6"/>
              <w:bottom w:val="single" w:sz="6" w:space="0" w:color="A6A6A6"/>
              <w:right w:val="single" w:sz="6" w:space="0" w:color="A6A6A6"/>
            </w:tcBorders>
            <w:shd w:val="clear" w:color="auto" w:fill="F5F5F5"/>
            <w:hideMark/>
          </w:tcPr>
          <w:p w14:paraId="71C7C6DC" w14:textId="77777777" w:rsidR="0032014D" w:rsidRDefault="0032014D">
            <w:pPr>
              <w:jc w:val="center"/>
            </w:pPr>
            <w:r>
              <w:rPr>
                <w:b/>
                <w:bCs/>
                <w:color w:val="000000"/>
              </w:rPr>
              <w:t>Standard CCA</w:t>
            </w:r>
          </w:p>
        </w:tc>
        <w:tc>
          <w:tcPr>
            <w:tcW w:w="0" w:type="auto"/>
            <w:tcBorders>
              <w:top w:val="single" w:sz="6" w:space="0" w:color="A6A6A6"/>
              <w:bottom w:val="single" w:sz="6" w:space="0" w:color="A6A6A6"/>
              <w:right w:val="single" w:sz="6" w:space="0" w:color="A6A6A6"/>
            </w:tcBorders>
            <w:shd w:val="clear" w:color="auto" w:fill="F5F5F5"/>
            <w:hideMark/>
          </w:tcPr>
          <w:p w14:paraId="1824D066" w14:textId="77777777" w:rsidR="0032014D" w:rsidRDefault="0032014D">
            <w:pPr>
              <w:jc w:val="center"/>
            </w:pPr>
            <w:r>
              <w:rPr>
                <w:b/>
                <w:bCs/>
                <w:color w:val="000000"/>
              </w:rPr>
              <w:t>AMSTAR 2 profile</w:t>
            </w:r>
          </w:p>
        </w:tc>
        <w:tc>
          <w:tcPr>
            <w:tcW w:w="0" w:type="auto"/>
            <w:tcBorders>
              <w:top w:val="single" w:sz="6" w:space="0" w:color="A6A6A6"/>
              <w:bottom w:val="single" w:sz="6" w:space="0" w:color="A6A6A6"/>
              <w:right w:val="single" w:sz="6" w:space="0" w:color="A6A6A6"/>
            </w:tcBorders>
            <w:shd w:val="clear" w:color="auto" w:fill="F5F5F5"/>
            <w:hideMark/>
          </w:tcPr>
          <w:p w14:paraId="575B90E0" w14:textId="77777777" w:rsidR="0032014D" w:rsidRDefault="0032014D">
            <w:pPr>
              <w:jc w:val="center"/>
            </w:pPr>
            <w:r>
              <w:rPr>
                <w:b/>
                <w:bCs/>
                <w:color w:val="000000"/>
              </w:rPr>
              <w:t>Phenotype directness</w:t>
            </w:r>
          </w:p>
        </w:tc>
        <w:tc>
          <w:tcPr>
            <w:tcW w:w="0" w:type="auto"/>
            <w:tcBorders>
              <w:top w:val="single" w:sz="6" w:space="0" w:color="A6A6A6"/>
              <w:bottom w:val="single" w:sz="6" w:space="0" w:color="A6A6A6"/>
              <w:right w:val="single" w:sz="6" w:space="0" w:color="A6A6A6"/>
            </w:tcBorders>
            <w:shd w:val="clear" w:color="auto" w:fill="F5F5F5"/>
            <w:hideMark/>
          </w:tcPr>
          <w:p w14:paraId="6ED1C793" w14:textId="77777777" w:rsidR="0032014D" w:rsidRDefault="0032014D">
            <w:pPr>
              <w:jc w:val="center"/>
            </w:pPr>
            <w:r>
              <w:rPr>
                <w:b/>
                <w:bCs/>
                <w:color w:val="000000"/>
              </w:rPr>
              <w:t>Outcome consistency</w:t>
            </w:r>
          </w:p>
        </w:tc>
        <w:tc>
          <w:tcPr>
            <w:tcW w:w="0" w:type="auto"/>
            <w:tcBorders>
              <w:top w:val="single" w:sz="6" w:space="0" w:color="A6A6A6"/>
              <w:bottom w:val="single" w:sz="6" w:space="0" w:color="A6A6A6"/>
              <w:right w:val="single" w:sz="6" w:space="0" w:color="A6A6A6"/>
            </w:tcBorders>
            <w:shd w:val="clear" w:color="auto" w:fill="F5F5F5"/>
            <w:hideMark/>
          </w:tcPr>
          <w:p w14:paraId="00E24951" w14:textId="77777777" w:rsidR="0032014D" w:rsidRDefault="0032014D">
            <w:pPr>
              <w:jc w:val="center"/>
            </w:pPr>
            <w:r>
              <w:rPr>
                <w:b/>
                <w:bCs/>
                <w:color w:val="000000"/>
              </w:rPr>
              <w:t>Safety/durability concerns</w:t>
            </w:r>
          </w:p>
        </w:tc>
        <w:tc>
          <w:tcPr>
            <w:tcW w:w="0" w:type="auto"/>
            <w:tcBorders>
              <w:top w:val="single" w:sz="6" w:space="0" w:color="A6A6A6"/>
              <w:bottom w:val="single" w:sz="6" w:space="0" w:color="A6A6A6"/>
              <w:right w:val="single" w:sz="6" w:space="0" w:color="A6A6A6"/>
            </w:tcBorders>
            <w:shd w:val="clear" w:color="auto" w:fill="F5F5F5"/>
            <w:hideMark/>
          </w:tcPr>
          <w:p w14:paraId="04236619" w14:textId="77777777" w:rsidR="0032014D" w:rsidRDefault="0032014D">
            <w:pPr>
              <w:jc w:val="center"/>
            </w:pPr>
            <w:r>
              <w:rPr>
                <w:b/>
                <w:bCs/>
                <w:color w:val="000000"/>
              </w:rPr>
              <w:t>Final category</w:t>
            </w:r>
          </w:p>
        </w:tc>
        <w:tc>
          <w:tcPr>
            <w:tcW w:w="0" w:type="auto"/>
            <w:tcBorders>
              <w:top w:val="single" w:sz="6" w:space="0" w:color="A6A6A6"/>
              <w:bottom w:val="single" w:sz="6" w:space="0" w:color="A6A6A6"/>
              <w:right w:val="single" w:sz="6" w:space="0" w:color="A6A6A6"/>
            </w:tcBorders>
            <w:shd w:val="clear" w:color="auto" w:fill="F5F5F5"/>
            <w:hideMark/>
          </w:tcPr>
          <w:p w14:paraId="5D106D00" w14:textId="77777777" w:rsidR="0032014D" w:rsidRDefault="0032014D">
            <w:pPr>
              <w:jc w:val="center"/>
            </w:pPr>
            <w:r>
              <w:rPr>
                <w:b/>
                <w:bCs/>
                <w:color w:val="000000"/>
              </w:rPr>
              <w:t>How overlap affected interpretation</w:t>
            </w:r>
          </w:p>
        </w:tc>
      </w:tr>
      <w:tr w:rsidR="007C619F" w14:paraId="2E4FC8AC" w14:textId="77777777">
        <w:tc>
          <w:tcPr>
            <w:tcW w:w="0" w:type="auto"/>
            <w:hideMark/>
          </w:tcPr>
          <w:p w14:paraId="10116857" w14:textId="77777777" w:rsidR="007C619F" w:rsidRDefault="007C619F">
            <w:pPr>
              <w:spacing w:after="160"/>
            </w:pPr>
            <w:r>
              <w:t>Anti-VEGF therapy for CI-DME with visual impairment</w:t>
            </w:r>
          </w:p>
        </w:tc>
        <w:tc>
          <w:tcPr>
            <w:tcW w:w="0" w:type="auto"/>
            <w:hideMark/>
          </w:tcPr>
          <w:p w14:paraId="06DC9233" w14:textId="77777777" w:rsidR="007C619F" w:rsidRDefault="007C619F">
            <w:pPr>
              <w:spacing w:after="160"/>
            </w:pPr>
            <w:r>
              <w:t>17.5%</w:t>
            </w:r>
          </w:p>
        </w:tc>
        <w:tc>
          <w:tcPr>
            <w:tcW w:w="0" w:type="auto"/>
            <w:hideMark/>
          </w:tcPr>
          <w:p w14:paraId="56E151AB" w14:textId="77777777" w:rsidR="007C619F" w:rsidRDefault="007C619F">
            <w:pPr>
              <w:spacing w:after="160"/>
            </w:pPr>
            <w:r>
              <w:t>High/moderate interpretive evidence present; low/critically low reviews contextual only.</w:t>
            </w:r>
          </w:p>
        </w:tc>
        <w:tc>
          <w:tcPr>
            <w:tcW w:w="0" w:type="auto"/>
            <w:hideMark/>
          </w:tcPr>
          <w:p w14:paraId="1D06EE3B" w14:textId="77777777" w:rsidR="007C619F" w:rsidRDefault="007C619F">
            <w:pPr>
              <w:spacing w:after="160"/>
            </w:pPr>
            <w:r>
              <w:t>High; population, intervention, comparator, and visual/anatomical outcomes were clinically direct.</w:t>
            </w:r>
          </w:p>
        </w:tc>
        <w:tc>
          <w:tcPr>
            <w:tcW w:w="0" w:type="auto"/>
            <w:hideMark/>
          </w:tcPr>
          <w:p w14:paraId="2DEE107F" w14:textId="77777777" w:rsidR="007C619F" w:rsidRDefault="007C619F">
            <w:pPr>
              <w:spacing w:after="160"/>
            </w:pPr>
            <w:r>
              <w:t>Consistent visual and anatomical benefit versus laser, sham, or observation.</w:t>
            </w:r>
          </w:p>
        </w:tc>
        <w:tc>
          <w:tcPr>
            <w:tcW w:w="0" w:type="auto"/>
            <w:hideMark/>
          </w:tcPr>
          <w:p w14:paraId="20FBA16B" w14:textId="77777777" w:rsidR="007C619F" w:rsidRDefault="007C619F">
            <w:pPr>
              <w:spacing w:after="160"/>
            </w:pPr>
            <w:r>
              <w:t>Dosing, agent-selection, and durability varied, but no safety signal reversed interpretation.</w:t>
            </w:r>
          </w:p>
        </w:tc>
        <w:tc>
          <w:tcPr>
            <w:tcW w:w="0" w:type="auto"/>
            <w:hideMark/>
          </w:tcPr>
          <w:p w14:paraId="706C5212" w14:textId="77777777" w:rsidR="007C619F" w:rsidRDefault="007C619F">
            <w:pPr>
              <w:spacing w:after="160"/>
            </w:pPr>
            <w:r>
              <w:t>Primary review-level evidence anchor.</w:t>
            </w:r>
          </w:p>
        </w:tc>
        <w:tc>
          <w:tcPr>
            <w:tcW w:w="0" w:type="auto"/>
            <w:hideMark/>
          </w:tcPr>
          <w:p w14:paraId="06957255" w14:textId="77777777" w:rsidR="007C619F" w:rsidRDefault="007C619F">
            <w:pPr>
              <w:spacing w:after="160"/>
            </w:pPr>
            <w:r>
              <w:t xml:space="preserve">Overlap limited claims of independent corroboration but did not downgrade the category because directness, higher-confidence </w:t>
            </w:r>
            <w:r>
              <w:lastRenderedPageBreak/>
              <w:t>anchors, and direction-of-effect consistency were strong.</w:t>
            </w:r>
          </w:p>
        </w:tc>
      </w:tr>
      <w:tr w:rsidR="007C619F" w14:paraId="15E31B52" w14:textId="77777777">
        <w:tc>
          <w:tcPr>
            <w:tcW w:w="0" w:type="auto"/>
            <w:hideMark/>
          </w:tcPr>
          <w:p w14:paraId="45D24540" w14:textId="77777777" w:rsidR="007C619F" w:rsidRDefault="007C619F">
            <w:pPr>
              <w:spacing w:after="160"/>
            </w:pPr>
            <w:r>
              <w:lastRenderedPageBreak/>
              <w:t>Switching after incomplete anti-VEGF response</w:t>
            </w:r>
          </w:p>
        </w:tc>
        <w:tc>
          <w:tcPr>
            <w:tcW w:w="0" w:type="auto"/>
            <w:hideMark/>
          </w:tcPr>
          <w:p w14:paraId="2EB78F21" w14:textId="77777777" w:rsidR="007C619F" w:rsidRDefault="007C619F">
            <w:pPr>
              <w:spacing w:after="160"/>
            </w:pPr>
            <w:r>
              <w:t>14.3%</w:t>
            </w:r>
          </w:p>
        </w:tc>
        <w:tc>
          <w:tcPr>
            <w:tcW w:w="0" w:type="auto"/>
            <w:hideMark/>
          </w:tcPr>
          <w:p w14:paraId="52FAA786" w14:textId="77777777" w:rsidR="007C619F" w:rsidRDefault="007C619F">
            <w:pPr>
              <w:spacing w:after="160"/>
            </w:pPr>
            <w:r>
              <w:t>Mostly low/moderate and heterogeneous evidence.</w:t>
            </w:r>
          </w:p>
        </w:tc>
        <w:tc>
          <w:tcPr>
            <w:tcW w:w="0" w:type="auto"/>
            <w:hideMark/>
          </w:tcPr>
          <w:p w14:paraId="74F9A4E8" w14:textId="77777777" w:rsidR="007C619F" w:rsidRDefault="007C619F">
            <w:pPr>
              <w:spacing w:after="160"/>
            </w:pPr>
            <w:r>
              <w:t>Moderate; incomplete-response definitions varied.</w:t>
            </w:r>
          </w:p>
        </w:tc>
        <w:tc>
          <w:tcPr>
            <w:tcW w:w="0" w:type="auto"/>
            <w:hideMark/>
          </w:tcPr>
          <w:p w14:paraId="28384155" w14:textId="77777777" w:rsidR="007C619F" w:rsidRDefault="007C619F">
            <w:pPr>
              <w:spacing w:after="160"/>
            </w:pPr>
            <w:r>
              <w:t>Anatomical improvement more consistent than durable visual gain.</w:t>
            </w:r>
          </w:p>
        </w:tc>
        <w:tc>
          <w:tcPr>
            <w:tcW w:w="0" w:type="auto"/>
            <w:hideMark/>
          </w:tcPr>
          <w:p w14:paraId="112F26D5" w14:textId="77777777" w:rsidR="007C619F" w:rsidRDefault="007C619F">
            <w:pPr>
              <w:spacing w:after="160"/>
            </w:pPr>
            <w:r>
              <w:t>Prior exposure, chronicity, follow-up, and visual potential varied.</w:t>
            </w:r>
          </w:p>
        </w:tc>
        <w:tc>
          <w:tcPr>
            <w:tcW w:w="0" w:type="auto"/>
            <w:hideMark/>
          </w:tcPr>
          <w:p w14:paraId="58F181C2" w14:textId="77777777" w:rsidR="007C619F" w:rsidRDefault="007C619F">
            <w:pPr>
              <w:spacing w:after="160"/>
            </w:pPr>
            <w:r>
              <w:t>Conditional evidence.</w:t>
            </w:r>
          </w:p>
        </w:tc>
        <w:tc>
          <w:tcPr>
            <w:tcW w:w="0" w:type="auto"/>
            <w:hideMark/>
          </w:tcPr>
          <w:p w14:paraId="440BDB26" w14:textId="77777777" w:rsidR="007C619F" w:rsidRDefault="007C619F">
            <w:pPr>
              <w:spacing w:after="160"/>
            </w:pPr>
            <w:r>
              <w:t>Overlap reinforced the decision not to pool or upgrade; interpretation remained selected-context and anatomical-response focused.</w:t>
            </w:r>
          </w:p>
        </w:tc>
      </w:tr>
      <w:tr w:rsidR="007C619F" w14:paraId="2C315A1B" w14:textId="77777777">
        <w:tc>
          <w:tcPr>
            <w:tcW w:w="0" w:type="auto"/>
            <w:hideMark/>
          </w:tcPr>
          <w:p w14:paraId="449BDC73" w14:textId="77777777" w:rsidR="007C619F" w:rsidRDefault="007C619F">
            <w:pPr>
              <w:spacing w:after="160"/>
            </w:pPr>
            <w:r>
              <w:t>Corticosteroids and implants in selected DME contexts</w:t>
            </w:r>
          </w:p>
        </w:tc>
        <w:tc>
          <w:tcPr>
            <w:tcW w:w="0" w:type="auto"/>
            <w:hideMark/>
          </w:tcPr>
          <w:p w14:paraId="2A650271" w14:textId="77777777" w:rsidR="007C619F" w:rsidRDefault="007C619F">
            <w:pPr>
              <w:spacing w:after="160"/>
            </w:pPr>
            <w:r>
              <w:t>17.1%</w:t>
            </w:r>
          </w:p>
        </w:tc>
        <w:tc>
          <w:tcPr>
            <w:tcW w:w="0" w:type="auto"/>
            <w:hideMark/>
          </w:tcPr>
          <w:p w14:paraId="001B7AA7" w14:textId="77777777" w:rsidR="007C619F" w:rsidRDefault="007C619F">
            <w:pPr>
              <w:spacing w:after="160"/>
            </w:pPr>
            <w:r>
              <w:t>High-confidence steroid evidence present, with many lower-confidence implant/real-world reviews.</w:t>
            </w:r>
          </w:p>
        </w:tc>
        <w:tc>
          <w:tcPr>
            <w:tcW w:w="0" w:type="auto"/>
            <w:hideMark/>
          </w:tcPr>
          <w:p w14:paraId="393D04BA" w14:textId="77777777" w:rsidR="007C619F" w:rsidRDefault="007C619F">
            <w:pPr>
              <w:spacing w:after="160"/>
            </w:pPr>
            <w:r>
              <w:t>Moderate; selected-eye relevance depended on lens status, IOP risk, chronicity, and monitoring.</w:t>
            </w:r>
          </w:p>
        </w:tc>
        <w:tc>
          <w:tcPr>
            <w:tcW w:w="0" w:type="auto"/>
            <w:hideMark/>
          </w:tcPr>
          <w:p w14:paraId="74EB25EA" w14:textId="77777777" w:rsidR="007C619F" w:rsidRDefault="007C619F">
            <w:pPr>
              <w:spacing w:after="160"/>
            </w:pPr>
            <w:r>
              <w:t>Anatomical and durability signals were clearer than uniform visual benefit.</w:t>
            </w:r>
          </w:p>
        </w:tc>
        <w:tc>
          <w:tcPr>
            <w:tcW w:w="0" w:type="auto"/>
            <w:hideMark/>
          </w:tcPr>
          <w:p w14:paraId="7C1A8222" w14:textId="77777777" w:rsidR="007C619F" w:rsidRDefault="007C619F">
            <w:pPr>
              <w:spacing w:after="160"/>
            </w:pPr>
            <w:r>
              <w:t>IOP elevation, cataract, glaucoma risk, retreatment, and monitoring concerns were important.</w:t>
            </w:r>
          </w:p>
        </w:tc>
        <w:tc>
          <w:tcPr>
            <w:tcW w:w="0" w:type="auto"/>
            <w:hideMark/>
          </w:tcPr>
          <w:p w14:paraId="1FFF4392" w14:textId="77777777" w:rsidR="007C619F" w:rsidRDefault="007C619F">
            <w:pPr>
              <w:spacing w:after="160"/>
            </w:pPr>
            <w:r>
              <w:t>Conditional evidence.</w:t>
            </w:r>
          </w:p>
        </w:tc>
        <w:tc>
          <w:tcPr>
            <w:tcW w:w="0" w:type="auto"/>
            <w:hideMark/>
          </w:tcPr>
          <w:p w14:paraId="1ECFFD33" w14:textId="77777777" w:rsidR="007C619F" w:rsidRDefault="007C619F">
            <w:pPr>
              <w:spacing w:after="160"/>
            </w:pPr>
            <w:r>
              <w:t>Very high overlap prevented broader confidence and kept interpretation conditional rather than a primary anchor.</w:t>
            </w:r>
          </w:p>
        </w:tc>
      </w:tr>
      <w:tr w:rsidR="007C619F" w14:paraId="357B8DA1" w14:textId="77777777">
        <w:tc>
          <w:tcPr>
            <w:tcW w:w="0" w:type="auto"/>
            <w:hideMark/>
          </w:tcPr>
          <w:p w14:paraId="7C5A89B5" w14:textId="77777777" w:rsidR="007C619F" w:rsidRDefault="007C619F">
            <w:pPr>
              <w:spacing w:after="160"/>
            </w:pPr>
            <w:r>
              <w:t>Combination therapy</w:t>
            </w:r>
          </w:p>
        </w:tc>
        <w:tc>
          <w:tcPr>
            <w:tcW w:w="0" w:type="auto"/>
            <w:hideMark/>
          </w:tcPr>
          <w:p w14:paraId="3861E508" w14:textId="77777777" w:rsidR="007C619F" w:rsidRDefault="007C619F">
            <w:pPr>
              <w:spacing w:after="160"/>
            </w:pPr>
            <w:r>
              <w:t>17.1%</w:t>
            </w:r>
          </w:p>
        </w:tc>
        <w:tc>
          <w:tcPr>
            <w:tcW w:w="0" w:type="auto"/>
            <w:hideMark/>
          </w:tcPr>
          <w:p w14:paraId="1E9C3C8C" w14:textId="77777777" w:rsidR="007C619F" w:rsidRDefault="007C619F">
            <w:pPr>
              <w:spacing w:after="160"/>
            </w:pPr>
            <w:r>
              <w:t xml:space="preserve">Mixed moderate/low evidence with </w:t>
            </w:r>
            <w:r>
              <w:lastRenderedPageBreak/>
              <w:t>repeated trial sets.</w:t>
            </w:r>
          </w:p>
        </w:tc>
        <w:tc>
          <w:tcPr>
            <w:tcW w:w="0" w:type="auto"/>
            <w:hideMark/>
          </w:tcPr>
          <w:p w14:paraId="6ACB9C20" w14:textId="77777777" w:rsidR="007C619F" w:rsidRDefault="007C619F">
            <w:pPr>
              <w:spacing w:after="160"/>
            </w:pPr>
            <w:r>
              <w:lastRenderedPageBreak/>
              <w:t xml:space="preserve">Variable; interventions and comparators differed </w:t>
            </w:r>
            <w:r>
              <w:lastRenderedPageBreak/>
              <w:t>across reviews.</w:t>
            </w:r>
          </w:p>
        </w:tc>
        <w:tc>
          <w:tcPr>
            <w:tcW w:w="0" w:type="auto"/>
            <w:hideMark/>
          </w:tcPr>
          <w:p w14:paraId="20316C97" w14:textId="77777777" w:rsidR="007C619F" w:rsidRDefault="007C619F">
            <w:pPr>
              <w:spacing w:after="160"/>
            </w:pPr>
            <w:r>
              <w:lastRenderedPageBreak/>
              <w:t xml:space="preserve">Anatomical benefit possible, but visual </w:t>
            </w:r>
            <w:r>
              <w:lastRenderedPageBreak/>
              <w:t>superiority inconsistent.</w:t>
            </w:r>
          </w:p>
        </w:tc>
        <w:tc>
          <w:tcPr>
            <w:tcW w:w="0" w:type="auto"/>
            <w:hideMark/>
          </w:tcPr>
          <w:p w14:paraId="231FA52A" w14:textId="77777777" w:rsidR="007C619F" w:rsidRDefault="007C619F">
            <w:pPr>
              <w:spacing w:after="160"/>
            </w:pPr>
            <w:r>
              <w:lastRenderedPageBreak/>
              <w:t xml:space="preserve">Added steroid-related ocular risk and inconsistent </w:t>
            </w:r>
            <w:r>
              <w:lastRenderedPageBreak/>
              <w:t>adverse-event reporting.</w:t>
            </w:r>
          </w:p>
        </w:tc>
        <w:tc>
          <w:tcPr>
            <w:tcW w:w="0" w:type="auto"/>
            <w:hideMark/>
          </w:tcPr>
          <w:p w14:paraId="100FFA9A" w14:textId="77777777" w:rsidR="007C619F" w:rsidRDefault="007C619F">
            <w:pPr>
              <w:spacing w:after="160"/>
            </w:pPr>
            <w:r>
              <w:lastRenderedPageBreak/>
              <w:t xml:space="preserve">Hypothesis-generating </w:t>
            </w:r>
            <w:r>
              <w:lastRenderedPageBreak/>
              <w:t>evidence.</w:t>
            </w:r>
          </w:p>
        </w:tc>
        <w:tc>
          <w:tcPr>
            <w:tcW w:w="0" w:type="auto"/>
            <w:hideMark/>
          </w:tcPr>
          <w:p w14:paraId="500D9E37" w14:textId="77777777" w:rsidR="007C619F" w:rsidRDefault="007C619F">
            <w:pPr>
              <w:spacing w:after="160"/>
            </w:pPr>
            <w:r>
              <w:lastRenderedPageBreak/>
              <w:t xml:space="preserve">Very high overlap, heterogeneity, and </w:t>
            </w:r>
            <w:r>
              <w:lastRenderedPageBreak/>
              <w:t>safety uncertainty downgraded interpretation to hypothesis-generating.</w:t>
            </w:r>
          </w:p>
        </w:tc>
      </w:tr>
      <w:tr w:rsidR="007C619F" w14:paraId="33CEFC87" w14:textId="77777777">
        <w:tc>
          <w:tcPr>
            <w:tcW w:w="0" w:type="auto"/>
            <w:hideMark/>
          </w:tcPr>
          <w:p w14:paraId="5FF537AC" w14:textId="77777777" w:rsidR="007C619F" w:rsidRDefault="007C619F">
            <w:pPr>
              <w:spacing w:after="160"/>
            </w:pPr>
            <w:r>
              <w:lastRenderedPageBreak/>
              <w:t>NPDR/PDR disease-control strategies</w:t>
            </w:r>
          </w:p>
        </w:tc>
        <w:tc>
          <w:tcPr>
            <w:tcW w:w="0" w:type="auto"/>
            <w:hideMark/>
          </w:tcPr>
          <w:p w14:paraId="5D65A7AF" w14:textId="77777777" w:rsidR="007C619F" w:rsidRDefault="007C619F">
            <w:pPr>
              <w:spacing w:after="160"/>
            </w:pPr>
            <w:r>
              <w:t>19.6%</w:t>
            </w:r>
          </w:p>
        </w:tc>
        <w:tc>
          <w:tcPr>
            <w:tcW w:w="0" w:type="auto"/>
            <w:hideMark/>
          </w:tcPr>
          <w:p w14:paraId="1FDEDB7D" w14:textId="77777777" w:rsidR="007C619F" w:rsidRDefault="007C619F">
            <w:pPr>
              <w:spacing w:after="160"/>
            </w:pPr>
            <w:r>
              <w:t>High/moderate anchors present, but evidence reused major trial programs.</w:t>
            </w:r>
          </w:p>
        </w:tc>
        <w:tc>
          <w:tcPr>
            <w:tcW w:w="0" w:type="auto"/>
            <w:hideMark/>
          </w:tcPr>
          <w:p w14:paraId="43970800" w14:textId="77777777" w:rsidR="007C619F" w:rsidRDefault="007C619F">
            <w:pPr>
              <w:spacing w:after="160"/>
            </w:pPr>
            <w:r>
              <w:t>Moderate to high within selected NPDR/PDR contexts.</w:t>
            </w:r>
          </w:p>
        </w:tc>
        <w:tc>
          <w:tcPr>
            <w:tcW w:w="0" w:type="auto"/>
            <w:hideMark/>
          </w:tcPr>
          <w:p w14:paraId="141ACDAE" w14:textId="77777777" w:rsidR="007C619F" w:rsidRDefault="007C619F">
            <w:pPr>
              <w:spacing w:after="160"/>
            </w:pPr>
            <w:r>
              <w:t>Disease-control effects were consistent in selected settings; visual effects were smaller or context-dependent.</w:t>
            </w:r>
          </w:p>
        </w:tc>
        <w:tc>
          <w:tcPr>
            <w:tcW w:w="0" w:type="auto"/>
            <w:hideMark/>
          </w:tcPr>
          <w:p w14:paraId="63515258" w14:textId="77777777" w:rsidR="007C619F" w:rsidRDefault="007C619F">
            <w:pPr>
              <w:spacing w:after="160"/>
            </w:pPr>
            <w:r>
              <w:t>Durability, retreatment capacity, adherence, PRP context, and follow-up feasibility were central.</w:t>
            </w:r>
          </w:p>
        </w:tc>
        <w:tc>
          <w:tcPr>
            <w:tcW w:w="0" w:type="auto"/>
            <w:hideMark/>
          </w:tcPr>
          <w:p w14:paraId="41D0D468" w14:textId="77777777" w:rsidR="007C619F" w:rsidRDefault="007C619F">
            <w:pPr>
              <w:spacing w:after="160"/>
            </w:pPr>
            <w:r>
              <w:t>Conditional evidence.</w:t>
            </w:r>
          </w:p>
        </w:tc>
        <w:tc>
          <w:tcPr>
            <w:tcW w:w="0" w:type="auto"/>
            <w:hideMark/>
          </w:tcPr>
          <w:p w14:paraId="03717CD7" w14:textId="77777777" w:rsidR="007C619F" w:rsidRDefault="007C619F">
            <w:pPr>
              <w:spacing w:after="160"/>
            </w:pPr>
            <w:r>
              <w:t>Overlap did not negate disease-control evidence but prevented broader certainty because feasibility and durability strongly conditioned interpretation.</w:t>
            </w:r>
          </w:p>
        </w:tc>
      </w:tr>
      <w:tr w:rsidR="007C619F" w14:paraId="22A31F0C" w14:textId="77777777">
        <w:tc>
          <w:tcPr>
            <w:tcW w:w="0" w:type="auto"/>
            <w:hideMark/>
          </w:tcPr>
          <w:p w14:paraId="26BA9844" w14:textId="77777777" w:rsidR="007C619F" w:rsidRDefault="007C619F">
            <w:pPr>
              <w:spacing w:after="160"/>
            </w:pPr>
            <w:r>
              <w:t>Systemic safety of intravitreal anti-VEGF therapy</w:t>
            </w:r>
          </w:p>
        </w:tc>
        <w:tc>
          <w:tcPr>
            <w:tcW w:w="0" w:type="auto"/>
            <w:hideMark/>
          </w:tcPr>
          <w:p w14:paraId="5F703EA5" w14:textId="77777777" w:rsidR="007C619F" w:rsidRDefault="007C619F">
            <w:pPr>
              <w:spacing w:after="160"/>
            </w:pPr>
            <w:r>
              <w:t>22.2%</w:t>
            </w:r>
          </w:p>
        </w:tc>
        <w:tc>
          <w:tcPr>
            <w:tcW w:w="0" w:type="auto"/>
            <w:hideMark/>
          </w:tcPr>
          <w:p w14:paraId="702026E4" w14:textId="77777777" w:rsidR="007C619F" w:rsidRDefault="007C619F">
            <w:pPr>
              <w:spacing w:after="160"/>
            </w:pPr>
            <w:r>
              <w:t>Mostly older or contextual safety reviews; rare-event evidence limited.</w:t>
            </w:r>
          </w:p>
        </w:tc>
        <w:tc>
          <w:tcPr>
            <w:tcW w:w="0" w:type="auto"/>
            <w:hideMark/>
          </w:tcPr>
          <w:p w14:paraId="1C80E8B3" w14:textId="77777777" w:rsidR="007C619F" w:rsidRDefault="007C619F">
            <w:pPr>
              <w:spacing w:after="160"/>
            </w:pPr>
            <w:r>
              <w:t>Moderate; average-risk trial populations were more direct than high-risk vascular or renal subgroups.</w:t>
            </w:r>
          </w:p>
        </w:tc>
        <w:tc>
          <w:tcPr>
            <w:tcW w:w="0" w:type="auto"/>
            <w:hideMark/>
          </w:tcPr>
          <w:p w14:paraId="186BD5D9" w14:textId="77777777" w:rsidR="007C619F" w:rsidRDefault="007C619F">
            <w:pPr>
              <w:spacing w:after="160"/>
            </w:pPr>
            <w:r>
              <w:t>No clear overall systemic harm signal, but rare events remained uncertain.</w:t>
            </w:r>
          </w:p>
        </w:tc>
        <w:tc>
          <w:tcPr>
            <w:tcW w:w="0" w:type="auto"/>
            <w:hideMark/>
          </w:tcPr>
          <w:p w14:paraId="7BF7AFDC" w14:textId="77777777" w:rsidR="007C619F" w:rsidRDefault="007C619F">
            <w:pPr>
              <w:spacing w:after="160"/>
            </w:pPr>
            <w:r>
              <w:t>Rare-event underpowering, high-risk subgroup underrepresentation, renal uncertainty, and high cumulative exposure concerns.</w:t>
            </w:r>
          </w:p>
        </w:tc>
        <w:tc>
          <w:tcPr>
            <w:tcW w:w="0" w:type="auto"/>
            <w:hideMark/>
          </w:tcPr>
          <w:p w14:paraId="68227671" w14:textId="77777777" w:rsidR="007C619F" w:rsidRDefault="007C619F">
            <w:pPr>
              <w:spacing w:after="160"/>
            </w:pPr>
            <w:r>
              <w:t>Supplementary evidence.</w:t>
            </w:r>
          </w:p>
        </w:tc>
        <w:tc>
          <w:tcPr>
            <w:tcW w:w="0" w:type="auto"/>
            <w:hideMark/>
          </w:tcPr>
          <w:p w14:paraId="0D26C012" w14:textId="77777777" w:rsidR="007C619F" w:rsidRDefault="007C619F">
            <w:pPr>
              <w:spacing w:after="160"/>
            </w:pPr>
            <w:r>
              <w:t>Very high overlap prevented reassurance from being upgraded; safety remained contextual and cautious.</w:t>
            </w:r>
          </w:p>
        </w:tc>
      </w:tr>
      <w:tr w:rsidR="007C619F" w14:paraId="78ACFC90" w14:textId="77777777">
        <w:tc>
          <w:tcPr>
            <w:tcW w:w="0" w:type="auto"/>
            <w:hideMark/>
          </w:tcPr>
          <w:p w14:paraId="66EAE526" w14:textId="77777777" w:rsidR="007C619F" w:rsidRDefault="007C619F">
            <w:pPr>
              <w:spacing w:after="160"/>
            </w:pPr>
            <w:r>
              <w:t xml:space="preserve">Real-world </w:t>
            </w:r>
            <w:r>
              <w:lastRenderedPageBreak/>
              <w:t>outcomes and treatment burden</w:t>
            </w:r>
          </w:p>
        </w:tc>
        <w:tc>
          <w:tcPr>
            <w:tcW w:w="0" w:type="auto"/>
            <w:hideMark/>
          </w:tcPr>
          <w:p w14:paraId="5C65E22E" w14:textId="77777777" w:rsidR="007C619F" w:rsidRDefault="007C619F">
            <w:pPr>
              <w:spacing w:after="160"/>
            </w:pPr>
            <w:r>
              <w:lastRenderedPageBreak/>
              <w:t>9.9%</w:t>
            </w:r>
          </w:p>
        </w:tc>
        <w:tc>
          <w:tcPr>
            <w:tcW w:w="0" w:type="auto"/>
            <w:hideMark/>
          </w:tcPr>
          <w:p w14:paraId="4BA2F6D2" w14:textId="77777777" w:rsidR="007C619F" w:rsidRDefault="007C619F">
            <w:pPr>
              <w:spacing w:after="160"/>
            </w:pPr>
            <w:r>
              <w:t>Mostly observati</w:t>
            </w:r>
            <w:r>
              <w:lastRenderedPageBreak/>
              <w:t>onal or implementation-focused evidence.</w:t>
            </w:r>
          </w:p>
        </w:tc>
        <w:tc>
          <w:tcPr>
            <w:tcW w:w="0" w:type="auto"/>
            <w:hideMark/>
          </w:tcPr>
          <w:p w14:paraId="45E3B6A6" w14:textId="77777777" w:rsidR="007C619F" w:rsidRDefault="007C619F">
            <w:pPr>
              <w:spacing w:after="160"/>
            </w:pPr>
            <w:r>
              <w:lastRenderedPageBreak/>
              <w:t>High for implemen</w:t>
            </w:r>
            <w:r>
              <w:lastRenderedPageBreak/>
              <w:t>tation context, lower for comparative efficacy.</w:t>
            </w:r>
          </w:p>
        </w:tc>
        <w:tc>
          <w:tcPr>
            <w:tcW w:w="0" w:type="auto"/>
            <w:hideMark/>
          </w:tcPr>
          <w:p w14:paraId="4BE2C869" w14:textId="77777777" w:rsidR="007C619F" w:rsidRDefault="007C619F">
            <w:pPr>
              <w:spacing w:after="160"/>
            </w:pPr>
            <w:r>
              <w:lastRenderedPageBreak/>
              <w:t xml:space="preserve">Consistent </w:t>
            </w:r>
            <w:r>
              <w:lastRenderedPageBreak/>
              <w:t>signal of lower injection intensity and smaller routine-practice gains than trials.</w:t>
            </w:r>
          </w:p>
        </w:tc>
        <w:tc>
          <w:tcPr>
            <w:tcW w:w="0" w:type="auto"/>
            <w:hideMark/>
          </w:tcPr>
          <w:p w14:paraId="562F3045" w14:textId="77777777" w:rsidR="007C619F" w:rsidRDefault="007C619F">
            <w:pPr>
              <w:spacing w:after="160"/>
            </w:pPr>
            <w:r>
              <w:lastRenderedPageBreak/>
              <w:t xml:space="preserve">Selection bias, </w:t>
            </w:r>
            <w:r>
              <w:lastRenderedPageBreak/>
              <w:t>access, adherence, monitoring heterogeneity, and outcome-maintenance uncertainty.</w:t>
            </w:r>
          </w:p>
        </w:tc>
        <w:tc>
          <w:tcPr>
            <w:tcW w:w="0" w:type="auto"/>
            <w:hideMark/>
          </w:tcPr>
          <w:p w14:paraId="6B5BB5E2" w14:textId="77777777" w:rsidR="007C619F" w:rsidRDefault="007C619F">
            <w:pPr>
              <w:spacing w:after="160"/>
            </w:pPr>
            <w:r>
              <w:lastRenderedPageBreak/>
              <w:t xml:space="preserve">Supplementary </w:t>
            </w:r>
            <w:r>
              <w:lastRenderedPageBreak/>
              <w:t>evidence.</w:t>
            </w:r>
          </w:p>
        </w:tc>
        <w:tc>
          <w:tcPr>
            <w:tcW w:w="0" w:type="auto"/>
            <w:hideMark/>
          </w:tcPr>
          <w:p w14:paraId="385D91BE" w14:textId="77777777" w:rsidR="007C619F" w:rsidRDefault="007C619F">
            <w:pPr>
              <w:spacing w:after="160"/>
            </w:pPr>
            <w:r>
              <w:lastRenderedPageBreak/>
              <w:t xml:space="preserve">Moderate </w:t>
            </w:r>
            <w:r>
              <w:lastRenderedPageBreak/>
              <w:t>overlap supported contextual interpretation; observational limitations, not overlap alone, prevented category upgrade.</w:t>
            </w:r>
          </w:p>
        </w:tc>
      </w:tr>
      <w:tr w:rsidR="007C619F" w14:paraId="581F7041" w14:textId="77777777">
        <w:tc>
          <w:tcPr>
            <w:tcW w:w="0" w:type="auto"/>
            <w:hideMark/>
          </w:tcPr>
          <w:p w14:paraId="1F6218A6" w14:textId="77777777" w:rsidR="007C619F" w:rsidRDefault="007C619F">
            <w:pPr>
              <w:spacing w:after="160"/>
            </w:pPr>
            <w:r>
              <w:lastRenderedPageBreak/>
              <w:t>PDS and sustained-delivery contextual material</w:t>
            </w:r>
          </w:p>
        </w:tc>
        <w:tc>
          <w:tcPr>
            <w:tcW w:w="0" w:type="auto"/>
            <w:hideMark/>
          </w:tcPr>
          <w:p w14:paraId="1158675B" w14:textId="77777777" w:rsidR="007C619F" w:rsidRDefault="007C619F">
            <w:pPr>
              <w:spacing w:after="160"/>
            </w:pPr>
            <w:r>
              <w:t>Not applicable</w:t>
            </w:r>
          </w:p>
        </w:tc>
        <w:tc>
          <w:tcPr>
            <w:tcW w:w="0" w:type="auto"/>
            <w:hideMark/>
          </w:tcPr>
          <w:p w14:paraId="0781D9BD" w14:textId="77777777" w:rsidR="007C619F" w:rsidRDefault="007C619F">
            <w:pPr>
              <w:spacing w:after="160"/>
            </w:pPr>
            <w:r>
              <w:t>No mature eligible DME/DR review-level synthesis at final search date.</w:t>
            </w:r>
          </w:p>
        </w:tc>
        <w:tc>
          <w:tcPr>
            <w:tcW w:w="0" w:type="auto"/>
            <w:hideMark/>
          </w:tcPr>
          <w:p w14:paraId="1B8AECAC" w14:textId="77777777" w:rsidR="007C619F" w:rsidRDefault="007C619F">
            <w:pPr>
              <w:spacing w:after="160"/>
            </w:pPr>
            <w:r>
              <w:t>Potentially direct primary RCT context, but outside eligible hierarchy.</w:t>
            </w:r>
          </w:p>
        </w:tc>
        <w:tc>
          <w:tcPr>
            <w:tcW w:w="0" w:type="auto"/>
            <w:hideMark/>
          </w:tcPr>
          <w:p w14:paraId="3BA64120" w14:textId="77777777" w:rsidR="007C619F" w:rsidRDefault="007C619F">
            <w:pPr>
              <w:spacing w:after="160"/>
            </w:pPr>
            <w:r>
              <w:t>Emerging durability and burden signals require review-level synthesis.</w:t>
            </w:r>
          </w:p>
        </w:tc>
        <w:tc>
          <w:tcPr>
            <w:tcW w:w="0" w:type="auto"/>
            <w:hideMark/>
          </w:tcPr>
          <w:p w14:paraId="741D3CC4" w14:textId="77777777" w:rsidR="007C619F" w:rsidRDefault="007C619F">
            <w:pPr>
              <w:spacing w:after="160"/>
            </w:pPr>
            <w:r>
              <w:t>Device-specific safety, refill-exchange burden, and long-term durability require mature synthesis.</w:t>
            </w:r>
          </w:p>
        </w:tc>
        <w:tc>
          <w:tcPr>
            <w:tcW w:w="0" w:type="auto"/>
            <w:hideMark/>
          </w:tcPr>
          <w:p w14:paraId="20B12ABC" w14:textId="77777777" w:rsidR="007C619F" w:rsidRDefault="007C619F">
            <w:pPr>
              <w:spacing w:after="160"/>
            </w:pPr>
            <w:r>
              <w:t>Context only / not classified.</w:t>
            </w:r>
          </w:p>
        </w:tc>
        <w:tc>
          <w:tcPr>
            <w:tcW w:w="0" w:type="auto"/>
            <w:hideMark/>
          </w:tcPr>
          <w:p w14:paraId="47C127C4" w14:textId="77777777" w:rsidR="007C619F" w:rsidRDefault="007C619F">
            <w:pPr>
              <w:spacing w:after="160"/>
            </w:pPr>
            <w:r>
              <w:t>Not assessed by CCA/wCCA because contextual primary or registry material did not enter category assignment.</w:t>
            </w:r>
          </w:p>
        </w:tc>
      </w:tr>
    </w:tbl>
    <w:p w14:paraId="04A9B380" w14:textId="77777777" w:rsidR="007C619F" w:rsidRDefault="007C619F">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Table S4C applies the prespecified overlap-interpretation rules at the evidence-domain level. Standard domain-specific CCA was the operative overlap metric for interpretation. Overlap did not automatically downgrade a domain; it limited claims of independent corroboration and affected category assignment only when combined with weaker AMSTAR 2 profile, limited phenotype directness, inconsistent outcomes, safety or durability concerns, or limited nonredundant contribution. All conclusions and evidence-category assignments were based on standard CCA, AMSTAR 2 confidence, directness, consistency, clinical relevance, safety, durability, and nonredundant contribution, not on exploratory wCCA.</w:t>
      </w:r>
    </w:p>
    <w:p w14:paraId="2D84FE01" w14:textId="77777777" w:rsidR="00F15885" w:rsidRDefault="00F15885">
      <w:pPr>
        <w:rPr>
          <w:kern w:val="0"/>
          <w14:ligatures w14:val="none"/>
        </w:rPr>
      </w:pPr>
      <w:r>
        <w:rPr>
          <w:rFonts w:ascii="Times New Roman" w:hAnsi="Times New Roman"/>
          <w:b/>
          <w:bCs/>
          <w:color w:val="000000"/>
          <w:sz w:val="36"/>
          <w:szCs w:val="36"/>
        </w:rPr>
        <w:t>Table S4D. Mixed-phenotype review reassignment sensitivity analysis</w:t>
      </w:r>
    </w:p>
    <w:tbl>
      <w:tblPr>
        <w:tblStyle w:val="TableGrid"/>
        <w:tblW w:w="5000" w:type="pct"/>
        <w:tblLook w:val="04A0" w:firstRow="1" w:lastRow="0" w:firstColumn="1" w:lastColumn="0" w:noHBand="0" w:noVBand="1"/>
      </w:tblPr>
      <w:tblGrid>
        <w:gridCol w:w="1489"/>
        <w:gridCol w:w="1758"/>
        <w:gridCol w:w="2335"/>
        <w:gridCol w:w="2173"/>
        <w:gridCol w:w="1232"/>
      </w:tblGrid>
      <w:tr w:rsidR="0032014D" w14:paraId="4D8A5E1E" w14:textId="77777777" w:rsidTr="0032014D">
        <w:trPr>
          <w:cnfStyle w:val="100000000000" w:firstRow="1" w:lastRow="0" w:firstColumn="0" w:lastColumn="0" w:oddVBand="0" w:evenVBand="0" w:oddHBand="0" w:evenHBand="0" w:firstRowFirstColumn="0" w:firstRowLastColumn="0" w:lastRowFirstColumn="0" w:lastRowLastColumn="0"/>
        </w:trPr>
        <w:tc>
          <w:tcPr>
            <w:tcW w:w="0" w:type="auto"/>
            <w:tcBorders>
              <w:top w:val="single" w:sz="6" w:space="0" w:color="A6A6A6"/>
              <w:left w:val="single" w:sz="6" w:space="0" w:color="A6A6A6"/>
              <w:bottom w:val="single" w:sz="6" w:space="0" w:color="A6A6A6"/>
              <w:right w:val="single" w:sz="6" w:space="0" w:color="A6A6A6"/>
            </w:tcBorders>
            <w:shd w:val="clear" w:color="auto" w:fill="F5F5F5"/>
            <w:hideMark/>
          </w:tcPr>
          <w:p w14:paraId="213870BA" w14:textId="77777777" w:rsidR="0032014D" w:rsidRDefault="0032014D">
            <w:pPr>
              <w:jc w:val="center"/>
              <w:rPr>
                <w:kern w:val="0"/>
                <w14:ligatures w14:val="none"/>
              </w:rPr>
            </w:pPr>
            <w:r>
              <w:rPr>
                <w:b/>
                <w:bCs/>
                <w:color w:val="000000"/>
              </w:rPr>
              <w:t>Mixed review or evidence source</w:t>
            </w:r>
          </w:p>
        </w:tc>
        <w:tc>
          <w:tcPr>
            <w:tcW w:w="0" w:type="auto"/>
            <w:tcBorders>
              <w:top w:val="single" w:sz="6" w:space="0" w:color="A6A6A6"/>
              <w:bottom w:val="single" w:sz="6" w:space="0" w:color="A6A6A6"/>
              <w:right w:val="single" w:sz="6" w:space="0" w:color="A6A6A6"/>
            </w:tcBorders>
            <w:shd w:val="clear" w:color="auto" w:fill="F5F5F5"/>
            <w:hideMark/>
          </w:tcPr>
          <w:p w14:paraId="0D494F90" w14:textId="77777777" w:rsidR="0032014D" w:rsidRDefault="0032014D">
            <w:pPr>
              <w:jc w:val="center"/>
            </w:pPr>
            <w:r>
              <w:rPr>
                <w:b/>
                <w:bCs/>
                <w:color w:val="000000"/>
              </w:rPr>
              <w:t>Primary assigned domain</w:t>
            </w:r>
          </w:p>
        </w:tc>
        <w:tc>
          <w:tcPr>
            <w:tcW w:w="0" w:type="auto"/>
            <w:tcBorders>
              <w:top w:val="single" w:sz="6" w:space="0" w:color="A6A6A6"/>
              <w:bottom w:val="single" w:sz="6" w:space="0" w:color="A6A6A6"/>
              <w:right w:val="single" w:sz="6" w:space="0" w:color="A6A6A6"/>
            </w:tcBorders>
            <w:shd w:val="clear" w:color="auto" w:fill="F5F5F5"/>
            <w:hideMark/>
          </w:tcPr>
          <w:p w14:paraId="507DFF6F" w14:textId="77777777" w:rsidR="0032014D" w:rsidRDefault="0032014D">
            <w:pPr>
              <w:jc w:val="center"/>
            </w:pPr>
            <w:r>
              <w:rPr>
                <w:b/>
                <w:bCs/>
                <w:color w:val="000000"/>
              </w:rPr>
              <w:t>Secondary phenotype/domain extracted where possible</w:t>
            </w:r>
          </w:p>
        </w:tc>
        <w:tc>
          <w:tcPr>
            <w:tcW w:w="0" w:type="auto"/>
            <w:tcBorders>
              <w:top w:val="single" w:sz="6" w:space="0" w:color="A6A6A6"/>
              <w:bottom w:val="single" w:sz="6" w:space="0" w:color="A6A6A6"/>
              <w:right w:val="single" w:sz="6" w:space="0" w:color="A6A6A6"/>
            </w:tcBorders>
            <w:shd w:val="clear" w:color="auto" w:fill="F5F5F5"/>
            <w:hideMark/>
          </w:tcPr>
          <w:p w14:paraId="0CBD210A" w14:textId="77777777" w:rsidR="0032014D" w:rsidRDefault="0032014D">
            <w:pPr>
              <w:jc w:val="center"/>
            </w:pPr>
            <w:r>
              <w:rPr>
                <w:b/>
                <w:bCs/>
                <w:color w:val="000000"/>
              </w:rPr>
              <w:t>Sensitivity reassignment implication</w:t>
            </w:r>
          </w:p>
        </w:tc>
        <w:tc>
          <w:tcPr>
            <w:tcW w:w="0" w:type="auto"/>
            <w:tcBorders>
              <w:top w:val="single" w:sz="6" w:space="0" w:color="A6A6A6"/>
              <w:bottom w:val="single" w:sz="6" w:space="0" w:color="A6A6A6"/>
              <w:right w:val="single" w:sz="6" w:space="0" w:color="A6A6A6"/>
            </w:tcBorders>
            <w:shd w:val="clear" w:color="auto" w:fill="F5F5F5"/>
            <w:hideMark/>
          </w:tcPr>
          <w:p w14:paraId="4EA93CB2" w14:textId="77777777" w:rsidR="0032014D" w:rsidRDefault="0032014D">
            <w:pPr>
              <w:jc w:val="center"/>
            </w:pPr>
            <w:r>
              <w:rPr>
                <w:b/>
                <w:bCs/>
                <w:color w:val="000000"/>
              </w:rPr>
              <w:t>Changed final category?</w:t>
            </w:r>
          </w:p>
        </w:tc>
      </w:tr>
      <w:tr w:rsidR="007C619F" w14:paraId="17B70125" w14:textId="77777777">
        <w:tc>
          <w:tcPr>
            <w:tcW w:w="0" w:type="auto"/>
            <w:hideMark/>
          </w:tcPr>
          <w:p w14:paraId="4AAFD06C" w14:textId="3AA814AE" w:rsidR="007C619F" w:rsidRPr="0032014D" w:rsidRDefault="0032014D" w:rsidP="0032014D">
            <w:pPr>
              <w:rPr>
                <w:kern w:val="0"/>
                <w:lang w:val="es-ES"/>
                <w14:ligatures w14:val="none"/>
              </w:rPr>
            </w:pPr>
            <w:r w:rsidRPr="0032014D">
              <w:rPr>
                <w:lang w:val="es-ES"/>
              </w:rPr>
              <w:lastRenderedPageBreak/>
              <w:t>Chen K-Y et al. 2025</w:t>
            </w:r>
          </w:p>
        </w:tc>
        <w:tc>
          <w:tcPr>
            <w:tcW w:w="0" w:type="auto"/>
            <w:hideMark/>
          </w:tcPr>
          <w:p w14:paraId="55DBA4D6" w14:textId="77777777" w:rsidR="007C619F" w:rsidRDefault="007C619F">
            <w:pPr>
              <w:spacing w:after="160"/>
            </w:pPr>
            <w:r>
              <w:t>NPDR/PDR disease-control strategies</w:t>
            </w:r>
          </w:p>
        </w:tc>
        <w:tc>
          <w:tcPr>
            <w:tcW w:w="0" w:type="auto"/>
            <w:hideMark/>
          </w:tcPr>
          <w:p w14:paraId="664F8B45" w14:textId="77777777" w:rsidR="007C619F" w:rsidRDefault="007C619F">
            <w:pPr>
              <w:spacing w:after="160"/>
            </w:pPr>
            <w:r>
              <w:t>DME/DR anti-VEGF and combination-therapy signals were extracted only as domain-specific supporting context.</w:t>
            </w:r>
          </w:p>
        </w:tc>
        <w:tc>
          <w:tcPr>
            <w:tcW w:w="0" w:type="auto"/>
            <w:hideMark/>
          </w:tcPr>
          <w:p w14:paraId="149EB4A1" w14:textId="77777777" w:rsidR="007C619F" w:rsidRDefault="007C619F">
            <w:pPr>
              <w:spacing w:after="160"/>
            </w:pPr>
            <w:r>
              <w:t>Reassignment to anti-VEGF or combination domains did not add an independent primary anchor because evidence overlapped with existing anti-VEGF, PRP, and combination networks.</w:t>
            </w:r>
          </w:p>
        </w:tc>
        <w:tc>
          <w:tcPr>
            <w:tcW w:w="0" w:type="auto"/>
            <w:hideMark/>
          </w:tcPr>
          <w:p w14:paraId="278440CF" w14:textId="77777777" w:rsidR="007C619F" w:rsidRDefault="007C619F">
            <w:pPr>
              <w:spacing w:after="160"/>
            </w:pPr>
            <w:r>
              <w:t>No.</w:t>
            </w:r>
          </w:p>
        </w:tc>
      </w:tr>
      <w:tr w:rsidR="007C619F" w14:paraId="08C7B299" w14:textId="77777777">
        <w:tc>
          <w:tcPr>
            <w:tcW w:w="0" w:type="auto"/>
            <w:hideMark/>
          </w:tcPr>
          <w:p w14:paraId="62B3A7E7" w14:textId="77777777" w:rsidR="007C619F" w:rsidRDefault="007C619F">
            <w:pPr>
              <w:spacing w:after="160"/>
            </w:pPr>
            <w:r>
              <w:t>Li et al. 2023</w:t>
            </w:r>
          </w:p>
        </w:tc>
        <w:tc>
          <w:tcPr>
            <w:tcW w:w="0" w:type="auto"/>
            <w:hideMark/>
          </w:tcPr>
          <w:p w14:paraId="213D435A" w14:textId="77777777" w:rsidR="007C619F" w:rsidRDefault="007C619F">
            <w:pPr>
              <w:spacing w:after="160"/>
            </w:pPr>
            <w:r>
              <w:t>Anti-VEGF therapy for CI-DME with visual impairment</w:t>
            </w:r>
          </w:p>
        </w:tc>
        <w:tc>
          <w:tcPr>
            <w:tcW w:w="0" w:type="auto"/>
            <w:hideMark/>
          </w:tcPr>
          <w:p w14:paraId="464DA5E4" w14:textId="77777777" w:rsidR="007C619F" w:rsidRDefault="007C619F">
            <w:pPr>
              <w:spacing w:after="160"/>
            </w:pPr>
            <w:r>
              <w:t>Mixed DME and nAMD faricimab evidence; DME-specific conclusions were extracted where separable.</w:t>
            </w:r>
          </w:p>
        </w:tc>
        <w:tc>
          <w:tcPr>
            <w:tcW w:w="0" w:type="auto"/>
            <w:hideMark/>
          </w:tcPr>
          <w:p w14:paraId="2BE1FFA2" w14:textId="77777777" w:rsidR="007C619F" w:rsidRDefault="007C619F">
            <w:pPr>
              <w:spacing w:after="160"/>
            </w:pPr>
            <w:r>
              <w:t>Because mixed-disease scope limited directness, the review remained contextual for agent-selection and durability rather than category-determining.</w:t>
            </w:r>
          </w:p>
        </w:tc>
        <w:tc>
          <w:tcPr>
            <w:tcW w:w="0" w:type="auto"/>
            <w:hideMark/>
          </w:tcPr>
          <w:p w14:paraId="1818C198" w14:textId="77777777" w:rsidR="007C619F" w:rsidRDefault="007C619F">
            <w:pPr>
              <w:spacing w:after="160"/>
            </w:pPr>
            <w:r>
              <w:t>No.</w:t>
            </w:r>
          </w:p>
        </w:tc>
      </w:tr>
      <w:tr w:rsidR="007C619F" w14:paraId="742AAFD1" w14:textId="77777777">
        <w:tc>
          <w:tcPr>
            <w:tcW w:w="0" w:type="auto"/>
            <w:hideMark/>
          </w:tcPr>
          <w:p w14:paraId="701B4AE8" w14:textId="77777777" w:rsidR="007C619F" w:rsidRDefault="007C619F">
            <w:pPr>
              <w:spacing w:after="160"/>
            </w:pPr>
            <w:r>
              <w:t>Alali et al. 2025</w:t>
            </w:r>
          </w:p>
        </w:tc>
        <w:tc>
          <w:tcPr>
            <w:tcW w:w="0" w:type="auto"/>
            <w:hideMark/>
          </w:tcPr>
          <w:p w14:paraId="62159061" w14:textId="77777777" w:rsidR="007C619F" w:rsidRDefault="007C619F">
            <w:pPr>
              <w:spacing w:after="160"/>
            </w:pPr>
            <w:r>
              <w:t>Systemic and treatment-specific safety</w:t>
            </w:r>
          </w:p>
        </w:tc>
        <w:tc>
          <w:tcPr>
            <w:tcW w:w="0" w:type="auto"/>
            <w:hideMark/>
          </w:tcPr>
          <w:p w14:paraId="7050BADE" w14:textId="77777777" w:rsidR="007C619F" w:rsidRDefault="007C619F">
            <w:pPr>
              <w:spacing w:after="160"/>
            </w:pPr>
            <w:r>
              <w:t>Mixed DME/nAMD brolucizumab safety and durability context.</w:t>
            </w:r>
          </w:p>
        </w:tc>
        <w:tc>
          <w:tcPr>
            <w:tcW w:w="0" w:type="auto"/>
            <w:hideMark/>
          </w:tcPr>
          <w:p w14:paraId="641DCA7C" w14:textId="77777777" w:rsidR="007C619F" w:rsidRDefault="007C619F">
            <w:pPr>
              <w:spacing w:after="160"/>
            </w:pPr>
            <w:r>
              <w:t>Critically low AMSTAR 2 confidence meant reassignment could not affect any evidence category; retained only as labelled safety context.</w:t>
            </w:r>
          </w:p>
        </w:tc>
        <w:tc>
          <w:tcPr>
            <w:tcW w:w="0" w:type="auto"/>
            <w:hideMark/>
          </w:tcPr>
          <w:p w14:paraId="65EDF05B" w14:textId="77777777" w:rsidR="007C619F" w:rsidRDefault="007C619F">
            <w:pPr>
              <w:spacing w:after="160"/>
            </w:pPr>
            <w:r>
              <w:t>No.</w:t>
            </w:r>
          </w:p>
        </w:tc>
      </w:tr>
      <w:tr w:rsidR="007C619F" w14:paraId="12C0E81A" w14:textId="77777777">
        <w:tc>
          <w:tcPr>
            <w:tcW w:w="0" w:type="auto"/>
            <w:hideMark/>
          </w:tcPr>
          <w:p w14:paraId="24A7E02F" w14:textId="77777777" w:rsidR="007C619F" w:rsidRDefault="007C619F">
            <w:pPr>
              <w:spacing w:after="160"/>
            </w:pPr>
            <w:r>
              <w:t>Friedman 2025</w:t>
            </w:r>
          </w:p>
        </w:tc>
        <w:tc>
          <w:tcPr>
            <w:tcW w:w="0" w:type="auto"/>
            <w:hideMark/>
          </w:tcPr>
          <w:p w14:paraId="57503D45" w14:textId="77777777" w:rsidR="007C619F" w:rsidRDefault="007C619F">
            <w:pPr>
              <w:spacing w:after="160"/>
            </w:pPr>
            <w:r>
              <w:t>Real-world outcomes and treatment burden</w:t>
            </w:r>
          </w:p>
        </w:tc>
        <w:tc>
          <w:tcPr>
            <w:tcW w:w="0" w:type="auto"/>
            <w:hideMark/>
          </w:tcPr>
          <w:p w14:paraId="3C4B63DF" w14:textId="77777777" w:rsidR="007C619F" w:rsidRDefault="007C619F">
            <w:pPr>
              <w:spacing w:after="160"/>
            </w:pPr>
            <w:r>
              <w:t>Mixed DME/nAMD durability and extended-dosing evidence; DME trials were interpreted separately where identifiable.</w:t>
            </w:r>
          </w:p>
        </w:tc>
        <w:tc>
          <w:tcPr>
            <w:tcW w:w="0" w:type="auto"/>
            <w:hideMark/>
          </w:tcPr>
          <w:p w14:paraId="334339C1" w14:textId="77777777" w:rsidR="007C619F" w:rsidRDefault="007C619F">
            <w:pPr>
              <w:spacing w:after="160"/>
            </w:pPr>
            <w:r>
              <w:t>Reassignment to the anti-VEGF domain did not change the primary anchor because the review was supportive and indirect for broad CI-DME classification.</w:t>
            </w:r>
          </w:p>
        </w:tc>
        <w:tc>
          <w:tcPr>
            <w:tcW w:w="0" w:type="auto"/>
            <w:hideMark/>
          </w:tcPr>
          <w:p w14:paraId="350B6F7D" w14:textId="77777777" w:rsidR="007C619F" w:rsidRDefault="007C619F">
            <w:pPr>
              <w:spacing w:after="160"/>
            </w:pPr>
            <w:r>
              <w:t>No.</w:t>
            </w:r>
          </w:p>
        </w:tc>
      </w:tr>
      <w:tr w:rsidR="007C619F" w14:paraId="7074362F" w14:textId="77777777">
        <w:tc>
          <w:tcPr>
            <w:tcW w:w="0" w:type="auto"/>
            <w:hideMark/>
          </w:tcPr>
          <w:p w14:paraId="0D94F12F" w14:textId="77777777" w:rsidR="007C619F" w:rsidRDefault="007C619F">
            <w:pPr>
              <w:spacing w:after="160"/>
            </w:pPr>
            <w:proofErr w:type="spellStart"/>
            <w:r>
              <w:t>Nichani</w:t>
            </w:r>
            <w:proofErr w:type="spellEnd"/>
            <w:r>
              <w:t xml:space="preserve"> 2024</w:t>
            </w:r>
          </w:p>
        </w:tc>
        <w:tc>
          <w:tcPr>
            <w:tcW w:w="0" w:type="auto"/>
            <w:hideMark/>
          </w:tcPr>
          <w:p w14:paraId="25F55358" w14:textId="77777777" w:rsidR="007C619F" w:rsidRDefault="007C619F">
            <w:pPr>
              <w:spacing w:after="160"/>
            </w:pPr>
            <w:r>
              <w:t>Anti-VEGF therapy / agent-selection context</w:t>
            </w:r>
          </w:p>
        </w:tc>
        <w:tc>
          <w:tcPr>
            <w:tcW w:w="0" w:type="auto"/>
            <w:hideMark/>
          </w:tcPr>
          <w:p w14:paraId="4F8B2472" w14:textId="77777777" w:rsidR="007C619F" w:rsidRDefault="007C619F">
            <w:pPr>
              <w:spacing w:after="160"/>
            </w:pPr>
            <w:r>
              <w:t>Mixed FDA-indicated retinal diseases including DME; DME proportion and outcomes were considered where separable.</w:t>
            </w:r>
          </w:p>
        </w:tc>
        <w:tc>
          <w:tcPr>
            <w:tcW w:w="0" w:type="auto"/>
            <w:hideMark/>
          </w:tcPr>
          <w:p w14:paraId="2801FC36" w14:textId="77777777" w:rsidR="007C619F" w:rsidRDefault="007C619F">
            <w:pPr>
              <w:spacing w:after="160"/>
            </w:pPr>
            <w:r>
              <w:t>Mixed-disease and mixed-design limitations prevented category upgrade; the review remained supplementary for faricimab context.</w:t>
            </w:r>
          </w:p>
        </w:tc>
        <w:tc>
          <w:tcPr>
            <w:tcW w:w="0" w:type="auto"/>
            <w:hideMark/>
          </w:tcPr>
          <w:p w14:paraId="6F357270" w14:textId="77777777" w:rsidR="007C619F" w:rsidRDefault="007C619F">
            <w:pPr>
              <w:spacing w:after="160"/>
            </w:pPr>
            <w:r>
              <w:t>No.</w:t>
            </w:r>
          </w:p>
        </w:tc>
      </w:tr>
      <w:tr w:rsidR="007C619F" w14:paraId="27944188" w14:textId="77777777">
        <w:tc>
          <w:tcPr>
            <w:tcW w:w="0" w:type="auto"/>
            <w:hideMark/>
          </w:tcPr>
          <w:p w14:paraId="354FA0E3" w14:textId="77777777" w:rsidR="007C619F" w:rsidRDefault="007C619F">
            <w:pPr>
              <w:spacing w:after="160"/>
            </w:pPr>
            <w:r>
              <w:t>Mehta 2022</w:t>
            </w:r>
          </w:p>
        </w:tc>
        <w:tc>
          <w:tcPr>
            <w:tcW w:w="0" w:type="auto"/>
            <w:hideMark/>
          </w:tcPr>
          <w:p w14:paraId="4ADBE906" w14:textId="77777777" w:rsidR="007C619F" w:rsidRDefault="007C619F">
            <w:pPr>
              <w:spacing w:after="160"/>
            </w:pPr>
            <w:r>
              <w:t xml:space="preserve">Real-world outcomes and </w:t>
            </w:r>
            <w:r>
              <w:lastRenderedPageBreak/>
              <w:t>treatment burden</w:t>
            </w:r>
          </w:p>
        </w:tc>
        <w:tc>
          <w:tcPr>
            <w:tcW w:w="0" w:type="auto"/>
            <w:hideMark/>
          </w:tcPr>
          <w:p w14:paraId="71876CBC" w14:textId="77777777" w:rsidR="007C619F" w:rsidRDefault="007C619F">
            <w:pPr>
              <w:spacing w:after="160"/>
            </w:pPr>
            <w:r>
              <w:lastRenderedPageBreak/>
              <w:t xml:space="preserve">Anti-VEGF, steroid, and laser real-world </w:t>
            </w:r>
            <w:r>
              <w:lastRenderedPageBreak/>
              <w:t>DME treatment modalities.</w:t>
            </w:r>
          </w:p>
        </w:tc>
        <w:tc>
          <w:tcPr>
            <w:tcW w:w="0" w:type="auto"/>
            <w:hideMark/>
          </w:tcPr>
          <w:p w14:paraId="7363552A" w14:textId="77777777" w:rsidR="007C619F" w:rsidRDefault="007C619F">
            <w:pPr>
              <w:spacing w:after="160"/>
            </w:pPr>
            <w:r>
              <w:lastRenderedPageBreak/>
              <w:t xml:space="preserve">Domain-specific conclusions were </w:t>
            </w:r>
            <w:r>
              <w:lastRenderedPageBreak/>
              <w:t>extracted for implementation context, but reassignment to anti-VEGF or steroid domains did not alter category assignment because the review was observational and implementation-focused.</w:t>
            </w:r>
          </w:p>
        </w:tc>
        <w:tc>
          <w:tcPr>
            <w:tcW w:w="0" w:type="auto"/>
            <w:hideMark/>
          </w:tcPr>
          <w:p w14:paraId="44C7299D" w14:textId="77777777" w:rsidR="007C619F" w:rsidRDefault="007C619F">
            <w:pPr>
              <w:spacing w:after="160"/>
            </w:pPr>
            <w:r>
              <w:lastRenderedPageBreak/>
              <w:t>No.</w:t>
            </w:r>
          </w:p>
        </w:tc>
      </w:tr>
      <w:tr w:rsidR="007C619F" w14:paraId="700CA25D" w14:textId="77777777">
        <w:tc>
          <w:tcPr>
            <w:tcW w:w="0" w:type="auto"/>
            <w:hideMark/>
          </w:tcPr>
          <w:p w14:paraId="7DA2BB8B" w14:textId="77777777" w:rsidR="007C619F" w:rsidRDefault="007C619F">
            <w:pPr>
              <w:spacing w:after="160"/>
            </w:pPr>
            <w:r>
              <w:t>Thagaard 2022</w:t>
            </w:r>
          </w:p>
        </w:tc>
        <w:tc>
          <w:tcPr>
            <w:tcW w:w="0" w:type="auto"/>
            <w:hideMark/>
          </w:tcPr>
          <w:p w14:paraId="6701CC17" w14:textId="77777777" w:rsidR="007C619F" w:rsidRDefault="007C619F">
            <w:pPr>
              <w:spacing w:after="160"/>
            </w:pPr>
            <w:r>
              <w:t>NPDR/PDR disease-control strategies</w:t>
            </w:r>
          </w:p>
        </w:tc>
        <w:tc>
          <w:tcPr>
            <w:tcW w:w="0" w:type="auto"/>
            <w:hideMark/>
          </w:tcPr>
          <w:p w14:paraId="4AFF6D4A" w14:textId="77777777" w:rsidR="007C619F" w:rsidRDefault="007C619F">
            <w:pPr>
              <w:spacing w:after="160"/>
            </w:pPr>
            <w:r>
              <w:t>Topical pharmacologic evidence across DR/DMO contexts.</w:t>
            </w:r>
          </w:p>
        </w:tc>
        <w:tc>
          <w:tcPr>
            <w:tcW w:w="0" w:type="auto"/>
            <w:hideMark/>
          </w:tcPr>
          <w:p w14:paraId="44108F0B" w14:textId="77777777" w:rsidR="007C619F" w:rsidRDefault="007C619F">
            <w:pPr>
              <w:spacing w:after="160"/>
            </w:pPr>
            <w:r>
              <w:t>Heterogeneous topical interventions and mixed study designs limited direct influence; retained only as background disease-control context.</w:t>
            </w:r>
          </w:p>
        </w:tc>
        <w:tc>
          <w:tcPr>
            <w:tcW w:w="0" w:type="auto"/>
            <w:hideMark/>
          </w:tcPr>
          <w:p w14:paraId="4A4C66B2" w14:textId="77777777" w:rsidR="007C619F" w:rsidRDefault="007C619F">
            <w:pPr>
              <w:spacing w:after="160"/>
            </w:pPr>
            <w:r>
              <w:t>No.</w:t>
            </w:r>
          </w:p>
        </w:tc>
      </w:tr>
      <w:tr w:rsidR="007C619F" w14:paraId="415B0CC9" w14:textId="77777777">
        <w:tc>
          <w:tcPr>
            <w:tcW w:w="0" w:type="auto"/>
            <w:hideMark/>
          </w:tcPr>
          <w:p w14:paraId="2FBDB29C" w14:textId="77777777" w:rsidR="007C619F" w:rsidRDefault="007C619F">
            <w:pPr>
              <w:spacing w:after="160"/>
            </w:pPr>
            <w:r>
              <w:t>Xu et al. 2024</w:t>
            </w:r>
          </w:p>
        </w:tc>
        <w:tc>
          <w:tcPr>
            <w:tcW w:w="0" w:type="auto"/>
            <w:hideMark/>
          </w:tcPr>
          <w:p w14:paraId="1B79E902" w14:textId="77777777" w:rsidR="007C619F" w:rsidRDefault="007C619F">
            <w:pPr>
              <w:spacing w:after="160"/>
            </w:pPr>
            <w:r>
              <w:t>Corticosteroids and implants in selected DME contexts</w:t>
            </w:r>
          </w:p>
        </w:tc>
        <w:tc>
          <w:tcPr>
            <w:tcW w:w="0" w:type="auto"/>
            <w:hideMark/>
          </w:tcPr>
          <w:p w14:paraId="2EECBF81" w14:textId="77777777" w:rsidR="007C619F" w:rsidRDefault="007C619F">
            <w:pPr>
              <w:spacing w:after="160"/>
            </w:pPr>
            <w:r>
              <w:t>Naïve and refractory DME steroid sequencing; switching relevance extracted separately.</w:t>
            </w:r>
          </w:p>
        </w:tc>
        <w:tc>
          <w:tcPr>
            <w:tcW w:w="0" w:type="auto"/>
            <w:hideMark/>
          </w:tcPr>
          <w:p w14:paraId="4B7B802B" w14:textId="77777777" w:rsidR="007C619F" w:rsidRDefault="007C619F">
            <w:pPr>
              <w:spacing w:after="160"/>
            </w:pPr>
            <w:r>
              <w:t>Secondary reassignment to switching did not change the switching category because evidence supported selected-context interpretation and remained limited by heterogeneity.</w:t>
            </w:r>
          </w:p>
        </w:tc>
        <w:tc>
          <w:tcPr>
            <w:tcW w:w="0" w:type="auto"/>
            <w:hideMark/>
          </w:tcPr>
          <w:p w14:paraId="5BF0D653" w14:textId="77777777" w:rsidR="007C619F" w:rsidRDefault="007C619F">
            <w:pPr>
              <w:spacing w:after="160"/>
            </w:pPr>
            <w:r>
              <w:t>No.</w:t>
            </w:r>
          </w:p>
        </w:tc>
      </w:tr>
      <w:tr w:rsidR="007C619F" w14:paraId="585B39EF" w14:textId="77777777">
        <w:tc>
          <w:tcPr>
            <w:tcW w:w="0" w:type="auto"/>
            <w:hideMark/>
          </w:tcPr>
          <w:p w14:paraId="5D0664AB" w14:textId="2615470A" w:rsidR="007C619F" w:rsidRPr="0032014D" w:rsidRDefault="0032014D" w:rsidP="0032014D">
            <w:pPr>
              <w:rPr>
                <w:kern w:val="0"/>
                <w:lang w:val="es-ES"/>
                <w14:ligatures w14:val="none"/>
              </w:rPr>
            </w:pPr>
            <w:r w:rsidRPr="0032014D">
              <w:rPr>
                <w:lang w:val="es-ES"/>
              </w:rPr>
              <w:t xml:space="preserve">Ma et al. 2024; Grad 2025; Yang 2025; Zhou 2025; </w:t>
            </w:r>
            <w:proofErr w:type="spellStart"/>
            <w:r w:rsidRPr="0032014D">
              <w:rPr>
                <w:lang w:val="es-ES"/>
              </w:rPr>
              <w:t>Hatamnejad</w:t>
            </w:r>
            <w:proofErr w:type="spellEnd"/>
            <w:r w:rsidRPr="0032014D">
              <w:rPr>
                <w:lang w:val="es-ES"/>
              </w:rPr>
              <w:t xml:space="preserve"> 2024</w:t>
            </w:r>
          </w:p>
        </w:tc>
        <w:tc>
          <w:tcPr>
            <w:tcW w:w="0" w:type="auto"/>
            <w:hideMark/>
          </w:tcPr>
          <w:p w14:paraId="5950D24E" w14:textId="77777777" w:rsidR="007C619F" w:rsidRDefault="007C619F">
            <w:pPr>
              <w:spacing w:after="160"/>
            </w:pPr>
            <w:r>
              <w:t>Combination therapy</w:t>
            </w:r>
          </w:p>
        </w:tc>
        <w:tc>
          <w:tcPr>
            <w:tcW w:w="0" w:type="auto"/>
            <w:hideMark/>
          </w:tcPr>
          <w:p w14:paraId="0CA0E08B" w14:textId="77777777" w:rsidR="007C619F" w:rsidRDefault="007C619F">
            <w:pPr>
              <w:spacing w:after="160"/>
            </w:pPr>
            <w:r>
              <w:t>Steroid-related ocular safety and refractory/persistent DME signals extracted separately where reported.</w:t>
            </w:r>
          </w:p>
        </w:tc>
        <w:tc>
          <w:tcPr>
            <w:tcW w:w="0" w:type="auto"/>
            <w:hideMark/>
          </w:tcPr>
          <w:p w14:paraId="12D2DEAF" w14:textId="77777777" w:rsidR="007C619F" w:rsidRDefault="007C619F">
            <w:pPr>
              <w:spacing w:after="160"/>
            </w:pPr>
            <w:r>
              <w:t>Secondary extraction informed safety and steroid-context interpretation but did not upgrade combination therapy because visual superiority remained inconsistent and overlap was high.</w:t>
            </w:r>
          </w:p>
        </w:tc>
        <w:tc>
          <w:tcPr>
            <w:tcW w:w="0" w:type="auto"/>
            <w:hideMark/>
          </w:tcPr>
          <w:p w14:paraId="3EB59D2A" w14:textId="77777777" w:rsidR="007C619F" w:rsidRDefault="007C619F">
            <w:pPr>
              <w:spacing w:after="160"/>
            </w:pPr>
            <w:r>
              <w:t>No.</w:t>
            </w:r>
          </w:p>
        </w:tc>
      </w:tr>
    </w:tbl>
    <w:p w14:paraId="6F1F4BC9" w14:textId="77777777" w:rsidR="007C619F" w:rsidRDefault="007C619F">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Mixed-phenotype reviews were not treated as indivisible evidence blocks when domain-specific conclusions were separable. The primary domain was assigned using the prespecified ≥50% or clinically dominant-domain rule, but secondary phenotype-specific conclusions were extracted where possible and mapped to relevant domains as contextual or supporting information. Sensitivity reassignment of </w:t>
      </w:r>
      <w:r>
        <w:rPr>
          <w:rFonts w:ascii="Times New Roman" w:hAnsi="Times New Roman"/>
          <w:color w:val="000000"/>
          <w:sz w:val="21"/>
          <w:szCs w:val="21"/>
        </w:rPr>
        <w:lastRenderedPageBreak/>
        <w:t>identifiable mixed reviews did not change any final evidence category because category assignment depended on AMSTAR 2 confidence, directness, outcome consistency, overlap, safety/durability concerns, and whether the mixed review added nonredundant evidence. Critically low-confidence mixed reviews remained context only and could not influence category assignment.</w:t>
      </w:r>
    </w:p>
    <w:p w14:paraId="532BCF4F" w14:textId="77777777" w:rsidR="00F15885" w:rsidRDefault="00F15885">
      <w:pPr>
        <w:rPr>
          <w:kern w:val="0"/>
          <w14:ligatures w14:val="none"/>
        </w:rPr>
      </w:pPr>
      <w:r>
        <w:rPr>
          <w:rFonts w:ascii="Times New Roman" w:hAnsi="Times New Roman"/>
          <w:b/>
          <w:bCs/>
          <w:color w:val="000000"/>
          <w:sz w:val="21"/>
          <w:szCs w:val="21"/>
        </w:rPr>
        <w:t>Influence-aware overlap limitation:</w:t>
      </w:r>
      <w:r>
        <w:rPr>
          <w:rFonts w:ascii="Times New Roman" w:hAnsi="Times New Roman"/>
          <w:color w:val="000000"/>
          <w:sz w:val="21"/>
          <w:szCs w:val="21"/>
        </w:rPr>
        <w:t xml:space="preserve"> CCA quantifies reuse of primary-study clusters across reviews, but it does not measure outcome-level overlap, trial size, risk of bias, follow-up length, precision, or the influence of individual pivotal trials on pooled estimates. Therefore, CCA should be interpreted as a transparency metric for evidence reuse rather than as a measure of effect-size independence or certainty. Major pivotal trial programs may contribute repeatedly across anti-VEGF, switching, combination, NPDR/PDR, safety, durability, and real-world domains, and their repeated appearance can shape multiple review-level estimates even when counted only once as a primary-study cluster. For this reason, domain interpretation considered CCA alongside AMSTAR 2 confidence, phenotype directness, outcome consistency, safety and durability concerns, and nonredundant clinical contribution. No evidence category was upgraded solely because multiple reviews reused the same pivotal trials, and no conclusion should be read as independent confirmation unless the underlying primary-study influence was clinically and methodologically distinct.</w:t>
      </w:r>
    </w:p>
    <w:p w14:paraId="0137F692" w14:textId="77777777" w:rsidR="00B55C6D" w:rsidRDefault="00B55C6D">
      <w:pPr>
        <w:spacing w:line="300" w:lineRule="atLeast"/>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Detailed workflow, confidence assessments, Source Study IDs, and overlap calculations are reported in Tables S2, S3, S5, S6, S7, S8, S10, and S11.</w:t>
      </w:r>
    </w:p>
    <w:tbl>
      <w:tblPr>
        <w:tblW w:w="5000" w:type="pct"/>
        <w:tblBorders>
          <w:top w:val="single" w:sz="6" w:space="0" w:color="A6A6A6"/>
          <w:left w:val="single" w:sz="6" w:space="0" w:color="A6A6A6"/>
          <w:bottom w:val="single" w:sz="6" w:space="0" w:color="A6A6A6"/>
          <w:right w:val="single" w:sz="6" w:space="0" w:color="A6A6A6"/>
        </w:tblBorders>
        <w:shd w:val="clear" w:color="auto" w:fill="F2F2F2"/>
        <w:tblCellMar>
          <w:left w:w="0" w:type="dxa"/>
          <w:right w:w="0" w:type="dxa"/>
        </w:tblCellMar>
        <w:tblLook w:val="04A0" w:firstRow="1" w:lastRow="0" w:firstColumn="1" w:lastColumn="0" w:noHBand="0" w:noVBand="1"/>
      </w:tblPr>
      <w:tblGrid>
        <w:gridCol w:w="8987"/>
      </w:tblGrid>
      <w:tr w:rsidR="006B06D5" w:rsidRPr="00767883" w14:paraId="2EB1C5EB" w14:textId="77777777">
        <w:tc>
          <w:tcPr>
            <w:tcW w:w="0" w:type="auto"/>
            <w:tcBorders>
              <w:top w:val="single" w:sz="6" w:space="0" w:color="A6A6A6"/>
              <w:left w:val="single" w:sz="6" w:space="0" w:color="A6A6A6"/>
              <w:bottom w:val="single" w:sz="6" w:space="0" w:color="A6A6A6"/>
              <w:right w:val="single" w:sz="6" w:space="0" w:color="A6A6A6"/>
            </w:tcBorders>
            <w:shd w:val="clear" w:color="auto" w:fill="D9D9D9"/>
            <w:tcMar>
              <w:top w:w="80" w:type="dxa"/>
              <w:left w:w="80" w:type="dxa"/>
              <w:bottom w:w="80" w:type="dxa"/>
              <w:right w:w="80" w:type="dxa"/>
            </w:tcMar>
            <w:vAlign w:val="center"/>
            <w:hideMark/>
          </w:tcPr>
          <w:p w14:paraId="503F7D2B" w14:textId="77777777" w:rsidR="006B06D5" w:rsidRPr="00767883" w:rsidRDefault="006B06D5">
            <w:pPr>
              <w:spacing w:after="0"/>
              <w:rPr>
                <w:rFonts w:ascii="Times New Roman" w:hAnsi="Times New Roman" w:cs="Times New Roman"/>
                <w:kern w:val="0"/>
                <w14:ligatures w14:val="none"/>
              </w:rPr>
            </w:pPr>
            <w:r w:rsidRPr="00767883">
              <w:rPr>
                <w:rFonts w:ascii="Times New Roman" w:hAnsi="Times New Roman" w:cs="Times New Roman"/>
                <w:b/>
                <w:bCs/>
                <w:color w:val="000000"/>
                <w:sz w:val="36"/>
                <w:szCs w:val="36"/>
              </w:rPr>
              <w:t>Box S1. Operational decision process for overlapping reviews</w:t>
            </w:r>
          </w:p>
        </w:tc>
      </w:tr>
      <w:tr w:rsidR="006B06D5" w:rsidRPr="00767883" w14:paraId="57FDAD6A" w14:textId="77777777">
        <w:tc>
          <w:tcPr>
            <w:tcW w:w="0" w:type="auto"/>
            <w:tcBorders>
              <w:top w:val="single" w:sz="6" w:space="0" w:color="A6A6A6"/>
              <w:left w:val="single" w:sz="6" w:space="0" w:color="A6A6A6"/>
              <w:bottom w:val="single" w:sz="6" w:space="0" w:color="A6A6A6"/>
              <w:right w:val="single" w:sz="6" w:space="0" w:color="A6A6A6"/>
            </w:tcBorders>
            <w:shd w:val="clear" w:color="auto" w:fill="F2F2F2"/>
            <w:tcMar>
              <w:top w:w="120" w:type="dxa"/>
              <w:left w:w="120" w:type="dxa"/>
              <w:bottom w:w="120" w:type="dxa"/>
              <w:right w:w="120" w:type="dxa"/>
            </w:tcMar>
            <w:vAlign w:val="center"/>
            <w:hideMark/>
          </w:tcPr>
          <w:p w14:paraId="47DE57B2" w14:textId="77777777" w:rsidR="000B329A" w:rsidRDefault="000B329A" w:rsidP="000B329A">
            <w:pPr>
              <w:pStyle w:val="ListParagraph"/>
              <w:numPr>
                <w:ilvl w:val="0"/>
                <w:numId w:val="4"/>
              </w:numPr>
              <w:rPr>
                <w:kern w:val="0"/>
                <w14:ligatures w14:val="none"/>
              </w:rPr>
            </w:pPr>
            <w:r>
              <w:rPr>
                <w:rFonts w:ascii="Times New Roman" w:hAnsi="Times New Roman"/>
                <w:color w:val="000000"/>
                <w:sz w:val="21"/>
                <w:szCs w:val="21"/>
              </w:rPr>
              <w:t>Define the clinical question and corresponding evidence domain.</w:t>
            </w:r>
          </w:p>
          <w:p w14:paraId="01B6BC0D" w14:textId="77777777" w:rsidR="006B06D5" w:rsidRPr="00767883" w:rsidRDefault="006B06D5" w:rsidP="006B06D5">
            <w:pPr>
              <w:pStyle w:val="ListParagraph"/>
              <w:numPr>
                <w:ilvl w:val="0"/>
                <w:numId w:val="4"/>
              </w:numPr>
              <w:rPr>
                <w:rFonts w:ascii="Times New Roman" w:hAnsi="Times New Roman" w:cs="Times New Roman"/>
              </w:rPr>
            </w:pPr>
            <w:r w:rsidRPr="00767883">
              <w:rPr>
                <w:rFonts w:ascii="Times New Roman" w:hAnsi="Times New Roman" w:cs="Times New Roman"/>
                <w:color w:val="000000"/>
                <w:sz w:val="21"/>
                <w:szCs w:val="21"/>
              </w:rPr>
              <w:t>Map eligible reviews and shared primary-study clusters.</w:t>
            </w:r>
          </w:p>
          <w:p w14:paraId="5A58F14C" w14:textId="77777777" w:rsidR="006B06D5" w:rsidRPr="00767883" w:rsidRDefault="006B06D5" w:rsidP="006B06D5">
            <w:pPr>
              <w:pStyle w:val="ListParagraph"/>
              <w:numPr>
                <w:ilvl w:val="0"/>
                <w:numId w:val="4"/>
              </w:numPr>
              <w:rPr>
                <w:rFonts w:ascii="Times New Roman" w:hAnsi="Times New Roman" w:cs="Times New Roman"/>
              </w:rPr>
            </w:pPr>
            <w:r w:rsidRPr="00767883">
              <w:rPr>
                <w:rFonts w:ascii="Times New Roman" w:hAnsi="Times New Roman" w:cs="Times New Roman"/>
                <w:color w:val="000000"/>
                <w:sz w:val="21"/>
                <w:szCs w:val="21"/>
              </w:rPr>
              <w:t>Assess AMSTAR 2 confidence and identify reviews capable of carrying primary interpretive weight.</w:t>
            </w:r>
          </w:p>
          <w:p w14:paraId="2A91A15E" w14:textId="77777777" w:rsidR="004538C9" w:rsidRPr="00767883" w:rsidRDefault="00000000" w:rsidP="00C15B7D">
            <w:pPr>
              <w:pStyle w:val="ListParagraph"/>
              <w:numPr>
                <w:ilvl w:val="0"/>
                <w:numId w:val="4"/>
              </w:numPr>
              <w:rPr>
                <w:rFonts w:ascii="Times New Roman" w:hAnsi="Times New Roman" w:cs="Times New Roman"/>
              </w:rPr>
            </w:pPr>
            <w:r w:rsidRPr="00767883">
              <w:rPr>
                <w:rFonts w:ascii="Times New Roman" w:hAnsi="Times New Roman" w:cs="Times New Roman"/>
                <w:color w:val="000000"/>
                <w:sz w:val="21"/>
                <w:szCs w:val="21"/>
              </w:rPr>
              <w:t xml:space="preserve">Calculate </w:t>
            </w:r>
            <w:r w:rsidR="00C15B7D" w:rsidRPr="00767883">
              <w:rPr>
                <w:rFonts w:ascii="Times New Roman" w:hAnsi="Times New Roman" w:cs="Times New Roman"/>
                <w:color w:val="000000"/>
                <w:sz w:val="21"/>
                <w:szCs w:val="21"/>
              </w:rPr>
              <w:t xml:space="preserve">domain-specific </w:t>
            </w:r>
            <w:r w:rsidRPr="00767883">
              <w:rPr>
                <w:rFonts w:ascii="Times New Roman" w:hAnsi="Times New Roman" w:cs="Times New Roman"/>
                <w:color w:val="000000"/>
                <w:sz w:val="21"/>
                <w:szCs w:val="21"/>
              </w:rPr>
              <w:t xml:space="preserve">CCA as the </w:t>
            </w:r>
            <w:r w:rsidR="00C15B7D" w:rsidRPr="00767883">
              <w:rPr>
                <w:rFonts w:ascii="Times New Roman" w:hAnsi="Times New Roman" w:cs="Times New Roman"/>
                <w:color w:val="000000"/>
                <w:sz w:val="21"/>
                <w:szCs w:val="21"/>
              </w:rPr>
              <w:t>operative</w:t>
            </w:r>
            <w:r w:rsidRPr="00767883">
              <w:rPr>
                <w:rFonts w:ascii="Times New Roman" w:hAnsi="Times New Roman" w:cs="Times New Roman"/>
                <w:color w:val="000000"/>
                <w:sz w:val="21"/>
                <w:szCs w:val="21"/>
              </w:rPr>
              <w:t xml:space="preserve"> overlap </w:t>
            </w:r>
            <w:r w:rsidR="00C15B7D" w:rsidRPr="00767883">
              <w:rPr>
                <w:rFonts w:ascii="Times New Roman" w:hAnsi="Times New Roman" w:cs="Times New Roman"/>
                <w:color w:val="000000"/>
                <w:sz w:val="21"/>
                <w:szCs w:val="21"/>
              </w:rPr>
              <w:t>measure</w:t>
            </w:r>
            <w:r w:rsidRPr="00767883">
              <w:rPr>
                <w:rFonts w:ascii="Times New Roman" w:hAnsi="Times New Roman" w:cs="Times New Roman"/>
                <w:color w:val="000000"/>
                <w:sz w:val="21"/>
                <w:szCs w:val="21"/>
              </w:rPr>
              <w:t>; use wCCA only as an exploratory supplementary sensitivity analysis.</w:t>
            </w:r>
          </w:p>
          <w:p w14:paraId="783A7E3B" w14:textId="77777777" w:rsidR="006B06D5" w:rsidRPr="00767883" w:rsidRDefault="006B06D5" w:rsidP="006B06D5">
            <w:pPr>
              <w:pStyle w:val="ListParagraph"/>
              <w:numPr>
                <w:ilvl w:val="0"/>
                <w:numId w:val="4"/>
              </w:numPr>
              <w:rPr>
                <w:rFonts w:ascii="Times New Roman" w:hAnsi="Times New Roman" w:cs="Times New Roman"/>
              </w:rPr>
            </w:pPr>
            <w:r w:rsidRPr="00767883">
              <w:rPr>
                <w:rFonts w:ascii="Times New Roman" w:hAnsi="Times New Roman" w:cs="Times New Roman"/>
                <w:color w:val="000000"/>
                <w:sz w:val="21"/>
                <w:szCs w:val="21"/>
              </w:rPr>
              <w:t>Select primary interpretive reviews using quality, directness, breadth, recency, and nonredundancy.</w:t>
            </w:r>
          </w:p>
          <w:p w14:paraId="048EECD2" w14:textId="77777777" w:rsidR="004538C9" w:rsidRPr="00767883" w:rsidRDefault="00000000" w:rsidP="00EE661D">
            <w:pPr>
              <w:pStyle w:val="ListParagraph"/>
              <w:numPr>
                <w:ilvl w:val="0"/>
                <w:numId w:val="4"/>
              </w:numPr>
              <w:rPr>
                <w:rFonts w:ascii="Times New Roman" w:hAnsi="Times New Roman" w:cs="Times New Roman"/>
              </w:rPr>
            </w:pPr>
            <w:r w:rsidRPr="00767883">
              <w:rPr>
                <w:rFonts w:ascii="Times New Roman" w:hAnsi="Times New Roman" w:cs="Times New Roman"/>
                <w:color w:val="000000"/>
                <w:sz w:val="21"/>
                <w:szCs w:val="21"/>
              </w:rPr>
              <w:t xml:space="preserve">Retain other reviews only as contextual </w:t>
            </w:r>
            <w:r w:rsidR="00EE661D" w:rsidRPr="00767883">
              <w:rPr>
                <w:rFonts w:ascii="Times New Roman" w:hAnsi="Times New Roman" w:cs="Times New Roman"/>
                <w:color w:val="000000"/>
                <w:sz w:val="21"/>
                <w:szCs w:val="21"/>
              </w:rPr>
              <w:t>information</w:t>
            </w:r>
            <w:r w:rsidRPr="00767883">
              <w:rPr>
                <w:rFonts w:ascii="Times New Roman" w:hAnsi="Times New Roman" w:cs="Times New Roman"/>
                <w:color w:val="000000"/>
                <w:sz w:val="21"/>
                <w:szCs w:val="21"/>
              </w:rPr>
              <w:t xml:space="preserve"> when they add unique safety, subgroup, durability, real-world, burden, or implementation information.</w:t>
            </w:r>
          </w:p>
          <w:p w14:paraId="24D42BE1" w14:textId="77777777" w:rsidR="000B329A" w:rsidRPr="000B329A" w:rsidRDefault="000B329A" w:rsidP="000B329A">
            <w:pPr>
              <w:pStyle w:val="ListParagraph"/>
              <w:numPr>
                <w:ilvl w:val="0"/>
                <w:numId w:val="4"/>
              </w:numPr>
              <w:rPr>
                <w:rFonts w:ascii="Times New Roman" w:hAnsi="Times New Roman" w:cs="Times New Roman"/>
              </w:rPr>
            </w:pPr>
            <w:r>
              <w:rPr>
                <w:rFonts w:ascii="Times New Roman" w:hAnsi="Times New Roman"/>
                <w:color w:val="000000"/>
                <w:sz w:val="21"/>
                <w:szCs w:val="21"/>
              </w:rPr>
              <w:t xml:space="preserve">Assign narrative synthesis, contextual interpretation, or </w:t>
            </w:r>
            <w:proofErr w:type="gramStart"/>
            <w:r>
              <w:rPr>
                <w:rFonts w:ascii="Times New Roman" w:hAnsi="Times New Roman"/>
                <w:color w:val="000000"/>
                <w:sz w:val="21"/>
                <w:szCs w:val="21"/>
              </w:rPr>
              <w:t>no</w:t>
            </w:r>
            <w:proofErr w:type="gramEnd"/>
            <w:r>
              <w:rPr>
                <w:rFonts w:ascii="Times New Roman" w:hAnsi="Times New Roman"/>
                <w:color w:val="000000"/>
                <w:sz w:val="21"/>
                <w:szCs w:val="21"/>
              </w:rPr>
              <w:t xml:space="preserve"> de novo meta-analysis as appropriate.</w:t>
            </w:r>
          </w:p>
          <w:p w14:paraId="74F78D89" w14:textId="20769670" w:rsidR="006B06D5" w:rsidRPr="00767883" w:rsidRDefault="009C21A5" w:rsidP="009C21A5">
            <w:pPr>
              <w:spacing w:line="300" w:lineRule="atLeast"/>
              <w:rPr>
                <w:rFonts w:ascii="Times New Roman" w:hAnsi="Times New Roman" w:cs="Times New Roman"/>
                <w:lang w:val="en-MX"/>
              </w:rPr>
            </w:pPr>
            <w:r w:rsidRPr="00767883">
              <w:rPr>
                <w:rFonts w:ascii="Times New Roman" w:hAnsi="Times New Roman" w:cs="Times New Roman"/>
                <w:b/>
                <w:bCs/>
                <w:color w:val="000000"/>
                <w:sz w:val="21"/>
                <w:szCs w:val="21"/>
              </w:rPr>
              <w:t>Decision logic:</w:t>
            </w:r>
            <w:r w:rsidRPr="00767883">
              <w:rPr>
                <w:rFonts w:ascii="Times New Roman" w:hAnsi="Times New Roman" w:cs="Times New Roman"/>
                <w:color w:val="000000"/>
                <w:sz w:val="21"/>
                <w:szCs w:val="21"/>
              </w:rPr>
              <w:t xml:space="preserve"> Domain-specific CCA was the operative overlap measure, and wCCA was retained only as an exploratory supplementary sensitivity analysis. </w:t>
            </w:r>
            <w:proofErr w:type="gramStart"/>
            <w:r w:rsidRPr="00767883">
              <w:rPr>
                <w:rFonts w:ascii="Times New Roman" w:hAnsi="Times New Roman" w:cs="Times New Roman"/>
                <w:color w:val="000000"/>
                <w:sz w:val="21"/>
                <w:szCs w:val="21"/>
              </w:rPr>
              <w:t>No</w:t>
            </w:r>
            <w:proofErr w:type="gramEnd"/>
            <w:r w:rsidRPr="00767883">
              <w:rPr>
                <w:rFonts w:ascii="Times New Roman" w:hAnsi="Times New Roman" w:cs="Times New Roman"/>
                <w:color w:val="000000"/>
                <w:sz w:val="21"/>
                <w:szCs w:val="21"/>
              </w:rPr>
              <w:t xml:space="preserve"> de novo meta-analysis was performed when CCA was ≥10%, when two or more major trial programs or evidence domains reused the same evidence, or when outcome definitions, comparators, follow-up windows, or review quality made independent pooling unreliable.</w:t>
            </w:r>
          </w:p>
        </w:tc>
      </w:tr>
      <w:tr w:rsidR="006B06D5" w:rsidRPr="00767883" w14:paraId="340ABA3B" w14:textId="77777777">
        <w:tc>
          <w:tcPr>
            <w:tcW w:w="0" w:type="auto"/>
            <w:tcBorders>
              <w:top w:val="single" w:sz="6" w:space="0" w:color="A6A6A6"/>
              <w:left w:val="single" w:sz="6" w:space="0" w:color="A6A6A6"/>
              <w:bottom w:val="single" w:sz="6" w:space="0" w:color="A6A6A6"/>
              <w:right w:val="single" w:sz="6" w:space="0" w:color="A6A6A6"/>
            </w:tcBorders>
            <w:shd w:val="clear" w:color="auto" w:fill="D9D9D9"/>
            <w:tcMar>
              <w:top w:w="80" w:type="dxa"/>
              <w:left w:w="80" w:type="dxa"/>
              <w:bottom w:w="80" w:type="dxa"/>
              <w:right w:w="80" w:type="dxa"/>
            </w:tcMar>
            <w:vAlign w:val="center"/>
            <w:hideMark/>
          </w:tcPr>
          <w:p w14:paraId="08655F6E" w14:textId="77777777" w:rsidR="006B06D5" w:rsidRPr="00767883" w:rsidRDefault="006B06D5">
            <w:pPr>
              <w:spacing w:after="0"/>
              <w:rPr>
                <w:rFonts w:ascii="Times New Roman" w:hAnsi="Times New Roman" w:cs="Times New Roman"/>
                <w:kern w:val="0"/>
                <w14:ligatures w14:val="none"/>
              </w:rPr>
            </w:pPr>
            <w:r w:rsidRPr="00767883">
              <w:rPr>
                <w:rFonts w:ascii="Times New Roman" w:hAnsi="Times New Roman" w:cs="Times New Roman"/>
                <w:b/>
                <w:bCs/>
                <w:color w:val="000000"/>
                <w:sz w:val="36"/>
                <w:szCs w:val="36"/>
              </w:rPr>
              <w:t>Box S2. Persistent and refractory DME definitions</w:t>
            </w:r>
          </w:p>
        </w:tc>
      </w:tr>
      <w:tr w:rsidR="006B06D5" w:rsidRPr="00767883" w14:paraId="36225B71" w14:textId="77777777">
        <w:tc>
          <w:tcPr>
            <w:tcW w:w="0" w:type="auto"/>
            <w:tcBorders>
              <w:top w:val="single" w:sz="6" w:space="0" w:color="A6A6A6"/>
              <w:left w:val="single" w:sz="6" w:space="0" w:color="A6A6A6"/>
              <w:bottom w:val="single" w:sz="6" w:space="0" w:color="A6A6A6"/>
              <w:right w:val="single" w:sz="6" w:space="0" w:color="A6A6A6"/>
            </w:tcBorders>
            <w:shd w:val="clear" w:color="auto" w:fill="F2F2F2"/>
            <w:tcMar>
              <w:top w:w="120" w:type="dxa"/>
              <w:left w:w="120" w:type="dxa"/>
              <w:bottom w:w="120" w:type="dxa"/>
              <w:right w:w="120" w:type="dxa"/>
            </w:tcMar>
            <w:vAlign w:val="center"/>
            <w:hideMark/>
          </w:tcPr>
          <w:p w14:paraId="1A9736E9" w14:textId="77777777" w:rsidR="006B06D5" w:rsidRPr="00767883" w:rsidRDefault="006B06D5">
            <w:pPr>
              <w:spacing w:line="300" w:lineRule="atLeast"/>
              <w:rPr>
                <w:rFonts w:ascii="Times New Roman" w:hAnsi="Times New Roman" w:cs="Times New Roman"/>
              </w:rPr>
            </w:pPr>
            <w:r w:rsidRPr="00767883">
              <w:rPr>
                <w:rFonts w:ascii="Times New Roman" w:hAnsi="Times New Roman" w:cs="Times New Roman"/>
                <w:color w:val="000000"/>
                <w:sz w:val="21"/>
                <w:szCs w:val="21"/>
              </w:rPr>
              <w:t>Persistent DME refers to residual center-involving retinal thickening or intraretinal/subretinal fluid after an adequate initial anti-VEGF course, commonly three to six injections or a comparable loading phase. Refractory DME refers to persistent center-involving edema with limited anatomical and/or functional improvement despite adequate anti-VEGF exposure and reasonable adherence. Because source reviews used variable thresholds for injection number, central-thickness change, visual acuity gain, and follow-</w:t>
            </w:r>
            <w:r w:rsidRPr="00767883">
              <w:rPr>
                <w:rFonts w:ascii="Times New Roman" w:hAnsi="Times New Roman" w:cs="Times New Roman"/>
                <w:color w:val="000000"/>
                <w:sz w:val="21"/>
                <w:szCs w:val="21"/>
              </w:rPr>
              <w:lastRenderedPageBreak/>
              <w:t>up duration, these terms were treated as clinical-context modifiers rather than uniform eligibility categories. Limited visual gain may also reflect macular ischemia, chronic structural damage, vitreomacular interface disease, undertreatment, poor adherence, or systemic/ocular comorbidity; therefore, switching evidence was interpreted cautiously.</w:t>
            </w:r>
          </w:p>
        </w:tc>
      </w:tr>
      <w:tr w:rsidR="006B06D5" w:rsidRPr="00767883" w14:paraId="09413A6A" w14:textId="77777777">
        <w:tc>
          <w:tcPr>
            <w:tcW w:w="0" w:type="auto"/>
            <w:tcBorders>
              <w:top w:val="single" w:sz="6" w:space="0" w:color="A6A6A6"/>
              <w:left w:val="single" w:sz="6" w:space="0" w:color="A6A6A6"/>
              <w:bottom w:val="single" w:sz="6" w:space="0" w:color="A6A6A6"/>
              <w:right w:val="single" w:sz="6" w:space="0" w:color="A6A6A6"/>
            </w:tcBorders>
            <w:shd w:val="clear" w:color="auto" w:fill="D9D9D9"/>
            <w:tcMar>
              <w:top w:w="80" w:type="dxa"/>
              <w:left w:w="80" w:type="dxa"/>
              <w:bottom w:w="80" w:type="dxa"/>
              <w:right w:w="80" w:type="dxa"/>
            </w:tcMar>
            <w:vAlign w:val="center"/>
            <w:hideMark/>
          </w:tcPr>
          <w:p w14:paraId="65E7D0C6" w14:textId="77777777" w:rsidR="006B06D5" w:rsidRPr="00767883" w:rsidRDefault="006B06D5">
            <w:pPr>
              <w:spacing w:after="0"/>
              <w:rPr>
                <w:rFonts w:ascii="Times New Roman" w:hAnsi="Times New Roman" w:cs="Times New Roman"/>
                <w:kern w:val="0"/>
                <w14:ligatures w14:val="none"/>
              </w:rPr>
            </w:pPr>
            <w:r w:rsidRPr="00767883">
              <w:rPr>
                <w:rFonts w:ascii="Times New Roman" w:hAnsi="Times New Roman" w:cs="Times New Roman"/>
                <w:b/>
                <w:bCs/>
                <w:color w:val="000000"/>
                <w:sz w:val="36"/>
                <w:szCs w:val="36"/>
              </w:rPr>
              <w:lastRenderedPageBreak/>
              <w:t>Box S3. Systemic safety interpretation summary</w:t>
            </w:r>
          </w:p>
        </w:tc>
      </w:tr>
      <w:tr w:rsidR="006B06D5" w:rsidRPr="00767883" w14:paraId="5ADA4403" w14:textId="77777777">
        <w:tc>
          <w:tcPr>
            <w:tcW w:w="0" w:type="auto"/>
            <w:tcBorders>
              <w:top w:val="single" w:sz="6" w:space="0" w:color="A6A6A6"/>
              <w:left w:val="single" w:sz="6" w:space="0" w:color="A6A6A6"/>
              <w:bottom w:val="single" w:sz="6" w:space="0" w:color="A6A6A6"/>
              <w:right w:val="single" w:sz="6" w:space="0" w:color="A6A6A6"/>
            </w:tcBorders>
            <w:shd w:val="clear" w:color="auto" w:fill="F2F2F2"/>
            <w:tcMar>
              <w:top w:w="120" w:type="dxa"/>
              <w:left w:w="120" w:type="dxa"/>
              <w:bottom w:w="120" w:type="dxa"/>
              <w:right w:w="120" w:type="dxa"/>
            </w:tcMar>
            <w:vAlign w:val="center"/>
            <w:hideMark/>
          </w:tcPr>
          <w:p w14:paraId="266A9900" w14:textId="77777777" w:rsidR="006B06D5" w:rsidRPr="00767883" w:rsidRDefault="006B06D5" w:rsidP="006B06D5">
            <w:pPr>
              <w:pStyle w:val="ListParagraph"/>
              <w:numPr>
                <w:ilvl w:val="0"/>
                <w:numId w:val="5"/>
              </w:numPr>
              <w:rPr>
                <w:rFonts w:ascii="Times New Roman" w:hAnsi="Times New Roman" w:cs="Times New Roman"/>
              </w:rPr>
            </w:pPr>
            <w:r w:rsidRPr="00767883">
              <w:rPr>
                <w:rFonts w:ascii="Times New Roman" w:hAnsi="Times New Roman" w:cs="Times New Roman"/>
                <w:color w:val="000000"/>
                <w:sz w:val="21"/>
                <w:szCs w:val="21"/>
              </w:rPr>
              <w:t>Most pooled estimates were not associated with a clear overall increase in major systemic events after intravitreal anti-VEGF therapy.</w:t>
            </w:r>
          </w:p>
          <w:p w14:paraId="627C5A15" w14:textId="77777777" w:rsidR="006B06D5" w:rsidRPr="00767883" w:rsidRDefault="006B06D5" w:rsidP="006B06D5">
            <w:pPr>
              <w:pStyle w:val="ListParagraph"/>
              <w:numPr>
                <w:ilvl w:val="0"/>
                <w:numId w:val="5"/>
              </w:numPr>
              <w:rPr>
                <w:rFonts w:ascii="Times New Roman" w:hAnsi="Times New Roman" w:cs="Times New Roman"/>
              </w:rPr>
            </w:pPr>
            <w:r w:rsidRPr="00767883">
              <w:rPr>
                <w:rFonts w:ascii="Times New Roman" w:hAnsi="Times New Roman" w:cs="Times New Roman"/>
                <w:color w:val="000000"/>
                <w:sz w:val="21"/>
                <w:szCs w:val="21"/>
              </w:rPr>
              <w:t>Rare events were underpowered, and high-risk vascular or renal patients were often underrepresented.</w:t>
            </w:r>
          </w:p>
          <w:p w14:paraId="328D75BD" w14:textId="77777777" w:rsidR="00B55C6D" w:rsidRPr="00B55C6D" w:rsidRDefault="00B55C6D" w:rsidP="00B55C6D">
            <w:pPr>
              <w:pStyle w:val="ListParagraph"/>
              <w:numPr>
                <w:ilvl w:val="0"/>
                <w:numId w:val="5"/>
              </w:numPr>
              <w:rPr>
                <w:rFonts w:ascii="Times New Roman" w:hAnsi="Times New Roman" w:cs="Times New Roman"/>
              </w:rPr>
            </w:pPr>
            <w:r>
              <w:rPr>
                <w:rFonts w:ascii="Times New Roman" w:hAnsi="Times New Roman"/>
                <w:color w:val="000000"/>
                <w:sz w:val="21"/>
                <w:szCs w:val="21"/>
              </w:rPr>
              <w:t>High overlap across safety reviews limited independent corroboration.</w:t>
            </w:r>
          </w:p>
          <w:p w14:paraId="1A94BAF9" w14:textId="77777777" w:rsidR="006B06D5" w:rsidRPr="00767883" w:rsidRDefault="006B06D5" w:rsidP="006B06D5">
            <w:pPr>
              <w:pStyle w:val="ListParagraph"/>
              <w:numPr>
                <w:ilvl w:val="0"/>
                <w:numId w:val="5"/>
              </w:numPr>
              <w:rPr>
                <w:rFonts w:ascii="Times New Roman" w:hAnsi="Times New Roman" w:cs="Times New Roman"/>
              </w:rPr>
            </w:pPr>
            <w:r w:rsidRPr="00767883">
              <w:rPr>
                <w:rFonts w:ascii="Times New Roman" w:hAnsi="Times New Roman" w:cs="Times New Roman"/>
                <w:color w:val="000000"/>
                <w:sz w:val="21"/>
                <w:szCs w:val="21"/>
              </w:rPr>
              <w:t>Interpretation remains cautious for recent myocardial infarction or stroke, severe kidney disease, or high cumulative exposure.</w:t>
            </w:r>
          </w:p>
          <w:p w14:paraId="56D595A2" w14:textId="77777777" w:rsidR="006B06D5" w:rsidRPr="00767883" w:rsidRDefault="006B06D5" w:rsidP="006B06D5">
            <w:pPr>
              <w:pStyle w:val="ListParagraph"/>
              <w:numPr>
                <w:ilvl w:val="0"/>
                <w:numId w:val="5"/>
              </w:numPr>
              <w:rPr>
                <w:rFonts w:ascii="Times New Roman" w:hAnsi="Times New Roman" w:cs="Times New Roman"/>
              </w:rPr>
            </w:pPr>
            <w:r w:rsidRPr="00767883">
              <w:rPr>
                <w:rFonts w:ascii="Times New Roman" w:hAnsi="Times New Roman" w:cs="Times New Roman"/>
                <w:color w:val="000000"/>
                <w:sz w:val="21"/>
                <w:szCs w:val="21"/>
              </w:rPr>
              <w:t>Ocular safety concerns were treatment-specific, especially steroid-related IOP or cataract risk and brolucizumab-related inflammation or vasculitis.</w:t>
            </w:r>
          </w:p>
        </w:tc>
      </w:tr>
      <w:tr w:rsidR="006B06D5" w:rsidRPr="00767883" w14:paraId="44F80B65" w14:textId="77777777">
        <w:tc>
          <w:tcPr>
            <w:tcW w:w="0" w:type="auto"/>
            <w:tcBorders>
              <w:top w:val="single" w:sz="6" w:space="0" w:color="A6A6A6"/>
              <w:left w:val="single" w:sz="6" w:space="0" w:color="A6A6A6"/>
              <w:bottom w:val="single" w:sz="6" w:space="0" w:color="A6A6A6"/>
              <w:right w:val="single" w:sz="6" w:space="0" w:color="A6A6A6"/>
            </w:tcBorders>
            <w:shd w:val="clear" w:color="auto" w:fill="D9D9D9"/>
            <w:tcMar>
              <w:top w:w="80" w:type="dxa"/>
              <w:left w:w="80" w:type="dxa"/>
              <w:bottom w:w="80" w:type="dxa"/>
              <w:right w:w="80" w:type="dxa"/>
            </w:tcMar>
            <w:vAlign w:val="center"/>
            <w:hideMark/>
          </w:tcPr>
          <w:p w14:paraId="13BC96F6" w14:textId="77777777" w:rsidR="006B06D5" w:rsidRPr="00767883" w:rsidRDefault="006B06D5">
            <w:pPr>
              <w:spacing w:after="0"/>
              <w:rPr>
                <w:rFonts w:ascii="Times New Roman" w:hAnsi="Times New Roman" w:cs="Times New Roman"/>
                <w:kern w:val="0"/>
                <w14:ligatures w14:val="none"/>
              </w:rPr>
            </w:pPr>
            <w:r w:rsidRPr="00767883">
              <w:rPr>
                <w:rFonts w:ascii="Times New Roman" w:hAnsi="Times New Roman" w:cs="Times New Roman"/>
                <w:b/>
                <w:bCs/>
                <w:color w:val="000000"/>
                <w:sz w:val="36"/>
                <w:szCs w:val="36"/>
              </w:rPr>
              <w:t>Box S4. Phenotype-to-evidence interpretation aid</w:t>
            </w:r>
          </w:p>
        </w:tc>
      </w:tr>
      <w:tr w:rsidR="006B06D5" w:rsidRPr="00767883" w14:paraId="148E1813" w14:textId="77777777">
        <w:tc>
          <w:tcPr>
            <w:tcW w:w="0" w:type="auto"/>
            <w:tcBorders>
              <w:top w:val="single" w:sz="6" w:space="0" w:color="A6A6A6"/>
              <w:left w:val="single" w:sz="6" w:space="0" w:color="A6A6A6"/>
              <w:bottom w:val="single" w:sz="6" w:space="0" w:color="A6A6A6"/>
              <w:right w:val="single" w:sz="6" w:space="0" w:color="A6A6A6"/>
            </w:tcBorders>
            <w:shd w:val="clear" w:color="auto" w:fill="F2F2F2"/>
            <w:tcMar>
              <w:top w:w="120" w:type="dxa"/>
              <w:left w:w="120" w:type="dxa"/>
              <w:bottom w:w="120" w:type="dxa"/>
              <w:right w:w="120" w:type="dxa"/>
            </w:tcMar>
            <w:vAlign w:val="center"/>
            <w:hideMark/>
          </w:tcPr>
          <w:p w14:paraId="5407B454" w14:textId="77777777" w:rsidR="000B329A" w:rsidRDefault="000B329A">
            <w:pPr>
              <w:spacing w:line="300" w:lineRule="atLeast"/>
              <w:rPr>
                <w:kern w:val="0"/>
                <w14:ligatures w14:val="none"/>
              </w:rPr>
            </w:pPr>
            <w:r>
              <w:rPr>
                <w:rFonts w:ascii="Times New Roman" w:hAnsi="Times New Roman"/>
                <w:color w:val="000000"/>
                <w:sz w:val="21"/>
                <w:szCs w:val="21"/>
              </w:rPr>
              <w:t>This box is a quick-reference aid for applying the evidence hierarchy to common DME and DR contexts. It highlights the main phenotype, response, monitoring, burden, durability, and safety modifiers. Detailed confidence assessments and source-level interpretations remain in Supplementary Tables S5, S7, S8, S10, and S11.</w:t>
            </w:r>
          </w:p>
          <w:p w14:paraId="1A0EA580" w14:textId="77777777" w:rsidR="006B06D5" w:rsidRPr="00767883" w:rsidRDefault="006B06D5" w:rsidP="006B06D5">
            <w:pPr>
              <w:pStyle w:val="ListParagraph"/>
              <w:numPr>
                <w:ilvl w:val="0"/>
                <w:numId w:val="6"/>
              </w:numPr>
              <w:rPr>
                <w:rFonts w:ascii="Times New Roman" w:hAnsi="Times New Roman" w:cs="Times New Roman"/>
              </w:rPr>
            </w:pPr>
            <w:r w:rsidRPr="00767883">
              <w:rPr>
                <w:rFonts w:ascii="Times New Roman" w:hAnsi="Times New Roman" w:cs="Times New Roman"/>
                <w:color w:val="000000"/>
                <w:sz w:val="21"/>
                <w:szCs w:val="21"/>
              </w:rPr>
              <w:t>Phenotype classification: CI-DME with or without visual impairment, NPDR, or PDR.</w:t>
            </w:r>
          </w:p>
          <w:p w14:paraId="3EEFDC91" w14:textId="77777777" w:rsidR="006B06D5" w:rsidRPr="00767883" w:rsidRDefault="006B06D5" w:rsidP="006B06D5">
            <w:pPr>
              <w:pStyle w:val="ListParagraph"/>
              <w:numPr>
                <w:ilvl w:val="0"/>
                <w:numId w:val="6"/>
              </w:numPr>
              <w:rPr>
                <w:rFonts w:ascii="Times New Roman" w:hAnsi="Times New Roman" w:cs="Times New Roman"/>
              </w:rPr>
            </w:pPr>
            <w:r w:rsidRPr="00767883">
              <w:rPr>
                <w:rFonts w:ascii="Times New Roman" w:hAnsi="Times New Roman" w:cs="Times New Roman"/>
                <w:color w:val="000000"/>
                <w:sz w:val="21"/>
                <w:szCs w:val="21"/>
              </w:rPr>
              <w:t>Interpret anti-VEGF as the main review-level conclusion for visually impaired CI-DME. Agent choice remains individualized.</w:t>
            </w:r>
          </w:p>
          <w:p w14:paraId="12ED81F1" w14:textId="77777777" w:rsidR="006B06D5" w:rsidRPr="00767883" w:rsidRDefault="006B06D5" w:rsidP="006B06D5">
            <w:pPr>
              <w:pStyle w:val="ListParagraph"/>
              <w:numPr>
                <w:ilvl w:val="0"/>
                <w:numId w:val="6"/>
              </w:numPr>
              <w:rPr>
                <w:rFonts w:ascii="Times New Roman" w:hAnsi="Times New Roman" w:cs="Times New Roman"/>
              </w:rPr>
            </w:pPr>
            <w:r w:rsidRPr="00767883">
              <w:rPr>
                <w:rFonts w:ascii="Times New Roman" w:hAnsi="Times New Roman" w:cs="Times New Roman"/>
                <w:color w:val="000000"/>
                <w:sz w:val="21"/>
                <w:szCs w:val="21"/>
              </w:rPr>
              <w:t>Early response assessment includes vision, CST, adherence, and injection tolerance after adequate loading.</w:t>
            </w:r>
          </w:p>
          <w:p w14:paraId="3C9EB72B" w14:textId="77777777" w:rsidR="006B06D5" w:rsidRPr="00767883" w:rsidRDefault="006B06D5" w:rsidP="006B06D5">
            <w:pPr>
              <w:pStyle w:val="ListParagraph"/>
              <w:numPr>
                <w:ilvl w:val="0"/>
                <w:numId w:val="6"/>
              </w:numPr>
              <w:rPr>
                <w:rFonts w:ascii="Times New Roman" w:hAnsi="Times New Roman" w:cs="Times New Roman"/>
              </w:rPr>
            </w:pPr>
            <w:r w:rsidRPr="00767883">
              <w:rPr>
                <w:rFonts w:ascii="Times New Roman" w:hAnsi="Times New Roman" w:cs="Times New Roman"/>
                <w:color w:val="000000"/>
                <w:sz w:val="21"/>
                <w:szCs w:val="21"/>
              </w:rPr>
              <w:t>Interpret incomplete response cautiously; limited visual gain may reflect ischemia, chronicity, structural damage, or comorbidity.</w:t>
            </w:r>
          </w:p>
          <w:p w14:paraId="2FE5C470" w14:textId="77777777" w:rsidR="006B06D5" w:rsidRPr="00767883" w:rsidRDefault="006B06D5" w:rsidP="006B06D5">
            <w:pPr>
              <w:pStyle w:val="ListParagraph"/>
              <w:numPr>
                <w:ilvl w:val="0"/>
                <w:numId w:val="6"/>
              </w:numPr>
              <w:rPr>
                <w:rFonts w:ascii="Times New Roman" w:hAnsi="Times New Roman" w:cs="Times New Roman"/>
              </w:rPr>
            </w:pPr>
            <w:r w:rsidRPr="00767883">
              <w:rPr>
                <w:rFonts w:ascii="Times New Roman" w:hAnsi="Times New Roman" w:cs="Times New Roman"/>
                <w:color w:val="000000"/>
                <w:sz w:val="21"/>
                <w:szCs w:val="21"/>
              </w:rPr>
              <w:t>Interpret corticosteroid evidence selectively; relevance is greatest when IOP and cataract risks are acceptable.</w:t>
            </w:r>
          </w:p>
          <w:p w14:paraId="1CADD209" w14:textId="77777777" w:rsidR="006B06D5" w:rsidRPr="00767883" w:rsidRDefault="006B06D5" w:rsidP="006B06D5">
            <w:pPr>
              <w:pStyle w:val="ListParagraph"/>
              <w:numPr>
                <w:ilvl w:val="0"/>
                <w:numId w:val="6"/>
              </w:numPr>
              <w:rPr>
                <w:rFonts w:ascii="Times New Roman" w:hAnsi="Times New Roman" w:cs="Times New Roman"/>
              </w:rPr>
            </w:pPr>
            <w:r w:rsidRPr="00767883">
              <w:rPr>
                <w:rFonts w:ascii="Times New Roman" w:hAnsi="Times New Roman" w:cs="Times New Roman"/>
                <w:color w:val="000000"/>
                <w:sz w:val="21"/>
                <w:szCs w:val="21"/>
              </w:rPr>
              <w:t>Interpret NPDR/PDR disease-control evidence by feasibility; anti-VEGF requires reliable monitoring, while PRP provides durable disease-control context when visit burden and durability matter.</w:t>
            </w:r>
          </w:p>
          <w:p w14:paraId="535F5279" w14:textId="77777777" w:rsidR="006B06D5" w:rsidRPr="00767883" w:rsidRDefault="006B06D5" w:rsidP="006B06D5">
            <w:pPr>
              <w:pStyle w:val="ListParagraph"/>
              <w:numPr>
                <w:ilvl w:val="0"/>
                <w:numId w:val="6"/>
              </w:numPr>
              <w:rPr>
                <w:rFonts w:ascii="Times New Roman" w:hAnsi="Times New Roman" w:cs="Times New Roman"/>
              </w:rPr>
            </w:pPr>
            <w:r w:rsidRPr="00767883">
              <w:rPr>
                <w:rFonts w:ascii="Times New Roman" w:hAnsi="Times New Roman" w:cs="Times New Roman"/>
                <w:color w:val="000000"/>
                <w:sz w:val="21"/>
                <w:szCs w:val="21"/>
              </w:rPr>
              <w:t>Separate lower burden from durable control; reduced visits support clinical usefulness only when outcomes are maintained.</w:t>
            </w:r>
          </w:p>
          <w:p w14:paraId="0AEBD66F" w14:textId="77460C17" w:rsidR="006B06D5" w:rsidRPr="00767883" w:rsidRDefault="00767883" w:rsidP="00767883">
            <w:pPr>
              <w:pStyle w:val="ListParagraph"/>
              <w:numPr>
                <w:ilvl w:val="0"/>
                <w:numId w:val="6"/>
              </w:numPr>
              <w:rPr>
                <w:rFonts w:ascii="Times New Roman" w:hAnsi="Times New Roman" w:cs="Times New Roman"/>
              </w:rPr>
            </w:pPr>
            <w:r w:rsidRPr="00767883">
              <w:rPr>
                <w:rFonts w:ascii="Times New Roman" w:hAnsi="Times New Roman" w:cs="Times New Roman"/>
                <w:color w:val="000000"/>
                <w:sz w:val="21"/>
                <w:szCs w:val="21"/>
              </w:rPr>
              <w:t>Discuss PDS contextual material only as contextual sustained-delivery background pending mature eligible DME/DR review-level synthesis.</w:t>
            </w:r>
          </w:p>
        </w:tc>
      </w:tr>
    </w:tbl>
    <w:p w14:paraId="07306E4B" w14:textId="3E2F7DAE"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6803E61F"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S5. Domain confidence and direction-of-evidence summary</w:t>
      </w:r>
    </w:p>
    <w:tbl>
      <w:tblPr>
        <w:tblStyle w:val="TableGrid"/>
        <w:tblW w:w="5000" w:type="pct"/>
        <w:tblLook w:val="04A0" w:firstRow="1" w:lastRow="0" w:firstColumn="1" w:lastColumn="0" w:noHBand="0" w:noVBand="1"/>
      </w:tblPr>
      <w:tblGrid>
        <w:gridCol w:w="1561"/>
        <w:gridCol w:w="1519"/>
        <w:gridCol w:w="1507"/>
        <w:gridCol w:w="2539"/>
        <w:gridCol w:w="1861"/>
      </w:tblGrid>
      <w:tr w:rsidR="00CF0A7B" w:rsidRPr="00767883" w14:paraId="2D920131"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2CA99D09" w14:textId="77777777" w:rsidR="00CF0A7B" w:rsidRPr="00767883" w:rsidRDefault="00CF0A7B">
            <w:pPr>
              <w:jc w:val="center"/>
              <w:rPr>
                <w:rFonts w:ascii="Times New Roman" w:hAnsi="Times New Roman" w:cs="Times New Roman"/>
                <w:kern w:val="0"/>
                <w14:ligatures w14:val="none"/>
              </w:rPr>
            </w:pPr>
            <w:r w:rsidRPr="00767883">
              <w:rPr>
                <w:rFonts w:ascii="Times New Roman" w:hAnsi="Times New Roman" w:cs="Times New Roman"/>
                <w:b/>
                <w:bCs/>
                <w:color w:val="000000"/>
                <w:sz w:val="24"/>
                <w:szCs w:val="24"/>
              </w:rPr>
              <w:lastRenderedPageBreak/>
              <w:t>Evidence domain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01FA37EB"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Direction-of-evidence takeaway</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73FD715"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Evidence category / synthesis role</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672B40FB"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Evidence basis / source context</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0168D3CD"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Practical interpretation / caution</w:t>
            </w:r>
          </w:p>
        </w:tc>
      </w:tr>
      <w:tr w:rsidR="00CF0A7B" w:rsidRPr="00767883" w14:paraId="1050686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544849A" w14:textId="77777777" w:rsidR="00CF0A7B" w:rsidRPr="00767883" w:rsidRDefault="00CF0A7B">
            <w:pPr>
              <w:rPr>
                <w:rFonts w:ascii="Times New Roman" w:hAnsi="Times New Roman" w:cs="Times New Roman"/>
              </w:rPr>
            </w:pPr>
            <w:r w:rsidRPr="00767883">
              <w:rPr>
                <w:rFonts w:ascii="Times New Roman" w:hAnsi="Times New Roman" w:cs="Times New Roman"/>
              </w:rPr>
              <w:t>Anti-VEGF therapy for CI-DME with visual impairment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09FD815" w14:textId="77777777" w:rsidR="00CF0A7B" w:rsidRPr="00767883" w:rsidRDefault="00CF0A7B">
            <w:pPr>
              <w:rPr>
                <w:rFonts w:ascii="Times New Roman" w:hAnsi="Times New Roman" w:cs="Times New Roman"/>
              </w:rPr>
            </w:pPr>
            <w:r w:rsidRPr="00767883">
              <w:rPr>
                <w:rFonts w:ascii="Times New Roman" w:hAnsi="Times New Roman" w:cs="Times New Roman"/>
              </w:rPr>
              <w:t>Consistent visual and anatomical benefit; high overlap but stable direction.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3A8BD89" w14:textId="77777777" w:rsidR="007C619F" w:rsidRDefault="007C619F">
            <w:pPr>
              <w:rPr>
                <w:kern w:val="0"/>
                <w14:ligatures w14:val="none"/>
              </w:rPr>
            </w:pPr>
            <w:r>
              <w:rPr>
                <w:rFonts w:ascii="Times New Roman" w:hAnsi="Times New Roman"/>
              </w:rPr>
              <w:t>Primary review-level evidence anchor</w:t>
            </w:r>
          </w:p>
          <w:p w14:paraId="4F316E67" w14:textId="4733C507" w:rsidR="00CF0A7B" w:rsidRPr="00767883" w:rsidRDefault="00CF0A7B">
            <w:pPr>
              <w:rPr>
                <w:rFonts w:ascii="Times New Roman" w:hAnsi="Times New Roman" w:cs="Times New Roman"/>
              </w:rPr>
            </w:pP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66537EA" w14:textId="77777777" w:rsidR="00CF0A7B" w:rsidRPr="00767883" w:rsidRDefault="00CF0A7B">
            <w:pPr>
              <w:rPr>
                <w:rFonts w:ascii="Times New Roman" w:hAnsi="Times New Roman" w:cs="Times New Roman"/>
              </w:rPr>
            </w:pPr>
            <w:r w:rsidRPr="00767883">
              <w:rPr>
                <w:rFonts w:ascii="Times New Roman" w:hAnsi="Times New Roman" w:cs="Times New Roman"/>
              </w:rPr>
              <w:t>Higher-confidence Cochrane and NMA evidence was consistent with visual and anatomical benefit versus laser, sham, or observation. Confidence was strengthened by consistency and directness but limited by overlap and dosing variability.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41EE552" w14:textId="77777777" w:rsidR="00CF0A7B" w:rsidRPr="00767883" w:rsidRDefault="00CF0A7B">
            <w:pPr>
              <w:rPr>
                <w:rFonts w:ascii="Times New Roman" w:hAnsi="Times New Roman" w:cs="Times New Roman"/>
              </w:rPr>
            </w:pPr>
            <w:r w:rsidRPr="00767883">
              <w:rPr>
                <w:rFonts w:ascii="Times New Roman" w:hAnsi="Times New Roman" w:cs="Times New Roman"/>
              </w:rPr>
              <w:t>Interpreted as the main review-level conclusion.</w:t>
            </w:r>
          </w:p>
        </w:tc>
      </w:tr>
      <w:tr w:rsidR="00CF0A7B" w:rsidRPr="00767883" w14:paraId="2B0BFED7"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7C25404" w14:textId="77777777" w:rsidR="00CF0A7B" w:rsidRPr="00767883" w:rsidRDefault="00CF0A7B">
            <w:pPr>
              <w:rPr>
                <w:rFonts w:ascii="Times New Roman" w:hAnsi="Times New Roman" w:cs="Times New Roman"/>
              </w:rPr>
            </w:pPr>
            <w:r w:rsidRPr="00767883">
              <w:rPr>
                <w:rFonts w:ascii="Times New Roman" w:hAnsi="Times New Roman" w:cs="Times New Roman"/>
              </w:rPr>
              <w:t>Corticosteroids and implants in selected DME contexts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51E0F6B" w14:textId="77777777" w:rsidR="00CF0A7B" w:rsidRPr="00767883" w:rsidRDefault="00CF0A7B">
            <w:pPr>
              <w:rPr>
                <w:rFonts w:ascii="Times New Roman" w:hAnsi="Times New Roman" w:cs="Times New Roman"/>
              </w:rPr>
            </w:pPr>
            <w:r w:rsidRPr="00767883">
              <w:rPr>
                <w:rFonts w:ascii="Times New Roman" w:hAnsi="Times New Roman" w:cs="Times New Roman"/>
              </w:rPr>
              <w:t>Anatomical benefit and durability clearer than uniform visual benefit; safety and monitoring shape clinical use.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EAFA1FE" w14:textId="77777777" w:rsidR="004538C9" w:rsidRPr="00767883" w:rsidRDefault="00000000">
            <w:pPr>
              <w:rPr>
                <w:rFonts w:ascii="Times New Roman" w:hAnsi="Times New Roman" w:cs="Times New Roman"/>
                <w:lang w:val="en-MX"/>
              </w:rPr>
            </w:pPr>
            <w:r w:rsidRPr="00767883">
              <w:rPr>
                <w:rFonts w:ascii="Times New Roman" w:hAnsi="Times New Roman" w:cs="Times New Roman"/>
              </w:rPr>
              <w:t>Conditional evidence</w:t>
            </w:r>
          </w:p>
          <w:p w14:paraId="1D42605A" w14:textId="5C5547C8" w:rsidR="00CF0A7B" w:rsidRPr="00767883" w:rsidRDefault="00CF0A7B">
            <w:pPr>
              <w:rPr>
                <w:rFonts w:ascii="Times New Roman" w:hAnsi="Times New Roman" w:cs="Times New Roman"/>
              </w:rPr>
            </w:pP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6772681" w14:textId="77777777" w:rsidR="00CF0A7B" w:rsidRPr="00767883" w:rsidRDefault="00CF0A7B">
            <w:pPr>
              <w:rPr>
                <w:rFonts w:ascii="Times New Roman" w:hAnsi="Times New Roman" w:cs="Times New Roman"/>
              </w:rPr>
            </w:pPr>
            <w:r w:rsidRPr="00767883">
              <w:rPr>
                <w:rFonts w:ascii="Times New Roman" w:hAnsi="Times New Roman" w:cs="Times New Roman"/>
              </w:rPr>
              <w:t>Cochrane steroid evidence and implant-specific reviews were consistent with anatomical or durability benefits, but visual gain was less uniform. Confidence was limited by heterogeneous populations, repeated implant cohorts, and ocular safety concerns.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40CD31D" w14:textId="77777777" w:rsidR="00CF0A7B" w:rsidRPr="00767883" w:rsidRDefault="00CF0A7B">
            <w:pPr>
              <w:rPr>
                <w:rFonts w:ascii="Times New Roman" w:hAnsi="Times New Roman" w:cs="Times New Roman"/>
              </w:rPr>
            </w:pPr>
            <w:r w:rsidRPr="00767883">
              <w:rPr>
                <w:rFonts w:ascii="Times New Roman" w:hAnsi="Times New Roman" w:cs="Times New Roman"/>
              </w:rPr>
              <w:t>Most relevant in selected-eye contexts involving chronicity, inflammation, pseudophakia, burden, or anti-VEGF intolerance.</w:t>
            </w:r>
          </w:p>
        </w:tc>
      </w:tr>
      <w:tr w:rsidR="00CF0A7B" w:rsidRPr="00767883" w14:paraId="1C66D2C2"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63C48F6" w14:textId="77777777" w:rsidR="00CF0A7B" w:rsidRPr="00767883" w:rsidRDefault="00CF0A7B">
            <w:pPr>
              <w:rPr>
                <w:rFonts w:ascii="Times New Roman" w:hAnsi="Times New Roman" w:cs="Times New Roman"/>
              </w:rPr>
            </w:pPr>
            <w:r w:rsidRPr="00767883">
              <w:rPr>
                <w:rFonts w:ascii="Times New Roman" w:hAnsi="Times New Roman" w:cs="Times New Roman"/>
              </w:rPr>
              <w:t>NPDR/PDR disease-control strategies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1C7CA73" w14:textId="77777777" w:rsidR="00CF0A7B" w:rsidRPr="00767883" w:rsidRDefault="00CF0A7B">
            <w:pPr>
              <w:rPr>
                <w:rFonts w:ascii="Times New Roman" w:hAnsi="Times New Roman" w:cs="Times New Roman"/>
              </w:rPr>
            </w:pPr>
            <w:r w:rsidRPr="00767883">
              <w:rPr>
                <w:rFonts w:ascii="Times New Roman" w:hAnsi="Times New Roman" w:cs="Times New Roman"/>
              </w:rPr>
              <w:t>Disease-control outcomes favorable in selected settings; visual differences smaller or context-dependent.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E159245" w14:textId="77777777" w:rsidR="004538C9" w:rsidRPr="00767883" w:rsidRDefault="00000000">
            <w:pPr>
              <w:rPr>
                <w:rFonts w:ascii="Times New Roman" w:hAnsi="Times New Roman" w:cs="Times New Roman"/>
                <w:lang w:val="en-MX"/>
              </w:rPr>
            </w:pPr>
            <w:r w:rsidRPr="00767883">
              <w:rPr>
                <w:rFonts w:ascii="Times New Roman" w:hAnsi="Times New Roman" w:cs="Times New Roman"/>
              </w:rPr>
              <w:t>Conditional evidence</w:t>
            </w:r>
          </w:p>
          <w:p w14:paraId="78AE89BF" w14:textId="5BA1ED33" w:rsidR="00CF0A7B" w:rsidRPr="00767883" w:rsidRDefault="00CF0A7B">
            <w:pPr>
              <w:rPr>
                <w:rFonts w:ascii="Times New Roman" w:hAnsi="Times New Roman" w:cs="Times New Roman"/>
              </w:rPr>
            </w:pP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AE75AC6" w14:textId="77777777" w:rsidR="00CF0A7B" w:rsidRPr="00767883" w:rsidRDefault="00CF0A7B">
            <w:pPr>
              <w:rPr>
                <w:rFonts w:ascii="Times New Roman" w:hAnsi="Times New Roman" w:cs="Times New Roman"/>
              </w:rPr>
            </w:pPr>
            <w:r w:rsidRPr="00767883">
              <w:rPr>
                <w:rFonts w:ascii="Times New Roman" w:hAnsi="Times New Roman" w:cs="Times New Roman"/>
              </w:rPr>
              <w:t>HTA, Cochrane, NMA, and adjunctive-treatment reviews were consistent with disease-control effects in selected contexts. Confidence was limited by very high overlap, varying indications, and dependence on follow-up and retreatment capacity.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8923777" w14:textId="77777777" w:rsidR="00CF0A7B" w:rsidRPr="00767883" w:rsidRDefault="00CF0A7B">
            <w:pPr>
              <w:rPr>
                <w:rFonts w:ascii="Times New Roman" w:hAnsi="Times New Roman" w:cs="Times New Roman"/>
              </w:rPr>
            </w:pPr>
            <w:r w:rsidRPr="00767883">
              <w:rPr>
                <w:rFonts w:ascii="Times New Roman" w:hAnsi="Times New Roman" w:cs="Times New Roman"/>
              </w:rPr>
              <w:t>Clinical usefulness depends on monitoring reliability, retreatment capacity, and feasibility.</w:t>
            </w:r>
          </w:p>
        </w:tc>
      </w:tr>
      <w:tr w:rsidR="00CF0A7B" w:rsidRPr="00767883" w14:paraId="31325DB0"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FB02023" w14:textId="77777777" w:rsidR="00CF0A7B" w:rsidRPr="00767883" w:rsidRDefault="00CF0A7B">
            <w:pPr>
              <w:rPr>
                <w:rFonts w:ascii="Times New Roman" w:hAnsi="Times New Roman" w:cs="Times New Roman"/>
              </w:rPr>
            </w:pPr>
            <w:r w:rsidRPr="00767883">
              <w:rPr>
                <w:rFonts w:ascii="Times New Roman" w:hAnsi="Times New Roman" w:cs="Times New Roman"/>
              </w:rPr>
              <w:t>Switching after incomplete anti-VEGF response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2CDB962" w14:textId="77777777" w:rsidR="00CF0A7B" w:rsidRPr="00767883" w:rsidRDefault="00CF0A7B">
            <w:pPr>
              <w:rPr>
                <w:rFonts w:ascii="Times New Roman" w:hAnsi="Times New Roman" w:cs="Times New Roman"/>
              </w:rPr>
            </w:pPr>
            <w:r w:rsidRPr="00767883">
              <w:rPr>
                <w:rFonts w:ascii="Times New Roman" w:hAnsi="Times New Roman" w:cs="Times New Roman"/>
              </w:rPr>
              <w:t>Anatomical improvement more consistent than durable visual gain.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79FF9F3" w14:textId="77777777" w:rsidR="004538C9" w:rsidRPr="00767883" w:rsidRDefault="00000000">
            <w:pPr>
              <w:rPr>
                <w:rFonts w:ascii="Times New Roman" w:hAnsi="Times New Roman" w:cs="Times New Roman"/>
                <w:lang w:val="en-MX"/>
              </w:rPr>
            </w:pPr>
            <w:r w:rsidRPr="00767883">
              <w:rPr>
                <w:rFonts w:ascii="Times New Roman" w:hAnsi="Times New Roman" w:cs="Times New Roman"/>
              </w:rPr>
              <w:t>Conditional evidence</w:t>
            </w:r>
          </w:p>
          <w:p w14:paraId="794D8FD5" w14:textId="005CEA95" w:rsidR="00CF0A7B" w:rsidRPr="00767883" w:rsidRDefault="00CF0A7B">
            <w:pPr>
              <w:rPr>
                <w:rFonts w:ascii="Times New Roman" w:hAnsi="Times New Roman" w:cs="Times New Roman"/>
              </w:rPr>
            </w:pP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F93D72A" w14:textId="77777777" w:rsidR="00CF0A7B" w:rsidRPr="00767883" w:rsidRDefault="00CF0A7B">
            <w:pPr>
              <w:rPr>
                <w:rFonts w:ascii="Times New Roman" w:hAnsi="Times New Roman" w:cs="Times New Roman"/>
              </w:rPr>
            </w:pPr>
            <w:r w:rsidRPr="00767883">
              <w:rPr>
                <w:rFonts w:ascii="Times New Roman" w:hAnsi="Times New Roman" w:cs="Times New Roman"/>
              </w:rPr>
              <w:t>Switching reviews were consistent with more frequent anatomical improvement than durable visual gain. Confidence was limited by heterogeneity in refractory DME definitions, prior exposure, follow-up, observational designs, and high overlap.</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5B2389A" w14:textId="77777777" w:rsidR="00CF0A7B" w:rsidRPr="00767883" w:rsidRDefault="00CF0A7B">
            <w:pPr>
              <w:rPr>
                <w:rFonts w:ascii="Times New Roman" w:hAnsi="Times New Roman" w:cs="Times New Roman"/>
              </w:rPr>
            </w:pPr>
            <w:r w:rsidRPr="00767883">
              <w:rPr>
                <w:rFonts w:ascii="Times New Roman" w:hAnsi="Times New Roman" w:cs="Times New Roman"/>
              </w:rPr>
              <w:t>Interpretation depends on adequate prior anti-VEGF exposure and reassessment of visual potential.</w:t>
            </w:r>
          </w:p>
        </w:tc>
      </w:tr>
      <w:tr w:rsidR="00CF0A7B" w:rsidRPr="00767883" w14:paraId="0CFE040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440F86F" w14:textId="77777777" w:rsidR="00CF0A7B" w:rsidRPr="00767883" w:rsidRDefault="00CF0A7B">
            <w:pPr>
              <w:rPr>
                <w:rFonts w:ascii="Times New Roman" w:hAnsi="Times New Roman" w:cs="Times New Roman"/>
              </w:rPr>
            </w:pPr>
            <w:r w:rsidRPr="00767883">
              <w:rPr>
                <w:rFonts w:ascii="Times New Roman" w:hAnsi="Times New Roman" w:cs="Times New Roman"/>
              </w:rPr>
              <w:t>Combination therapy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B87AFCF" w14:textId="77777777" w:rsidR="00CF0A7B" w:rsidRPr="00767883" w:rsidRDefault="00CF0A7B">
            <w:pPr>
              <w:rPr>
                <w:rFonts w:ascii="Times New Roman" w:hAnsi="Times New Roman" w:cs="Times New Roman"/>
              </w:rPr>
            </w:pPr>
            <w:r w:rsidRPr="00767883">
              <w:rPr>
                <w:rFonts w:ascii="Times New Roman" w:hAnsi="Times New Roman" w:cs="Times New Roman"/>
              </w:rPr>
              <w:t>Possible anatomical benefit without consistent visual superiority.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581D7C4" w14:textId="77777777" w:rsidR="004538C9" w:rsidRPr="00767883" w:rsidRDefault="00000000">
            <w:pPr>
              <w:rPr>
                <w:rFonts w:ascii="Times New Roman" w:hAnsi="Times New Roman" w:cs="Times New Roman"/>
                <w:lang w:val="en-MX"/>
              </w:rPr>
            </w:pPr>
            <w:r w:rsidRPr="00767883">
              <w:rPr>
                <w:rFonts w:ascii="Times New Roman" w:hAnsi="Times New Roman" w:cs="Times New Roman"/>
              </w:rPr>
              <w:t>Hypothesis-generating evidence</w:t>
            </w:r>
          </w:p>
          <w:p w14:paraId="1F709136" w14:textId="224ED659" w:rsidR="00CF0A7B" w:rsidRPr="00767883" w:rsidRDefault="00CF0A7B">
            <w:pPr>
              <w:rPr>
                <w:rFonts w:ascii="Times New Roman" w:hAnsi="Times New Roman" w:cs="Times New Roman"/>
              </w:rPr>
            </w:pP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C7F8595" w14:textId="77777777" w:rsidR="00CF0A7B" w:rsidRPr="00767883" w:rsidRDefault="00CF0A7B">
            <w:pPr>
              <w:rPr>
                <w:rFonts w:ascii="Times New Roman" w:hAnsi="Times New Roman" w:cs="Times New Roman"/>
              </w:rPr>
            </w:pPr>
            <w:r w:rsidRPr="00767883">
              <w:rPr>
                <w:rFonts w:ascii="Times New Roman" w:hAnsi="Times New Roman" w:cs="Times New Roman"/>
              </w:rPr>
              <w:t xml:space="preserve">Combination reviews were consistent with possible anatomical benefit but inconsistent visual superiority over anti-VEGF monotherapy. Confidence was reduced </w:t>
            </w:r>
            <w:r w:rsidRPr="00767883">
              <w:rPr>
                <w:rFonts w:ascii="Times New Roman" w:hAnsi="Times New Roman" w:cs="Times New Roman"/>
              </w:rPr>
              <w:lastRenderedPageBreak/>
              <w:t>by heterogeneous interventions, mixed comparators, inconsistent safety reporting, very high overlap, and added safety burden.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3346B1E" w14:textId="77777777" w:rsidR="00CF0A7B" w:rsidRPr="00767883" w:rsidRDefault="00CF0A7B">
            <w:pPr>
              <w:rPr>
                <w:rFonts w:ascii="Times New Roman" w:hAnsi="Times New Roman" w:cs="Times New Roman"/>
              </w:rPr>
            </w:pPr>
            <w:r w:rsidRPr="00767883">
              <w:rPr>
                <w:rFonts w:ascii="Times New Roman" w:hAnsi="Times New Roman" w:cs="Times New Roman"/>
              </w:rPr>
              <w:lastRenderedPageBreak/>
              <w:t>Hypothesis-generating evidence rather than routine escalation evidence.</w:t>
            </w:r>
          </w:p>
        </w:tc>
      </w:tr>
      <w:tr w:rsidR="00CF0A7B" w:rsidRPr="00767883" w14:paraId="710A17B9"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7EDB893" w14:textId="77777777" w:rsidR="00CF0A7B" w:rsidRPr="00767883" w:rsidRDefault="00CF0A7B">
            <w:pPr>
              <w:rPr>
                <w:rFonts w:ascii="Times New Roman" w:hAnsi="Times New Roman" w:cs="Times New Roman"/>
              </w:rPr>
            </w:pPr>
            <w:r w:rsidRPr="00767883">
              <w:rPr>
                <w:rFonts w:ascii="Times New Roman" w:hAnsi="Times New Roman" w:cs="Times New Roman"/>
              </w:rPr>
              <w:t>Real-world outcomes and treatment burden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5CE87B4" w14:textId="77777777" w:rsidR="00CF0A7B" w:rsidRPr="00767883" w:rsidRDefault="00CF0A7B">
            <w:pPr>
              <w:rPr>
                <w:rFonts w:ascii="Times New Roman" w:hAnsi="Times New Roman" w:cs="Times New Roman"/>
              </w:rPr>
            </w:pPr>
            <w:r w:rsidRPr="00767883">
              <w:rPr>
                <w:rFonts w:ascii="Times New Roman" w:hAnsi="Times New Roman" w:cs="Times New Roman"/>
              </w:rPr>
              <w:t>Smaller routine-practice gains and lower treatment intensity than trials.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99BBCA4" w14:textId="77777777" w:rsidR="004538C9" w:rsidRPr="00767883" w:rsidRDefault="00000000">
            <w:pPr>
              <w:rPr>
                <w:rFonts w:ascii="Times New Roman" w:hAnsi="Times New Roman" w:cs="Times New Roman"/>
                <w:lang w:val="en-MX"/>
              </w:rPr>
            </w:pPr>
            <w:r w:rsidRPr="00767883">
              <w:rPr>
                <w:rFonts w:ascii="Times New Roman" w:hAnsi="Times New Roman" w:cs="Times New Roman"/>
              </w:rPr>
              <w:t>Supplementary evidence</w:t>
            </w:r>
          </w:p>
          <w:p w14:paraId="1F38EAB3" w14:textId="23FFDBB0" w:rsidR="00CF0A7B" w:rsidRPr="00767883" w:rsidRDefault="00CF0A7B">
            <w:pPr>
              <w:rPr>
                <w:rFonts w:ascii="Times New Roman" w:hAnsi="Times New Roman" w:cs="Times New Roman"/>
              </w:rPr>
            </w:pP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5908D99" w14:textId="77777777" w:rsidR="00CF0A7B" w:rsidRPr="00767883" w:rsidRDefault="00CF0A7B">
            <w:pPr>
              <w:rPr>
                <w:rFonts w:ascii="Times New Roman" w:hAnsi="Times New Roman" w:cs="Times New Roman"/>
              </w:rPr>
            </w:pPr>
            <w:r w:rsidRPr="00767883">
              <w:rPr>
                <w:rFonts w:ascii="Times New Roman" w:hAnsi="Times New Roman" w:cs="Times New Roman"/>
              </w:rPr>
              <w:t>Real-world reviews were consistent with lower injection frequency, smaller visual gains, and heterogeneous monitoring compared with pivotal trials. Confidence was limited by observational designs, selection bias, incomplete access data, and variable outcome definitions.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59505BD" w14:textId="0AA28EF1" w:rsidR="00CF0A7B" w:rsidRPr="00767883" w:rsidRDefault="00000000" w:rsidP="00D0285B">
            <w:pPr>
              <w:rPr>
                <w:rFonts w:ascii="Times New Roman" w:hAnsi="Times New Roman" w:cs="Times New Roman"/>
                <w:lang w:val="en-MX"/>
              </w:rPr>
            </w:pPr>
            <w:r w:rsidRPr="00767883">
              <w:rPr>
                <w:rFonts w:ascii="Times New Roman" w:hAnsi="Times New Roman" w:cs="Times New Roman"/>
              </w:rPr>
              <w:t xml:space="preserve">Contextual </w:t>
            </w:r>
            <w:r w:rsidR="00D0285B" w:rsidRPr="00767883">
              <w:rPr>
                <w:rFonts w:ascii="Times New Roman" w:hAnsi="Times New Roman" w:cs="Times New Roman"/>
              </w:rPr>
              <w:t>information</w:t>
            </w:r>
            <w:r w:rsidRPr="00767883">
              <w:rPr>
                <w:rFonts w:ascii="Times New Roman" w:hAnsi="Times New Roman" w:cs="Times New Roman"/>
              </w:rPr>
              <w:t xml:space="preserve"> for external validity and implementation; lower burden does not imply durable control unless outcomes are maintained.</w:t>
            </w:r>
          </w:p>
        </w:tc>
      </w:tr>
      <w:tr w:rsidR="00CF0A7B" w:rsidRPr="00767883" w14:paraId="1CAA9A1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B3CFBFC" w14:textId="77777777" w:rsidR="00CF0A7B" w:rsidRPr="00767883" w:rsidRDefault="00CF0A7B">
            <w:pPr>
              <w:rPr>
                <w:rFonts w:ascii="Times New Roman" w:hAnsi="Times New Roman" w:cs="Times New Roman"/>
              </w:rPr>
            </w:pPr>
            <w:r w:rsidRPr="00767883">
              <w:rPr>
                <w:rFonts w:ascii="Times New Roman" w:hAnsi="Times New Roman" w:cs="Times New Roman"/>
              </w:rPr>
              <w:t>Systemic safety of intravitreal anti-VEGF therapy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D9BBC0D" w14:textId="77777777" w:rsidR="00CF0A7B" w:rsidRPr="00767883" w:rsidRDefault="00CF0A7B">
            <w:pPr>
              <w:rPr>
                <w:rFonts w:ascii="Times New Roman" w:hAnsi="Times New Roman" w:cs="Times New Roman"/>
              </w:rPr>
            </w:pPr>
            <w:r w:rsidRPr="00767883">
              <w:rPr>
                <w:rFonts w:ascii="Times New Roman" w:hAnsi="Times New Roman" w:cs="Times New Roman"/>
              </w:rPr>
              <w:t>No clear overall systemic harm signal; rare events and high-risk subgroups remain uncertain.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F79FD72" w14:textId="77777777" w:rsidR="004538C9" w:rsidRPr="00767883" w:rsidRDefault="00000000">
            <w:pPr>
              <w:rPr>
                <w:rFonts w:ascii="Times New Roman" w:hAnsi="Times New Roman" w:cs="Times New Roman"/>
                <w:lang w:val="en-MX"/>
              </w:rPr>
            </w:pPr>
            <w:r w:rsidRPr="00767883">
              <w:rPr>
                <w:rFonts w:ascii="Times New Roman" w:hAnsi="Times New Roman" w:cs="Times New Roman"/>
              </w:rPr>
              <w:t>Supplementary evidence</w:t>
            </w:r>
          </w:p>
          <w:p w14:paraId="3A8A1FD5" w14:textId="51F357BE" w:rsidR="00CF0A7B" w:rsidRPr="00767883" w:rsidRDefault="00CF0A7B">
            <w:pPr>
              <w:rPr>
                <w:rFonts w:ascii="Times New Roman" w:hAnsi="Times New Roman" w:cs="Times New Roman"/>
              </w:rPr>
            </w:pP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FF3F170" w14:textId="77777777" w:rsidR="00CF0A7B" w:rsidRPr="00767883" w:rsidRDefault="00CF0A7B">
            <w:pPr>
              <w:rPr>
                <w:rFonts w:ascii="Times New Roman" w:hAnsi="Times New Roman" w:cs="Times New Roman"/>
              </w:rPr>
            </w:pPr>
            <w:r w:rsidRPr="00767883">
              <w:rPr>
                <w:rFonts w:ascii="Times New Roman" w:hAnsi="Times New Roman" w:cs="Times New Roman"/>
              </w:rPr>
              <w:t>Safety reviews generally did not show a clear overall increase in major systemic events after intravitreal anti-VEGF therapy. Confidence was limited by rare-event underpowering, short or intermediate follow-up, high-risk subgroup underrepresentation, and very high overlap.</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C824555" w14:textId="45A63D1D" w:rsidR="00CF0A7B" w:rsidRPr="00767883" w:rsidRDefault="00000000" w:rsidP="00DD0632">
            <w:pPr>
              <w:rPr>
                <w:rFonts w:ascii="Times New Roman" w:hAnsi="Times New Roman" w:cs="Times New Roman"/>
                <w:lang w:val="en-MX"/>
              </w:rPr>
            </w:pPr>
            <w:r w:rsidRPr="00767883">
              <w:rPr>
                <w:rFonts w:ascii="Times New Roman" w:hAnsi="Times New Roman" w:cs="Times New Roman"/>
              </w:rPr>
              <w:t xml:space="preserve">Contextual </w:t>
            </w:r>
            <w:r w:rsidR="00DD0632" w:rsidRPr="00767883">
              <w:rPr>
                <w:rFonts w:ascii="Times New Roman" w:hAnsi="Times New Roman" w:cs="Times New Roman"/>
              </w:rPr>
              <w:t>information</w:t>
            </w:r>
            <w:r w:rsidRPr="00767883">
              <w:rPr>
                <w:rFonts w:ascii="Times New Roman" w:hAnsi="Times New Roman" w:cs="Times New Roman"/>
              </w:rPr>
              <w:t xml:space="preserve"> for safety interpretation; absence of a clear signal is not definitive reassurance for high-risk or intensive-exposure patients.</w:t>
            </w:r>
          </w:p>
        </w:tc>
      </w:tr>
    </w:tbl>
    <w:p w14:paraId="77A0BA11" w14:textId="77777777" w:rsidR="004538C9" w:rsidRPr="00767883" w:rsidRDefault="00000000">
      <w:pPr>
        <w:spacing w:line="300" w:lineRule="atLeast"/>
        <w:rPr>
          <w:rFonts w:ascii="Times New Roman" w:hAnsi="Times New Roman" w:cs="Times New Roman"/>
          <w:lang w:val="en-MX"/>
        </w:rPr>
      </w:pPr>
      <w:r w:rsidRPr="00767883">
        <w:rPr>
          <w:rFonts w:ascii="Times New Roman" w:eastAsia="Times New Roman" w:hAnsi="Times New Roman" w:cs="Times New Roman"/>
          <w:b/>
          <w:bCs/>
          <w:color w:val="000000"/>
          <w:kern w:val="0"/>
          <w:sz w:val="21"/>
          <w:szCs w:val="21"/>
          <w:lang w:val="en-MX"/>
          <w14:ligatures w14:val="none"/>
        </w:rPr>
        <w:t>Note:</w:t>
      </w:r>
      <w:r w:rsidRPr="00767883">
        <w:rPr>
          <w:rFonts w:ascii="Times New Roman" w:eastAsia="Times New Roman" w:hAnsi="Times New Roman" w:cs="Times New Roman"/>
          <w:color w:val="000000"/>
          <w:kern w:val="0"/>
          <w:sz w:val="21"/>
          <w:szCs w:val="21"/>
          <w:lang w:val="en-MX"/>
          <w14:ligatures w14:val="none"/>
        </w:rPr>
        <w:t> This consolidated table summarizes the qualitative direction of evidence and uses the same conclusion-level evidence categories as main-text Table 2. Source-level mapping for these conclusions is provided in Table S7.</w:t>
      </w:r>
      <w:r w:rsidR="00BA6324" w:rsidRPr="00767883">
        <w:rPr>
          <w:rFonts w:ascii="Times New Roman" w:hAnsi="Times New Roman" w:cs="Times New Roman"/>
          <w:color w:val="000000"/>
          <w:sz w:val="21"/>
          <w:szCs w:val="21"/>
        </w:rPr>
        <w:t xml:space="preserve"> Source Study IDs by Table S5 domain are: anti-VEGF CI-DME, Virgili 2023, Wang 2022, Sydnor 2023, Justino 2024, Li et al. 2023, </w:t>
      </w:r>
      <w:proofErr w:type="spellStart"/>
      <w:r w:rsidR="00BA6324" w:rsidRPr="00767883">
        <w:rPr>
          <w:rFonts w:ascii="Times New Roman" w:hAnsi="Times New Roman" w:cs="Times New Roman"/>
          <w:color w:val="000000"/>
          <w:sz w:val="21"/>
          <w:szCs w:val="21"/>
        </w:rPr>
        <w:t>Santhakumaran</w:t>
      </w:r>
      <w:proofErr w:type="spellEnd"/>
      <w:r w:rsidR="00BA6324" w:rsidRPr="00767883">
        <w:rPr>
          <w:rFonts w:ascii="Times New Roman" w:hAnsi="Times New Roman" w:cs="Times New Roman"/>
          <w:color w:val="000000"/>
          <w:sz w:val="21"/>
          <w:szCs w:val="21"/>
        </w:rPr>
        <w:t xml:space="preserve"> et al. 2022, Chen J 2023, Chen L 2025, Friedman 2025, Falcão 2020, and Krishnan 2026; corticosteroids/implants, </w:t>
      </w:r>
      <w:proofErr w:type="spellStart"/>
      <w:r w:rsidR="00BA6324" w:rsidRPr="00767883">
        <w:rPr>
          <w:rFonts w:ascii="Times New Roman" w:hAnsi="Times New Roman" w:cs="Times New Roman"/>
          <w:color w:val="000000"/>
          <w:sz w:val="21"/>
          <w:szCs w:val="21"/>
        </w:rPr>
        <w:t>Rittiphairoj</w:t>
      </w:r>
      <w:proofErr w:type="spellEnd"/>
      <w:r w:rsidR="00BA6324" w:rsidRPr="00767883">
        <w:rPr>
          <w:rFonts w:ascii="Times New Roman" w:hAnsi="Times New Roman" w:cs="Times New Roman"/>
          <w:color w:val="000000"/>
          <w:sz w:val="21"/>
          <w:szCs w:val="21"/>
        </w:rPr>
        <w:t xml:space="preserve"> 2020, Xu et al. 2024, Ma et al. 2024, Chi 2023, Fallico 2021, </w:t>
      </w:r>
      <w:proofErr w:type="spellStart"/>
      <w:r w:rsidR="00BA6324" w:rsidRPr="00767883">
        <w:rPr>
          <w:rFonts w:ascii="Times New Roman" w:hAnsi="Times New Roman" w:cs="Times New Roman"/>
          <w:color w:val="000000"/>
          <w:sz w:val="21"/>
          <w:szCs w:val="21"/>
        </w:rPr>
        <w:t>Kodjikian</w:t>
      </w:r>
      <w:proofErr w:type="spellEnd"/>
      <w:r w:rsidR="00BA6324" w:rsidRPr="00767883">
        <w:rPr>
          <w:rFonts w:ascii="Times New Roman" w:hAnsi="Times New Roman" w:cs="Times New Roman"/>
          <w:color w:val="000000"/>
          <w:sz w:val="21"/>
          <w:szCs w:val="21"/>
        </w:rPr>
        <w:t xml:space="preserve"> 2021, Bucolo 2018, Cao 2025, Hu 2025, Karam 2025, and Yuan 2022; NPDR/PDR, Simmonds 2025, Chaudhary 2023, Chen K-Y et al. 2025, Fu et al. 2023, Zhang 2021, Song 2025, Kataoka 2023, and Thagaard 2022; switching, Liu 2020, Xiao 2020, </w:t>
      </w:r>
      <w:proofErr w:type="spellStart"/>
      <w:r w:rsidR="00BA6324" w:rsidRPr="00767883">
        <w:rPr>
          <w:rFonts w:ascii="Times New Roman" w:hAnsi="Times New Roman" w:cs="Times New Roman"/>
          <w:color w:val="000000"/>
          <w:sz w:val="21"/>
          <w:szCs w:val="21"/>
        </w:rPr>
        <w:t>Madjedi</w:t>
      </w:r>
      <w:proofErr w:type="spellEnd"/>
      <w:r w:rsidR="00BA6324" w:rsidRPr="00767883">
        <w:rPr>
          <w:rFonts w:ascii="Times New Roman" w:hAnsi="Times New Roman" w:cs="Times New Roman"/>
          <w:color w:val="000000"/>
          <w:sz w:val="21"/>
          <w:szCs w:val="21"/>
        </w:rPr>
        <w:t xml:space="preserve"> 2022, Tahmasebi 2025, Cao 2025, Xu et al. 2024, Nasimi 2024, and </w:t>
      </w:r>
      <w:proofErr w:type="spellStart"/>
      <w:r w:rsidR="00BA6324" w:rsidRPr="00767883">
        <w:rPr>
          <w:rFonts w:ascii="Times New Roman" w:hAnsi="Times New Roman" w:cs="Times New Roman"/>
          <w:color w:val="000000"/>
          <w:sz w:val="21"/>
          <w:szCs w:val="21"/>
        </w:rPr>
        <w:t>Hatamnejad</w:t>
      </w:r>
      <w:proofErr w:type="spellEnd"/>
      <w:r w:rsidR="00BA6324" w:rsidRPr="00767883">
        <w:rPr>
          <w:rFonts w:ascii="Times New Roman" w:hAnsi="Times New Roman" w:cs="Times New Roman"/>
          <w:color w:val="000000"/>
          <w:sz w:val="21"/>
          <w:szCs w:val="21"/>
        </w:rPr>
        <w:t xml:space="preserve"> 2024; combination therapy, Ma et al. 2024, Grad 2025, Yang 2025, Zhou 2025, </w:t>
      </w:r>
      <w:proofErr w:type="spellStart"/>
      <w:r w:rsidR="00BA6324" w:rsidRPr="00767883">
        <w:rPr>
          <w:rFonts w:ascii="Times New Roman" w:hAnsi="Times New Roman" w:cs="Times New Roman"/>
          <w:color w:val="000000"/>
          <w:sz w:val="21"/>
          <w:szCs w:val="21"/>
        </w:rPr>
        <w:t>Hatamnejad</w:t>
      </w:r>
      <w:proofErr w:type="spellEnd"/>
      <w:r w:rsidR="00BA6324" w:rsidRPr="00767883">
        <w:rPr>
          <w:rFonts w:ascii="Times New Roman" w:hAnsi="Times New Roman" w:cs="Times New Roman"/>
          <w:color w:val="000000"/>
          <w:sz w:val="21"/>
          <w:szCs w:val="21"/>
        </w:rPr>
        <w:t xml:space="preserve"> 2024, Chen J 2023, Chen L 2025, and Fu et al. 2023; real-world/burden, </w:t>
      </w:r>
      <w:proofErr w:type="spellStart"/>
      <w:r w:rsidR="00BA6324" w:rsidRPr="00767883">
        <w:rPr>
          <w:rFonts w:ascii="Times New Roman" w:hAnsi="Times New Roman" w:cs="Times New Roman"/>
          <w:color w:val="000000"/>
          <w:sz w:val="21"/>
          <w:szCs w:val="21"/>
        </w:rPr>
        <w:t>Santhakumaran</w:t>
      </w:r>
      <w:proofErr w:type="spellEnd"/>
      <w:r w:rsidR="00BA6324" w:rsidRPr="00767883">
        <w:rPr>
          <w:rFonts w:ascii="Times New Roman" w:hAnsi="Times New Roman" w:cs="Times New Roman"/>
          <w:color w:val="000000"/>
          <w:sz w:val="21"/>
          <w:szCs w:val="21"/>
        </w:rPr>
        <w:t xml:space="preserve"> et al. 2022, </w:t>
      </w:r>
      <w:proofErr w:type="spellStart"/>
      <w:r w:rsidR="00BA6324" w:rsidRPr="00767883">
        <w:rPr>
          <w:rFonts w:ascii="Times New Roman" w:hAnsi="Times New Roman" w:cs="Times New Roman"/>
          <w:color w:val="000000"/>
          <w:sz w:val="21"/>
          <w:szCs w:val="21"/>
        </w:rPr>
        <w:t>Sarohia</w:t>
      </w:r>
      <w:proofErr w:type="spellEnd"/>
      <w:r w:rsidR="00BA6324" w:rsidRPr="00767883">
        <w:rPr>
          <w:rFonts w:ascii="Times New Roman" w:hAnsi="Times New Roman" w:cs="Times New Roman"/>
          <w:color w:val="000000"/>
          <w:sz w:val="21"/>
          <w:szCs w:val="21"/>
        </w:rPr>
        <w:t xml:space="preserve"> et al. 2022, Falcão 2020, Lim 2022, Mehta 2022, Bucolo 2018, Fallico 2021, </w:t>
      </w:r>
      <w:proofErr w:type="spellStart"/>
      <w:r w:rsidR="00BA6324" w:rsidRPr="00767883">
        <w:rPr>
          <w:rFonts w:ascii="Times New Roman" w:hAnsi="Times New Roman" w:cs="Times New Roman"/>
          <w:color w:val="000000"/>
          <w:sz w:val="21"/>
          <w:szCs w:val="21"/>
        </w:rPr>
        <w:t>Kodjikian</w:t>
      </w:r>
      <w:proofErr w:type="spellEnd"/>
      <w:r w:rsidR="00BA6324" w:rsidRPr="00767883">
        <w:rPr>
          <w:rFonts w:ascii="Times New Roman" w:hAnsi="Times New Roman" w:cs="Times New Roman"/>
          <w:color w:val="000000"/>
          <w:sz w:val="21"/>
          <w:szCs w:val="21"/>
        </w:rPr>
        <w:t xml:space="preserve"> 2021, Nasimi 2024, and Friedman 2025; systemic safety, Avery &amp; Gordon 2015, Yanagida 2014, Tsao 2023, Virgili 2023, and Krishnan 2026.</w:t>
      </w:r>
    </w:p>
    <w:p w14:paraId="10B7FFDF" w14:textId="3EF55CCB"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7DDFCD66"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lastRenderedPageBreak/>
        <w:t>Table S6. AMSTAR 2 quality distribution</w:t>
      </w:r>
    </w:p>
    <w:tbl>
      <w:tblPr>
        <w:tblStyle w:val="TableGrid"/>
        <w:tblW w:w="5000" w:type="pct"/>
        <w:tblLook w:val="04A0" w:firstRow="1" w:lastRow="0" w:firstColumn="1" w:lastColumn="0" w:noHBand="0" w:noVBand="1"/>
      </w:tblPr>
      <w:tblGrid>
        <w:gridCol w:w="1331"/>
        <w:gridCol w:w="926"/>
        <w:gridCol w:w="4292"/>
        <w:gridCol w:w="2438"/>
      </w:tblGrid>
      <w:tr w:rsidR="00CF0A7B" w:rsidRPr="00767883" w14:paraId="77EA75A7"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8996DFE" w14:textId="77777777" w:rsidR="00CF0A7B" w:rsidRPr="00767883" w:rsidRDefault="00CF0A7B">
            <w:pPr>
              <w:jc w:val="center"/>
              <w:rPr>
                <w:rFonts w:ascii="Times New Roman" w:hAnsi="Times New Roman" w:cs="Times New Roman"/>
                <w:kern w:val="0"/>
                <w14:ligatures w14:val="none"/>
              </w:rPr>
            </w:pPr>
            <w:r w:rsidRPr="00767883">
              <w:rPr>
                <w:rFonts w:ascii="Times New Roman" w:hAnsi="Times New Roman" w:cs="Times New Roman"/>
                <w:b/>
                <w:bCs/>
                <w:color w:val="000000"/>
                <w:sz w:val="24"/>
                <w:szCs w:val="24"/>
              </w:rPr>
              <w:t>AMSTAR 2 confidence</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511D666A"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Review count</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6FEED2BC"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Source Study IDs</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8177B85"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color w:val="000000"/>
                <w:sz w:val="24"/>
                <w:szCs w:val="24"/>
              </w:rPr>
              <w:t>Evidence-category role</w:t>
            </w:r>
          </w:p>
        </w:tc>
      </w:tr>
      <w:tr w:rsidR="00CF0A7B" w:rsidRPr="00767883" w14:paraId="02FF753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8B08DC9" w14:textId="77777777" w:rsidR="00CF0A7B" w:rsidRPr="00767883" w:rsidRDefault="00CF0A7B">
            <w:pPr>
              <w:rPr>
                <w:rFonts w:ascii="Times New Roman" w:hAnsi="Times New Roman" w:cs="Times New Roman"/>
              </w:rPr>
            </w:pPr>
            <w:r w:rsidRPr="00767883">
              <w:rPr>
                <w:rFonts w:ascii="Times New Roman" w:hAnsi="Times New Roman" w:cs="Times New Roman"/>
              </w:rPr>
              <w:t>High</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83C5D9E" w14:textId="77777777" w:rsidR="00CF0A7B" w:rsidRPr="00767883" w:rsidRDefault="00CF0A7B">
            <w:pPr>
              <w:jc w:val="right"/>
              <w:rPr>
                <w:rFonts w:ascii="Times New Roman" w:hAnsi="Times New Roman" w:cs="Times New Roman"/>
              </w:rPr>
            </w:pPr>
            <w:r w:rsidRPr="00767883">
              <w:rPr>
                <w:rFonts w:ascii="Times New Roman" w:hAnsi="Times New Roman" w:cs="Times New Roman"/>
              </w:rPr>
              <w:t>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EE04B25" w14:textId="77777777" w:rsidR="00CF0A7B" w:rsidRPr="00767883" w:rsidRDefault="00CF0A7B">
            <w:pPr>
              <w:rPr>
                <w:rFonts w:ascii="Times New Roman" w:hAnsi="Times New Roman" w:cs="Times New Roman"/>
              </w:rPr>
            </w:pPr>
            <w:r w:rsidRPr="00767883">
              <w:rPr>
                <w:rFonts w:ascii="Times New Roman" w:hAnsi="Times New Roman" w:cs="Times New Roman"/>
              </w:rPr>
              <w:t xml:space="preserve">Virgili 2023; </w:t>
            </w:r>
            <w:proofErr w:type="spellStart"/>
            <w:r w:rsidRPr="00767883">
              <w:rPr>
                <w:rFonts w:ascii="Times New Roman" w:hAnsi="Times New Roman" w:cs="Times New Roman"/>
              </w:rPr>
              <w:t>Rittiphairoj</w:t>
            </w:r>
            <w:proofErr w:type="spellEnd"/>
            <w:r w:rsidRPr="00767883">
              <w:rPr>
                <w:rFonts w:ascii="Times New Roman" w:hAnsi="Times New Roman" w:cs="Times New Roman"/>
              </w:rPr>
              <w:t xml:space="preserve"> 2020; Simmonds 2025; Kataoka 2023.</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DAF8EA0" w14:textId="4249C89C" w:rsidR="00CF0A7B" w:rsidRPr="000B329A" w:rsidRDefault="000B329A" w:rsidP="000B329A">
            <w:pPr>
              <w:rPr>
                <w:rFonts w:ascii="Times New Roman" w:hAnsi="Times New Roman" w:cs="Times New Roman"/>
                <w:kern w:val="0"/>
                <w14:ligatures w14:val="none"/>
              </w:rPr>
            </w:pPr>
            <w:r>
              <w:rPr>
                <w:rFonts w:ascii="Times New Roman" w:hAnsi="Times New Roman"/>
              </w:rPr>
              <w:t>Primary interpretive evidence when direct, clinically comprehensive, and not substantially redundant.</w:t>
            </w:r>
          </w:p>
        </w:tc>
      </w:tr>
      <w:tr w:rsidR="00CF0A7B" w:rsidRPr="00767883" w14:paraId="23817A71"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D402715" w14:textId="77777777" w:rsidR="00CF0A7B" w:rsidRPr="00767883" w:rsidRDefault="00CF0A7B">
            <w:pPr>
              <w:rPr>
                <w:rFonts w:ascii="Times New Roman" w:hAnsi="Times New Roman" w:cs="Times New Roman"/>
              </w:rPr>
            </w:pPr>
            <w:r w:rsidRPr="00767883">
              <w:rPr>
                <w:rFonts w:ascii="Times New Roman" w:hAnsi="Times New Roman" w:cs="Times New Roman"/>
              </w:rPr>
              <w:t>Moderate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1280648" w14:textId="77777777" w:rsidR="00CF0A7B" w:rsidRPr="00767883" w:rsidRDefault="00CF0A7B">
            <w:pPr>
              <w:jc w:val="right"/>
              <w:rPr>
                <w:rFonts w:ascii="Times New Roman" w:hAnsi="Times New Roman" w:cs="Times New Roman"/>
              </w:rPr>
            </w:pPr>
            <w:r w:rsidRPr="00767883">
              <w:rPr>
                <w:rFonts w:ascii="Times New Roman" w:hAnsi="Times New Roman" w:cs="Times New Roman"/>
              </w:rPr>
              <w:t>14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785C4BC" w14:textId="77777777" w:rsidR="00CF0A7B" w:rsidRPr="00767883" w:rsidRDefault="00CF0A7B">
            <w:pPr>
              <w:rPr>
                <w:rFonts w:ascii="Times New Roman" w:hAnsi="Times New Roman" w:cs="Times New Roman"/>
              </w:rPr>
            </w:pPr>
            <w:r w:rsidRPr="00767883">
              <w:rPr>
                <w:rFonts w:ascii="Times New Roman" w:hAnsi="Times New Roman" w:cs="Times New Roman"/>
              </w:rPr>
              <w:t xml:space="preserve">Wang 2022; Justino 2024; Tahmasebi 2025; Ma et al. 2024; </w:t>
            </w:r>
            <w:proofErr w:type="spellStart"/>
            <w:r w:rsidRPr="00767883">
              <w:rPr>
                <w:rFonts w:ascii="Times New Roman" w:hAnsi="Times New Roman" w:cs="Times New Roman"/>
              </w:rPr>
              <w:t>Sarohia</w:t>
            </w:r>
            <w:proofErr w:type="spellEnd"/>
            <w:r w:rsidRPr="00767883">
              <w:rPr>
                <w:rFonts w:ascii="Times New Roman" w:hAnsi="Times New Roman" w:cs="Times New Roman"/>
              </w:rPr>
              <w:t xml:space="preserve"> et al. 2022; Chaudhary 2023; Chen J 2023; Chen L 2025; Grad 2025; Mehta 2022; Tsao 2023; Yang 2025; Zhou 2025; </w:t>
            </w:r>
            <w:proofErr w:type="spellStart"/>
            <w:r w:rsidRPr="00767883">
              <w:rPr>
                <w:rFonts w:ascii="Times New Roman" w:hAnsi="Times New Roman" w:cs="Times New Roman"/>
              </w:rPr>
              <w:t>Nichani</w:t>
            </w:r>
            <w:proofErr w:type="spellEnd"/>
            <w:r w:rsidRPr="00767883">
              <w:rPr>
                <w:rFonts w:ascii="Times New Roman" w:hAnsi="Times New Roman" w:cs="Times New Roman"/>
              </w:rPr>
              <w:t xml:space="preserve"> 2024.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1D92C34" w14:textId="77777777" w:rsidR="00CF0A7B" w:rsidRPr="00767883" w:rsidRDefault="00CF0A7B">
            <w:pPr>
              <w:rPr>
                <w:rFonts w:ascii="Times New Roman" w:hAnsi="Times New Roman" w:cs="Times New Roman"/>
              </w:rPr>
            </w:pPr>
            <w:r w:rsidRPr="00767883">
              <w:rPr>
                <w:rFonts w:ascii="Times New Roman" w:hAnsi="Times New Roman" w:cs="Times New Roman"/>
              </w:rPr>
              <w:t>Primary or supporting interpretive evidence when direct, coherent, recent, or nonredundant.</w:t>
            </w:r>
          </w:p>
        </w:tc>
      </w:tr>
      <w:tr w:rsidR="00CF0A7B" w:rsidRPr="00767883" w14:paraId="246188F0"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94319B1" w14:textId="77777777" w:rsidR="00CF0A7B" w:rsidRPr="00767883" w:rsidRDefault="00CF0A7B">
            <w:pPr>
              <w:rPr>
                <w:rFonts w:ascii="Times New Roman" w:hAnsi="Times New Roman" w:cs="Times New Roman"/>
              </w:rPr>
            </w:pPr>
            <w:r w:rsidRPr="00767883">
              <w:rPr>
                <w:rFonts w:ascii="Times New Roman" w:hAnsi="Times New Roman" w:cs="Times New Roman"/>
              </w:rPr>
              <w:t>Low</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E3D7091" w14:textId="77777777" w:rsidR="00CF0A7B" w:rsidRPr="00767883" w:rsidRDefault="00CF0A7B">
            <w:pPr>
              <w:jc w:val="right"/>
              <w:rPr>
                <w:rFonts w:ascii="Times New Roman" w:hAnsi="Times New Roman" w:cs="Times New Roman"/>
              </w:rPr>
            </w:pPr>
            <w:r w:rsidRPr="00767883">
              <w:rPr>
                <w:rFonts w:ascii="Times New Roman" w:hAnsi="Times New Roman" w:cs="Times New Roman"/>
              </w:rPr>
              <w:t>30</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6145FA3" w14:textId="77777777" w:rsidR="00CF0A7B" w:rsidRPr="00767883" w:rsidRDefault="00CF0A7B">
            <w:pPr>
              <w:rPr>
                <w:rFonts w:ascii="Times New Roman" w:hAnsi="Times New Roman" w:cs="Times New Roman"/>
              </w:rPr>
            </w:pPr>
            <w:r w:rsidRPr="00767883">
              <w:rPr>
                <w:rFonts w:ascii="Times New Roman" w:hAnsi="Times New Roman" w:cs="Times New Roman"/>
              </w:rPr>
              <w:t xml:space="preserve">Sydnor 2023; </w:t>
            </w:r>
            <w:proofErr w:type="spellStart"/>
            <w:r w:rsidRPr="00767883">
              <w:rPr>
                <w:rFonts w:ascii="Times New Roman" w:hAnsi="Times New Roman" w:cs="Times New Roman"/>
              </w:rPr>
              <w:t>Madjedi</w:t>
            </w:r>
            <w:proofErr w:type="spellEnd"/>
            <w:r w:rsidRPr="00767883">
              <w:rPr>
                <w:rFonts w:ascii="Times New Roman" w:hAnsi="Times New Roman" w:cs="Times New Roman"/>
              </w:rPr>
              <w:t xml:space="preserve"> 2022; Xiao 2020; Liu 2020; Xu et al. 2024; Fu et al. 2023; Li et al. 2023; Avery &amp; Gordon 2015; </w:t>
            </w:r>
            <w:proofErr w:type="spellStart"/>
            <w:r w:rsidRPr="00767883">
              <w:rPr>
                <w:rFonts w:ascii="Times New Roman" w:hAnsi="Times New Roman" w:cs="Times New Roman"/>
              </w:rPr>
              <w:t>Santhakumaran</w:t>
            </w:r>
            <w:proofErr w:type="spellEnd"/>
            <w:r w:rsidRPr="00767883">
              <w:rPr>
                <w:rFonts w:ascii="Times New Roman" w:hAnsi="Times New Roman" w:cs="Times New Roman"/>
              </w:rPr>
              <w:t xml:space="preserve"> et al. 2022; Chen K-Y et al. 2025; Sun X. et al. 2020; Liu W-S &amp; Li Y-J 2019; Sun X. &amp; Wei 2022; Friedman 2025; Bucolo 2018; Yanagida 2014; Cao 2025; Chi 2023; Falcão 2020; Fallico 2021; Hu 2025; Karam 2025; </w:t>
            </w:r>
            <w:proofErr w:type="spellStart"/>
            <w:r w:rsidRPr="00767883">
              <w:rPr>
                <w:rFonts w:ascii="Times New Roman" w:hAnsi="Times New Roman" w:cs="Times New Roman"/>
              </w:rPr>
              <w:t>Kodjikian</w:t>
            </w:r>
            <w:proofErr w:type="spellEnd"/>
            <w:r w:rsidRPr="00767883">
              <w:rPr>
                <w:rFonts w:ascii="Times New Roman" w:hAnsi="Times New Roman" w:cs="Times New Roman"/>
              </w:rPr>
              <w:t xml:space="preserve"> 2021; Lim 2022; Thagaard 2022; Yuan 2022; Zhang 2021; Nasimi 2024; Song 2025; </w:t>
            </w:r>
            <w:proofErr w:type="spellStart"/>
            <w:r w:rsidRPr="00767883">
              <w:rPr>
                <w:rFonts w:ascii="Times New Roman" w:hAnsi="Times New Roman" w:cs="Times New Roman"/>
              </w:rPr>
              <w:t>Hatamnejad</w:t>
            </w:r>
            <w:proofErr w:type="spellEnd"/>
            <w:r w:rsidRPr="00767883">
              <w:rPr>
                <w:rFonts w:ascii="Times New Roman" w:hAnsi="Times New Roman" w:cs="Times New Roman"/>
              </w:rPr>
              <w:t xml:space="preserve"> 2024.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6A5DED0" w14:textId="3AAE6322" w:rsidR="00CF0A7B" w:rsidRPr="00767883" w:rsidRDefault="00767883" w:rsidP="00767883">
            <w:pPr>
              <w:rPr>
                <w:rFonts w:ascii="Times New Roman" w:hAnsi="Times New Roman" w:cs="Times New Roman"/>
                <w:kern w:val="0"/>
                <w14:ligatures w14:val="none"/>
              </w:rPr>
            </w:pPr>
            <w:r w:rsidRPr="00767883">
              <w:rPr>
                <w:rFonts w:ascii="Times New Roman" w:hAnsi="Times New Roman" w:cs="Times New Roman"/>
              </w:rPr>
              <w:t>Contextual information only when adding unique subgroup, safety, durability, real-world, burden, or implementation information.</w:t>
            </w:r>
          </w:p>
        </w:tc>
      </w:tr>
      <w:tr w:rsidR="00CF0A7B" w:rsidRPr="00767883" w14:paraId="54E90E6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CCF1B94" w14:textId="77777777" w:rsidR="00CF0A7B" w:rsidRPr="00767883" w:rsidRDefault="00CF0A7B">
            <w:pPr>
              <w:rPr>
                <w:rFonts w:ascii="Times New Roman" w:hAnsi="Times New Roman" w:cs="Times New Roman"/>
              </w:rPr>
            </w:pPr>
            <w:r w:rsidRPr="00767883">
              <w:rPr>
                <w:rFonts w:ascii="Times New Roman" w:hAnsi="Times New Roman" w:cs="Times New Roman"/>
              </w:rPr>
              <w:t>Critically low</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061E60A" w14:textId="77777777" w:rsidR="00CF0A7B" w:rsidRPr="00767883" w:rsidRDefault="00CF0A7B">
            <w:pPr>
              <w:jc w:val="right"/>
              <w:rPr>
                <w:rFonts w:ascii="Times New Roman" w:hAnsi="Times New Roman" w:cs="Times New Roman"/>
              </w:rPr>
            </w:pPr>
            <w:r w:rsidRPr="00767883">
              <w:rPr>
                <w:rFonts w:ascii="Times New Roman" w:hAnsi="Times New Roman" w:cs="Times New Roman"/>
              </w:rPr>
              <w:t>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6C2EF58" w14:textId="77777777" w:rsidR="00CF0A7B" w:rsidRPr="00767883" w:rsidRDefault="00CF0A7B">
            <w:pPr>
              <w:rPr>
                <w:rFonts w:ascii="Times New Roman" w:hAnsi="Times New Roman" w:cs="Times New Roman"/>
              </w:rPr>
            </w:pPr>
            <w:r w:rsidRPr="00767883">
              <w:rPr>
                <w:rFonts w:ascii="Times New Roman" w:hAnsi="Times New Roman" w:cs="Times New Roman"/>
              </w:rPr>
              <w:t>Alali et al. 2025; Krishnan 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F64B10C" w14:textId="65F7CA18" w:rsidR="00CF0A7B" w:rsidRPr="00767883" w:rsidRDefault="00767883" w:rsidP="00767883">
            <w:pPr>
              <w:rPr>
                <w:rFonts w:ascii="Times New Roman" w:hAnsi="Times New Roman" w:cs="Times New Roman"/>
                <w:kern w:val="0"/>
                <w14:ligatures w14:val="none"/>
              </w:rPr>
            </w:pPr>
            <w:r>
              <w:rPr>
                <w:rFonts w:ascii="Times New Roman" w:hAnsi="Times New Roman"/>
              </w:rPr>
              <w:t>Not a primary interpretive source; retained only when uniquely informative as contextual information.</w:t>
            </w:r>
          </w:p>
        </w:tc>
      </w:tr>
    </w:tbl>
    <w:p w14:paraId="479A0D5E" w14:textId="77777777" w:rsidR="004538C9" w:rsidRPr="00767883" w:rsidRDefault="00000000">
      <w:pPr>
        <w:spacing w:line="300" w:lineRule="atLeast"/>
        <w:rPr>
          <w:rFonts w:ascii="Times New Roman" w:hAnsi="Times New Roman" w:cs="Times New Roman"/>
          <w:lang w:val="en-MX"/>
        </w:rPr>
      </w:pPr>
      <w:r w:rsidRPr="00767883">
        <w:rPr>
          <w:rFonts w:ascii="Times New Roman" w:eastAsia="Times New Roman" w:hAnsi="Times New Roman" w:cs="Times New Roman"/>
          <w:b/>
          <w:bCs/>
          <w:color w:val="000000"/>
          <w:kern w:val="0"/>
          <w:sz w:val="21"/>
          <w:szCs w:val="21"/>
          <w:lang w:val="en-MX"/>
          <w14:ligatures w14:val="none"/>
        </w:rPr>
        <w:t>Note:</w:t>
      </w:r>
      <w:r w:rsidRPr="00767883">
        <w:rPr>
          <w:rFonts w:ascii="Times New Roman" w:eastAsia="Times New Roman" w:hAnsi="Times New Roman" w:cs="Times New Roman"/>
          <w:color w:val="000000"/>
          <w:kern w:val="0"/>
          <w:sz w:val="21"/>
          <w:szCs w:val="21"/>
          <w:lang w:val="en-MX"/>
          <w14:ligatures w14:val="none"/>
        </w:rPr>
        <w:t xml:space="preserve"> AMSTAR 2 confidence was high in 4 reviews, moderate in 14, low in 30, and critically low in 2. AMSTAR 2 ratings affected evidence-category assignment, not eligibility. High- or moderate-confidence reviews could support primary interpretation when direct and nonredundant, whereas low- or critically low-confidence reviews contributed only contextual </w:t>
      </w:r>
      <w:r w:rsidR="00E71ADE" w:rsidRPr="00767883">
        <w:rPr>
          <w:rFonts w:ascii="Times New Roman" w:hAnsi="Times New Roman" w:cs="Times New Roman"/>
          <w:color w:val="000000"/>
          <w:sz w:val="21"/>
          <w:szCs w:val="21"/>
        </w:rPr>
        <w:t>information.</w:t>
      </w:r>
      <w:r w:rsidRPr="00767883">
        <w:rPr>
          <w:rFonts w:ascii="Times New Roman" w:eastAsia="Times New Roman" w:hAnsi="Times New Roman" w:cs="Times New Roman"/>
          <w:color w:val="000000"/>
          <w:kern w:val="0"/>
          <w:sz w:val="21"/>
          <w:szCs w:val="21"/>
          <w:lang w:val="en-MX"/>
          <w14:ligatures w14:val="none"/>
        </w:rPr>
        <w:t xml:space="preserve"> </w:t>
      </w:r>
      <w:r w:rsidRPr="00767883">
        <w:rPr>
          <w:rFonts w:ascii="Times New Roman" w:hAnsi="Times New Roman" w:cs="Times New Roman"/>
          <w:color w:val="000000"/>
          <w:sz w:val="21"/>
          <w:szCs w:val="21"/>
        </w:rPr>
        <w:t xml:space="preserve">Source Study IDs were aligned against </w:t>
      </w:r>
      <w:r w:rsidRPr="00767883">
        <w:rPr>
          <w:rFonts w:ascii="Times New Roman" w:hAnsi="Times New Roman" w:cs="Times New Roman"/>
          <w:i/>
          <w:iCs/>
          <w:color w:val="000000"/>
          <w:sz w:val="21"/>
          <w:szCs w:val="21"/>
        </w:rPr>
        <w:t>Supplementary_Data_File_2_Review_Extraction.xlsx</w:t>
      </w:r>
      <w:r w:rsidRPr="00767883">
        <w:rPr>
          <w:rFonts w:ascii="Times New Roman" w:hAnsi="Times New Roman" w:cs="Times New Roman"/>
          <w:color w:val="000000"/>
          <w:sz w:val="21"/>
          <w:szCs w:val="21"/>
        </w:rPr>
        <w:t xml:space="preserve">. </w:t>
      </w:r>
      <w:r w:rsidRPr="00767883">
        <w:rPr>
          <w:rFonts w:ascii="Times New Roman" w:eastAsia="Times New Roman" w:hAnsi="Times New Roman" w:cs="Times New Roman"/>
          <w:color w:val="000000"/>
          <w:kern w:val="0"/>
          <w:sz w:val="21"/>
          <w:szCs w:val="21"/>
          <w:lang w:val="en-MX"/>
          <w14:ligatures w14:val="none"/>
        </w:rPr>
        <w:t xml:space="preserve">Item-level AMSTAR 2 ratings, reviewer agreement/disagreement flags, and conflict-resolution notes are provided in </w:t>
      </w:r>
      <w:r w:rsidRPr="00767883">
        <w:rPr>
          <w:rFonts w:ascii="Times New Roman" w:hAnsi="Times New Roman" w:cs="Times New Roman"/>
          <w:i/>
          <w:iCs/>
          <w:color w:val="000000"/>
          <w:sz w:val="21"/>
          <w:szCs w:val="21"/>
        </w:rPr>
        <w:t>Supplementary_Data_File_3_AMSTAR2_Item_Level_Ratings.xlsx</w:t>
      </w:r>
      <w:r w:rsidRPr="00767883">
        <w:rPr>
          <w:rFonts w:ascii="Times New Roman" w:hAnsi="Times New Roman" w:cs="Times New Roman"/>
          <w:color w:val="000000"/>
          <w:sz w:val="21"/>
          <w:szCs w:val="21"/>
        </w:rPr>
        <w:t xml:space="preserve"> and </w:t>
      </w:r>
      <w:r w:rsidRPr="00767883">
        <w:rPr>
          <w:rFonts w:ascii="Times New Roman" w:hAnsi="Times New Roman" w:cs="Times New Roman"/>
          <w:i/>
          <w:iCs/>
          <w:color w:val="000000"/>
          <w:sz w:val="21"/>
          <w:szCs w:val="21"/>
        </w:rPr>
        <w:t>Supplementary_Data_File_4_Reviewer_Agreement_Conflict_Resolution.xlsx</w:t>
      </w:r>
      <w:r w:rsidRPr="00767883">
        <w:rPr>
          <w:rFonts w:ascii="Times New Roman" w:eastAsia="Times New Roman" w:hAnsi="Times New Roman" w:cs="Times New Roman"/>
          <w:color w:val="000000"/>
          <w:kern w:val="0"/>
          <w:sz w:val="21"/>
          <w:szCs w:val="21"/>
          <w:lang w:val="en-MX"/>
          <w14:ligatures w14:val="none"/>
        </w:rPr>
        <w:t>.</w:t>
      </w:r>
    </w:p>
    <w:p w14:paraId="1183A3E1" w14:textId="77777777" w:rsidR="007C619F" w:rsidRDefault="007C619F">
      <w:pPr>
        <w:rPr>
          <w:kern w:val="0"/>
          <w14:ligatures w14:val="none"/>
        </w:rPr>
      </w:pPr>
      <w:r>
        <w:rPr>
          <w:rFonts w:ascii="Times New Roman" w:hAnsi="Times New Roman"/>
          <w:b/>
          <w:bCs/>
          <w:color w:val="000000"/>
          <w:sz w:val="36"/>
          <w:szCs w:val="36"/>
        </w:rPr>
        <w:t>Table S6A. Consequences of AMSTAR 2 confidence for evidence-category assignment</w:t>
      </w:r>
    </w:p>
    <w:tbl>
      <w:tblPr>
        <w:tblStyle w:val="TableGrid"/>
        <w:tblW w:w="5000" w:type="pct"/>
        <w:tblLook w:val="04A0" w:firstRow="1" w:lastRow="0" w:firstColumn="1" w:lastColumn="0" w:noHBand="0" w:noVBand="1"/>
      </w:tblPr>
      <w:tblGrid>
        <w:gridCol w:w="1216"/>
        <w:gridCol w:w="2496"/>
        <w:gridCol w:w="2447"/>
        <w:gridCol w:w="2828"/>
      </w:tblGrid>
      <w:tr w:rsidR="007C619F" w14:paraId="3D738827"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9CFFAED" w14:textId="77777777" w:rsidR="007C619F" w:rsidRDefault="007C619F">
            <w:pPr>
              <w:jc w:val="center"/>
              <w:rPr>
                <w:kern w:val="0"/>
                <w14:ligatures w14:val="none"/>
              </w:rPr>
            </w:pPr>
            <w:r>
              <w:rPr>
                <w:rFonts w:ascii="Times New Roman" w:hAnsi="Times New Roman"/>
                <w:b/>
                <w:bCs/>
                <w:color w:val="000000"/>
              </w:rPr>
              <w:t>AMSTAR 2 confidence</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ADA230C" w14:textId="77777777" w:rsidR="007C619F" w:rsidRDefault="007C619F">
            <w:pPr>
              <w:jc w:val="center"/>
            </w:pPr>
            <w:r>
              <w:rPr>
                <w:rFonts w:ascii="Times New Roman" w:hAnsi="Times New Roman"/>
                <w:b/>
                <w:bCs/>
                <w:color w:val="000000"/>
              </w:rPr>
              <w:t>Could do</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D7F721B" w14:textId="77777777" w:rsidR="007C619F" w:rsidRDefault="007C619F">
            <w:pPr>
              <w:jc w:val="center"/>
            </w:pPr>
            <w:r>
              <w:rPr>
                <w:rFonts w:ascii="Times New Roman" w:hAnsi="Times New Roman"/>
                <w:b/>
                <w:bCs/>
                <w:color w:val="000000"/>
              </w:rPr>
              <w:t>Could not do</w:t>
            </w:r>
          </w:p>
        </w:tc>
        <w:tc>
          <w:tcPr>
            <w:tcW w:w="0" w:type="auto"/>
            <w:tcBorders>
              <w:top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D493B45" w14:textId="77777777" w:rsidR="007C619F" w:rsidRDefault="007C619F">
            <w:pPr>
              <w:jc w:val="center"/>
            </w:pPr>
            <w:r>
              <w:rPr>
                <w:rFonts w:ascii="Times New Roman" w:hAnsi="Times New Roman"/>
                <w:b/>
                <w:bCs/>
                <w:color w:val="000000"/>
              </w:rPr>
              <w:t>Effect on category assignment</w:t>
            </w:r>
          </w:p>
        </w:tc>
      </w:tr>
      <w:tr w:rsidR="007C619F" w14:paraId="1BE48599" w14:textId="77777777">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143B21F4" w14:textId="77777777" w:rsidR="007C619F" w:rsidRDefault="007C619F">
            <w:r>
              <w:rPr>
                <w:rFonts w:ascii="Times New Roman" w:hAnsi="Times New Roman"/>
              </w:rPr>
              <w:t>High</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3B9242B1" w14:textId="77777777" w:rsidR="007C619F" w:rsidRDefault="007C619F">
            <w:r>
              <w:rPr>
                <w:rFonts w:ascii="Times New Roman" w:hAnsi="Times New Roman"/>
              </w:rPr>
              <w:t xml:space="preserve">Serve as a primary interpretive anchor when </w:t>
            </w:r>
            <w:r>
              <w:rPr>
                <w:rFonts w:ascii="Times New Roman" w:hAnsi="Times New Roman"/>
              </w:rPr>
              <w:lastRenderedPageBreak/>
              <w:t>clinically direct, current, and nonredundant.</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75154ADA" w14:textId="77777777" w:rsidR="007C619F" w:rsidRDefault="007C619F">
            <w:r>
              <w:rPr>
                <w:rFonts w:ascii="Times New Roman" w:hAnsi="Times New Roman"/>
              </w:rPr>
              <w:lastRenderedPageBreak/>
              <w:t xml:space="preserve">Override major concerns about indirectness, </w:t>
            </w:r>
            <w:r>
              <w:rPr>
                <w:rFonts w:ascii="Times New Roman" w:hAnsi="Times New Roman"/>
              </w:rPr>
              <w:lastRenderedPageBreak/>
              <w:t>inconsistency, overlap, or poor clinical applicability.</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4CE58322" w14:textId="540DC23E" w:rsidR="007C619F" w:rsidRPr="007C619F" w:rsidRDefault="007C619F" w:rsidP="007C619F">
            <w:pPr>
              <w:rPr>
                <w:kern w:val="0"/>
                <w14:ligatures w14:val="none"/>
              </w:rPr>
            </w:pPr>
            <w:r>
              <w:rPr>
                <w:rFonts w:ascii="Times New Roman" w:hAnsi="Times New Roman"/>
              </w:rPr>
              <w:lastRenderedPageBreak/>
              <w:t xml:space="preserve">Could support Primary review-level evidence anchor or Conditional evidence </w:t>
            </w:r>
            <w:r>
              <w:rPr>
                <w:rFonts w:ascii="Times New Roman" w:hAnsi="Times New Roman"/>
              </w:rPr>
              <w:lastRenderedPageBreak/>
              <w:t>categories depending on directness, consistency, and overlap.</w:t>
            </w:r>
          </w:p>
        </w:tc>
      </w:tr>
      <w:tr w:rsidR="007C619F" w14:paraId="21D067DC" w14:textId="77777777">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28E5F4AF" w14:textId="77777777" w:rsidR="007C619F" w:rsidRDefault="007C619F">
            <w:r>
              <w:rPr>
                <w:rFonts w:ascii="Times New Roman" w:hAnsi="Times New Roman"/>
              </w:rPr>
              <w:lastRenderedPageBreak/>
              <w:t>Moderate</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18E89699" w14:textId="77777777" w:rsidR="007C619F" w:rsidRDefault="007C619F">
            <w:r>
              <w:rPr>
                <w:rFonts w:ascii="Times New Roman" w:hAnsi="Times New Roman"/>
              </w:rPr>
              <w:t>Serve as a primary or supporting interpretive source when direct, coherent, recent, and nonredundant.</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2DE627D3" w14:textId="6D264131" w:rsidR="007C619F" w:rsidRPr="007C619F" w:rsidRDefault="007C619F" w:rsidP="007C619F">
            <w:pPr>
              <w:rPr>
                <w:kern w:val="0"/>
                <w14:ligatures w14:val="none"/>
              </w:rPr>
            </w:pPr>
            <w:r>
              <w:rPr>
                <w:rFonts w:ascii="Times New Roman" w:hAnsi="Times New Roman"/>
              </w:rPr>
              <w:t>Alone justify Primary review-level evidence anchor if direction, directness, consistency, or overlap were uncertain.</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7192A4FD" w14:textId="6E6D4D97" w:rsidR="007C619F" w:rsidRPr="007C619F" w:rsidRDefault="007C619F" w:rsidP="007C619F">
            <w:pPr>
              <w:rPr>
                <w:kern w:val="0"/>
                <w14:ligatures w14:val="none"/>
              </w:rPr>
            </w:pPr>
            <w:r>
              <w:rPr>
                <w:rFonts w:ascii="Times New Roman" w:hAnsi="Times New Roman"/>
              </w:rPr>
              <w:t>Could support Primary review-level evidence anchor only with convergent higher-confidence or highly consistent evidence; otherwise supported Conditional, Hypothesis-generating, or Supplementary categories.</w:t>
            </w:r>
          </w:p>
        </w:tc>
      </w:tr>
      <w:tr w:rsidR="007C619F" w14:paraId="6B521160" w14:textId="77777777">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532D36C4" w14:textId="77777777" w:rsidR="007C619F" w:rsidRDefault="007C619F">
            <w:r>
              <w:rPr>
                <w:rFonts w:ascii="Times New Roman" w:hAnsi="Times New Roman"/>
              </w:rPr>
              <w:t>Low</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089AE0DD" w14:textId="77777777" w:rsidR="007C619F" w:rsidRDefault="007C619F">
            <w:r>
              <w:rPr>
                <w:rFonts w:ascii="Times New Roman" w:hAnsi="Times New Roman"/>
              </w:rPr>
              <w:t>Provide context when adding unique subgroup, safety, durability, real-world, treatment-burden, implementation, or hypothesis-generating information.</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38B121BA" w14:textId="3122442D" w:rsidR="007C619F" w:rsidRPr="007C619F" w:rsidRDefault="007C619F" w:rsidP="007C619F">
            <w:pPr>
              <w:rPr>
                <w:kern w:val="0"/>
                <w14:ligatures w14:val="none"/>
              </w:rPr>
            </w:pPr>
            <w:r>
              <w:rPr>
                <w:rFonts w:ascii="Times New Roman" w:hAnsi="Times New Roman"/>
              </w:rPr>
              <w:t>Serve as a primary interpretive anchor, upgrade an evidence category, or convert contextual evidence into Primary review-level evidence anchor or Conditional evidence.</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7E67B32F" w14:textId="77777777" w:rsidR="007C619F" w:rsidRDefault="007C619F">
            <w:r>
              <w:rPr>
                <w:rFonts w:ascii="Times New Roman" w:hAnsi="Times New Roman"/>
              </w:rPr>
              <w:t>Could only support context within Conditional, Hypothesis-generating, or Supplementary categories when higher-confidence or clinically direct evidence already justified the category.</w:t>
            </w:r>
          </w:p>
        </w:tc>
      </w:tr>
      <w:tr w:rsidR="007C619F" w14:paraId="1627096F" w14:textId="77777777">
        <w:tc>
          <w:tcPr>
            <w:tcW w:w="0" w:type="auto"/>
            <w:tcBorders>
              <w:top w:val="nil"/>
              <w:left w:val="single" w:sz="6" w:space="0" w:color="A6A6A6"/>
              <w:bottom w:val="single" w:sz="6" w:space="0" w:color="A6A6A6"/>
              <w:right w:val="single" w:sz="6" w:space="0" w:color="A6A6A6"/>
            </w:tcBorders>
            <w:tcMar>
              <w:top w:w="60" w:type="dxa"/>
              <w:left w:w="60" w:type="dxa"/>
              <w:bottom w:w="60" w:type="dxa"/>
              <w:right w:w="60" w:type="dxa"/>
            </w:tcMar>
            <w:hideMark/>
          </w:tcPr>
          <w:p w14:paraId="46718117" w14:textId="77777777" w:rsidR="007C619F" w:rsidRDefault="007C619F">
            <w:r>
              <w:rPr>
                <w:rFonts w:ascii="Times New Roman" w:hAnsi="Times New Roman"/>
              </w:rPr>
              <w:t>Critically low</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0B723AE2" w14:textId="77777777" w:rsidR="007C619F" w:rsidRDefault="007C619F">
            <w:r>
              <w:rPr>
                <w:rFonts w:ascii="Times New Roman" w:hAnsi="Times New Roman"/>
              </w:rPr>
              <w:t>Provide contextual safety, emerging-agent, or background information only when uniquely informative and explicitly labelled as contextual.</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38499651" w14:textId="77777777" w:rsidR="007C619F" w:rsidRDefault="007C619F">
            <w:r>
              <w:rPr>
                <w:rFonts w:ascii="Times New Roman" w:hAnsi="Times New Roman"/>
              </w:rPr>
              <w:t>Contribute to evidence-category assignment, serve as a primary or supporting interpretive anchor, upgrade or downgrade categories, or determine synthesis conclusions.</w:t>
            </w:r>
          </w:p>
        </w:tc>
        <w:tc>
          <w:tcPr>
            <w:tcW w:w="0" w:type="auto"/>
            <w:tcBorders>
              <w:top w:val="nil"/>
              <w:left w:val="nil"/>
              <w:bottom w:val="single" w:sz="6" w:space="0" w:color="A6A6A6"/>
              <w:right w:val="single" w:sz="6" w:space="0" w:color="A6A6A6"/>
            </w:tcBorders>
            <w:tcMar>
              <w:top w:w="60" w:type="dxa"/>
              <w:left w:w="60" w:type="dxa"/>
              <w:bottom w:w="60" w:type="dxa"/>
              <w:right w:w="60" w:type="dxa"/>
            </w:tcMar>
            <w:hideMark/>
          </w:tcPr>
          <w:p w14:paraId="7A186D53" w14:textId="77777777" w:rsidR="007C619F" w:rsidRDefault="007C619F">
            <w:r>
              <w:rPr>
                <w:rFonts w:ascii="Times New Roman" w:hAnsi="Times New Roman"/>
              </w:rPr>
              <w:t>Excluded from category assignment and retained only as labelled context.</w:t>
            </w:r>
          </w:p>
        </w:tc>
      </w:tr>
    </w:tbl>
    <w:p w14:paraId="430412DE" w14:textId="77777777" w:rsidR="007C619F" w:rsidRDefault="007C619F">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Low- and critically low-confidence reviews were not allowed to upgrade evidence categories or serve as primary interpretive anchors. Low-confidence reviews were used only when they added nonredundant contextual information to a category supported by higher-confidence or more clinically direct evidence. Critically low-confidence reviews were excluded from evidence-category assignment and retained only as explicitly labelled context.</w:t>
      </w:r>
    </w:p>
    <w:p w14:paraId="4E9C2823" w14:textId="65F5B6C1"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57BC94A4"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S7. Source mapping for main conclusions</w:t>
      </w:r>
    </w:p>
    <w:tbl>
      <w:tblPr>
        <w:tblStyle w:val="TableGrid"/>
        <w:tblW w:w="5000" w:type="pct"/>
        <w:tblLook w:val="04A0" w:firstRow="1" w:lastRow="0" w:firstColumn="1" w:lastColumn="0" w:noHBand="0" w:noVBand="1"/>
      </w:tblPr>
      <w:tblGrid>
        <w:gridCol w:w="1791"/>
        <w:gridCol w:w="1869"/>
        <w:gridCol w:w="1811"/>
        <w:gridCol w:w="1924"/>
        <w:gridCol w:w="1592"/>
      </w:tblGrid>
      <w:tr w:rsidR="00CF0A7B" w:rsidRPr="00767883" w14:paraId="3AB34D71"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009D3FC9" w14:textId="77777777" w:rsidR="00CF0A7B" w:rsidRPr="00767883" w:rsidRDefault="00CF0A7B">
            <w:pPr>
              <w:jc w:val="center"/>
              <w:rPr>
                <w:rFonts w:ascii="Times New Roman" w:hAnsi="Times New Roman" w:cs="Times New Roman"/>
                <w:kern w:val="0"/>
                <w14:ligatures w14:val="none"/>
              </w:rPr>
            </w:pPr>
            <w:r w:rsidRPr="00767883">
              <w:rPr>
                <w:rFonts w:ascii="Times New Roman" w:hAnsi="Times New Roman" w:cs="Times New Roman"/>
                <w:b/>
                <w:bCs/>
              </w:rPr>
              <w:t>Main conclusion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2BA4B067"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Primary interpretive evidence</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6810239A"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Supporting context</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4E32BB86"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Source Study IDs</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0B50ED7B"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Evidence category / synthesis role</w:t>
            </w:r>
          </w:p>
        </w:tc>
      </w:tr>
      <w:tr w:rsidR="00CF0A7B" w:rsidRPr="00767883" w14:paraId="3F7944F0"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BAEC604"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Anti-VEGF therapy for CI-DME with visual impairment is the main review-level conclusion.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AEF3263"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Higher-confidence Cochrane and NMA evidence comparing anti-VEGF therapy with laser, sham, observation, or </w:t>
            </w:r>
            <w:r w:rsidRPr="00767883">
              <w:rPr>
                <w:rFonts w:ascii="Times New Roman" w:hAnsi="Times New Roman" w:cs="Times New Roman"/>
              </w:rPr>
              <w:lastRenderedPageBreak/>
              <w:t>alternative anti-VEGF agents.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56CDCE0"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 xml:space="preserve">Agent-specific, real-world, treat-and-extend, and durability reviews were used contextually. Confidence was strengthened by </w:t>
            </w:r>
            <w:r w:rsidRPr="00767883">
              <w:rPr>
                <w:rFonts w:ascii="Times New Roman" w:hAnsi="Times New Roman" w:cs="Times New Roman"/>
              </w:rPr>
              <w:lastRenderedPageBreak/>
              <w:t>consistency and directness but limited by overlap and dosing variability.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C626034"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 xml:space="preserve">Virgili 2023; Wang 2022; Sydnor 2023; Justino 2024; Li et al. 2023; </w:t>
            </w:r>
            <w:proofErr w:type="spellStart"/>
            <w:r w:rsidRPr="00767883">
              <w:rPr>
                <w:rFonts w:ascii="Times New Roman" w:hAnsi="Times New Roman" w:cs="Times New Roman"/>
              </w:rPr>
              <w:t>Santhakumaran</w:t>
            </w:r>
            <w:proofErr w:type="spellEnd"/>
            <w:r w:rsidRPr="00767883">
              <w:rPr>
                <w:rFonts w:ascii="Times New Roman" w:hAnsi="Times New Roman" w:cs="Times New Roman"/>
              </w:rPr>
              <w:t xml:space="preserve"> et al. 2022; Chen J 2023; Chen L 2025; Friedman 2025; </w:t>
            </w:r>
            <w:r w:rsidRPr="00767883">
              <w:rPr>
                <w:rFonts w:ascii="Times New Roman" w:hAnsi="Times New Roman" w:cs="Times New Roman"/>
              </w:rPr>
              <w:lastRenderedPageBreak/>
              <w:t>Falcão 2020; Krishnan 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5119B21" w14:textId="5FA61EBC" w:rsidR="00CF0A7B" w:rsidRPr="007C619F" w:rsidRDefault="007C619F" w:rsidP="007C619F">
            <w:pPr>
              <w:rPr>
                <w:rFonts w:ascii="Times New Roman" w:hAnsi="Times New Roman" w:cs="Times New Roman"/>
                <w:kern w:val="0"/>
                <w:lang w:val="en-MX"/>
                <w14:ligatures w14:val="none"/>
              </w:rPr>
            </w:pPr>
            <w:r>
              <w:rPr>
                <w:rFonts w:ascii="Times New Roman" w:hAnsi="Times New Roman"/>
              </w:rPr>
              <w:lastRenderedPageBreak/>
              <w:t>Primary review-level evidence anchor.</w:t>
            </w:r>
          </w:p>
        </w:tc>
      </w:tr>
      <w:tr w:rsidR="00CF0A7B" w:rsidRPr="00767883" w14:paraId="208B00A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A56801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Agent-selection context within anti-VEGF therapy is most relevant for poorer baseline vision or high anatomical burden.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37C77C0"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Protocol T context and agent-specific review evidence addressing selected high-burden CI-DME eyes.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90ADD9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Table S8 reports the poorer-baseline-vision aflibercept estimate; Table S9 classifies poorer baseline vision or high anatomical burden as agent-selection context; Table S11 notes that agent-specific reviews were used contextually within the anti-VEGF domain.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0E39F5A"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Virgili 2023; Wang 2022; Protocol T evidence as represented in Virgili 2023, Wang 2022, </w:t>
            </w:r>
            <w:proofErr w:type="spellStart"/>
            <w:r w:rsidRPr="00767883">
              <w:rPr>
                <w:rFonts w:ascii="Times New Roman" w:hAnsi="Times New Roman" w:cs="Times New Roman"/>
              </w:rPr>
              <w:t>Santhakumaran</w:t>
            </w:r>
            <w:proofErr w:type="spellEnd"/>
            <w:r w:rsidRPr="00767883">
              <w:rPr>
                <w:rFonts w:ascii="Times New Roman" w:hAnsi="Times New Roman" w:cs="Times New Roman"/>
              </w:rPr>
              <w:t xml:space="preserve"> et al. 2022, </w:t>
            </w:r>
            <w:proofErr w:type="spellStart"/>
            <w:r w:rsidRPr="00767883">
              <w:rPr>
                <w:rFonts w:ascii="Times New Roman" w:hAnsi="Times New Roman" w:cs="Times New Roman"/>
              </w:rPr>
              <w:t>Sarohia</w:t>
            </w:r>
            <w:proofErr w:type="spellEnd"/>
            <w:r w:rsidRPr="00767883">
              <w:rPr>
                <w:rFonts w:ascii="Times New Roman" w:hAnsi="Times New Roman" w:cs="Times New Roman"/>
              </w:rPr>
              <w:t xml:space="preserve"> et al. 2022, Chen J 2023, Chen L 2025, Lim 2022, and Krishnan 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7653410" w14:textId="78A28703" w:rsidR="00CF0A7B" w:rsidRPr="00767883" w:rsidRDefault="00000000" w:rsidP="00496940">
            <w:pPr>
              <w:rPr>
                <w:rFonts w:ascii="Times New Roman" w:hAnsi="Times New Roman" w:cs="Times New Roman"/>
                <w:lang w:val="en-MX"/>
              </w:rPr>
            </w:pPr>
            <w:r w:rsidRPr="00767883">
              <w:rPr>
                <w:rFonts w:ascii="Times New Roman" w:hAnsi="Times New Roman" w:cs="Times New Roman"/>
              </w:rPr>
              <w:t>Supplementary evidence for individualized agent selection; not universal anti-VEGF superiority.</w:t>
            </w:r>
          </w:p>
        </w:tc>
      </w:tr>
      <w:tr w:rsidR="00CF0A7B" w:rsidRPr="00767883" w14:paraId="7949AB6B"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FA52BBD"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Corticosteroids and implants in selected DME contexts may inform benefit-risk decisions.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E8BAB0E"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Cochrane steroid evidence and implant-specific reviews addressing dexamethasone, fluocinolone, triamcinolone, suprachoroidal steroid, durability, and ocular safety.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F2E172B"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Table S5 summarizes anatomical and durability benefits with less uniform visual benefit; Table S10 documents steroid-related IOP and cataract trade-offs; Table S11 identifies very high overlap and repeated implant cohorts.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63BB9B8" w14:textId="77777777" w:rsidR="00CF0A7B" w:rsidRPr="00767883" w:rsidRDefault="00CF0A7B">
            <w:pPr>
              <w:spacing w:after="160"/>
              <w:rPr>
                <w:rFonts w:ascii="Times New Roman" w:hAnsi="Times New Roman" w:cs="Times New Roman"/>
                <w:lang w:val="es-ES"/>
              </w:rPr>
            </w:pPr>
            <w:proofErr w:type="spellStart"/>
            <w:r w:rsidRPr="00767883">
              <w:rPr>
                <w:rFonts w:ascii="Times New Roman" w:hAnsi="Times New Roman" w:cs="Times New Roman"/>
                <w:lang w:val="es-ES"/>
              </w:rPr>
              <w:t>Rittiphairoj</w:t>
            </w:r>
            <w:proofErr w:type="spellEnd"/>
            <w:r w:rsidRPr="00767883">
              <w:rPr>
                <w:rFonts w:ascii="Times New Roman" w:hAnsi="Times New Roman" w:cs="Times New Roman"/>
                <w:lang w:val="es-ES"/>
              </w:rPr>
              <w:t xml:space="preserve"> 2020; </w:t>
            </w:r>
            <w:proofErr w:type="spellStart"/>
            <w:r w:rsidRPr="00767883">
              <w:rPr>
                <w:rFonts w:ascii="Times New Roman" w:hAnsi="Times New Roman" w:cs="Times New Roman"/>
                <w:lang w:val="es-ES"/>
              </w:rPr>
              <w:t>Xu</w:t>
            </w:r>
            <w:proofErr w:type="spellEnd"/>
            <w:r w:rsidRPr="00767883">
              <w:rPr>
                <w:rFonts w:ascii="Times New Roman" w:hAnsi="Times New Roman" w:cs="Times New Roman"/>
                <w:lang w:val="es-ES"/>
              </w:rPr>
              <w:t xml:space="preserve"> et al. 2024; Ma et al. 2024; Chi 2023; Fallico 2021; </w:t>
            </w:r>
            <w:proofErr w:type="spellStart"/>
            <w:r w:rsidRPr="00767883">
              <w:rPr>
                <w:rFonts w:ascii="Times New Roman" w:hAnsi="Times New Roman" w:cs="Times New Roman"/>
                <w:lang w:val="es-ES"/>
              </w:rPr>
              <w:t>Kodjikian</w:t>
            </w:r>
            <w:proofErr w:type="spellEnd"/>
            <w:r w:rsidRPr="00767883">
              <w:rPr>
                <w:rFonts w:ascii="Times New Roman" w:hAnsi="Times New Roman" w:cs="Times New Roman"/>
                <w:lang w:val="es-ES"/>
              </w:rPr>
              <w:t xml:space="preserve"> 2021; Bucolo 2018; Cao 2025; </w:t>
            </w:r>
            <w:proofErr w:type="spellStart"/>
            <w:r w:rsidRPr="00767883">
              <w:rPr>
                <w:rFonts w:ascii="Times New Roman" w:hAnsi="Times New Roman" w:cs="Times New Roman"/>
                <w:lang w:val="es-ES"/>
              </w:rPr>
              <w:t>Hu</w:t>
            </w:r>
            <w:proofErr w:type="spellEnd"/>
            <w:r w:rsidRPr="00767883">
              <w:rPr>
                <w:rFonts w:ascii="Times New Roman" w:hAnsi="Times New Roman" w:cs="Times New Roman"/>
                <w:lang w:val="es-ES"/>
              </w:rPr>
              <w:t xml:space="preserve"> 2025; Karam 2025; Yuan 2022.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C508D4E" w14:textId="6E954F71" w:rsidR="00CF0A7B" w:rsidRPr="00767883" w:rsidRDefault="00000000" w:rsidP="003C5BB9">
            <w:pPr>
              <w:rPr>
                <w:rFonts w:ascii="Times New Roman" w:hAnsi="Times New Roman" w:cs="Times New Roman"/>
                <w:lang w:val="en-MX"/>
              </w:rPr>
            </w:pPr>
            <w:r w:rsidRPr="00767883">
              <w:rPr>
                <w:rFonts w:ascii="Times New Roman" w:hAnsi="Times New Roman" w:cs="Times New Roman"/>
              </w:rPr>
              <w:t>Conditional evidence.</w:t>
            </w:r>
          </w:p>
        </w:tc>
      </w:tr>
      <w:tr w:rsidR="00CF0A7B" w:rsidRPr="00767883" w14:paraId="52EB8E0C"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A42300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NPDR/PDR disease-control strategies are context-dependent and feasibility-sensitive.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838E4F0"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HTA, Cochrane, NMA, and adjunctive-treatment reviews addressing anti-VEGF for NPDR, anti-VEGF versus PRP for PDR, PRP combinations, perioperative anti-</w:t>
            </w:r>
            <w:r w:rsidRPr="00767883">
              <w:rPr>
                <w:rFonts w:ascii="Times New Roman" w:hAnsi="Times New Roman" w:cs="Times New Roman"/>
              </w:rPr>
              <w:lastRenderedPageBreak/>
              <w:t>VEGF, and fenofibrate.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9B3C313"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Tables S5, S8, S9, and S11 show disease-control effects in selected settings, smaller or context-dependent visual differences, and very high overlap.</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04F7B5B"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Simmonds 2025; Chaudhary 2023; Chen K-Y et al. 2025; Fu et al. 2023; Zhang 2021; Song 2025; Kataoka 2023; Thagaard 2022.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43C2887" w14:textId="44184DEE" w:rsidR="00CF0A7B" w:rsidRPr="00767883" w:rsidRDefault="00000000" w:rsidP="00C40F4F">
            <w:pPr>
              <w:rPr>
                <w:rFonts w:ascii="Times New Roman" w:hAnsi="Times New Roman" w:cs="Times New Roman"/>
                <w:lang w:val="en-MX"/>
              </w:rPr>
            </w:pPr>
            <w:r w:rsidRPr="00767883">
              <w:rPr>
                <w:rFonts w:ascii="Times New Roman" w:hAnsi="Times New Roman" w:cs="Times New Roman"/>
              </w:rPr>
              <w:t>Conditional evidence.</w:t>
            </w:r>
          </w:p>
        </w:tc>
      </w:tr>
      <w:tr w:rsidR="00CF0A7B" w:rsidRPr="00767883" w14:paraId="1BAA5BBC"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1B5356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Switching after incomplete anti-VEGF response is supported more consistently for anatomical improvement than durable visual gain.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FCDADF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Switching reviews evaluating aflibercept, faricimab, dexamethasone implant, fluocinolone implant, or other second-line approaches after incomplete response.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097D3DD"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Table S8 provides representative central-thickness reductions after switching to aflibercept; Box S2 defines persistent and refractory DME as clinical-context modifiers; Table S11 identifies high overlap and overlapping conversion cohorts.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BA7BE25" w14:textId="77777777" w:rsidR="00CF0A7B" w:rsidRPr="00767883" w:rsidRDefault="00CF0A7B">
            <w:pPr>
              <w:spacing w:after="160"/>
              <w:rPr>
                <w:rFonts w:ascii="Times New Roman" w:hAnsi="Times New Roman" w:cs="Times New Roman"/>
                <w:lang w:val="es-ES"/>
              </w:rPr>
            </w:pPr>
            <w:r w:rsidRPr="00767883">
              <w:rPr>
                <w:rFonts w:ascii="Times New Roman" w:hAnsi="Times New Roman" w:cs="Times New Roman"/>
                <w:lang w:val="es-ES"/>
              </w:rPr>
              <w:t xml:space="preserve">Liu 2020; Xiao 2020; </w:t>
            </w:r>
            <w:proofErr w:type="spellStart"/>
            <w:r w:rsidRPr="00767883">
              <w:rPr>
                <w:rFonts w:ascii="Times New Roman" w:hAnsi="Times New Roman" w:cs="Times New Roman"/>
                <w:lang w:val="es-ES"/>
              </w:rPr>
              <w:t>Madjedi</w:t>
            </w:r>
            <w:proofErr w:type="spellEnd"/>
            <w:r w:rsidRPr="00767883">
              <w:rPr>
                <w:rFonts w:ascii="Times New Roman" w:hAnsi="Times New Roman" w:cs="Times New Roman"/>
                <w:lang w:val="es-ES"/>
              </w:rPr>
              <w:t xml:space="preserve"> 2022; Tahmasebi 2025; Cao 2025; </w:t>
            </w:r>
            <w:proofErr w:type="spellStart"/>
            <w:r w:rsidRPr="00767883">
              <w:rPr>
                <w:rFonts w:ascii="Times New Roman" w:hAnsi="Times New Roman" w:cs="Times New Roman"/>
                <w:lang w:val="es-ES"/>
              </w:rPr>
              <w:t>Xu</w:t>
            </w:r>
            <w:proofErr w:type="spellEnd"/>
            <w:r w:rsidRPr="00767883">
              <w:rPr>
                <w:rFonts w:ascii="Times New Roman" w:hAnsi="Times New Roman" w:cs="Times New Roman"/>
                <w:lang w:val="es-ES"/>
              </w:rPr>
              <w:t xml:space="preserve"> et al. 2024; Nasimi 2024; </w:t>
            </w:r>
            <w:proofErr w:type="spellStart"/>
            <w:r w:rsidRPr="00767883">
              <w:rPr>
                <w:rFonts w:ascii="Times New Roman" w:hAnsi="Times New Roman" w:cs="Times New Roman"/>
                <w:lang w:val="es-ES"/>
              </w:rPr>
              <w:t>Hatamnejad</w:t>
            </w:r>
            <w:proofErr w:type="spellEnd"/>
            <w:r w:rsidRPr="00767883">
              <w:rPr>
                <w:rFonts w:ascii="Times New Roman" w:hAnsi="Times New Roman" w:cs="Times New Roman"/>
                <w:lang w:val="es-ES"/>
              </w:rPr>
              <w:t xml:space="preserve"> 2024.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D366AC2" w14:textId="40A69991" w:rsidR="00CF0A7B" w:rsidRPr="00767883" w:rsidRDefault="00000000" w:rsidP="00440177">
            <w:pPr>
              <w:rPr>
                <w:rFonts w:ascii="Times New Roman" w:hAnsi="Times New Roman" w:cs="Times New Roman"/>
                <w:lang w:val="en-MX"/>
              </w:rPr>
            </w:pPr>
            <w:r w:rsidRPr="00767883">
              <w:rPr>
                <w:rFonts w:ascii="Times New Roman" w:hAnsi="Times New Roman" w:cs="Times New Roman"/>
              </w:rPr>
              <w:t>Conditional evidence.</w:t>
            </w:r>
          </w:p>
        </w:tc>
      </w:tr>
      <w:tr w:rsidR="00CF0A7B" w:rsidRPr="00767883" w14:paraId="6AA731F1"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18E0B2B"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Combination therapy may provide anatomical benefit but does not show consistent visual superiority.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14F6296"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Reviews of anti-VEGF plus corticosteroid, laser, implant, PRP, or mixed combination strategies.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D85F8F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Tables S5, S10, and S11 identify heterogeneous interventions, inconsistent visual superiority, inconsistent safety reporting, added safety burden, and very high overlap.</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7AD324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Ma et al. 2024; Grad 2025; Yang 2025; Zhou 2025; </w:t>
            </w:r>
            <w:proofErr w:type="spellStart"/>
            <w:r w:rsidRPr="00767883">
              <w:rPr>
                <w:rFonts w:ascii="Times New Roman" w:hAnsi="Times New Roman" w:cs="Times New Roman"/>
              </w:rPr>
              <w:t>Hatamnejad</w:t>
            </w:r>
            <w:proofErr w:type="spellEnd"/>
            <w:r w:rsidRPr="00767883">
              <w:rPr>
                <w:rFonts w:ascii="Times New Roman" w:hAnsi="Times New Roman" w:cs="Times New Roman"/>
              </w:rPr>
              <w:t xml:space="preserve"> 2024; Chen J 2023; Chen L 2025; Fu et al. 2023.</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A6E0AF4" w14:textId="5C06613F" w:rsidR="00CF0A7B" w:rsidRPr="00767883" w:rsidRDefault="00000000" w:rsidP="00D929BA">
            <w:pPr>
              <w:rPr>
                <w:rFonts w:ascii="Times New Roman" w:hAnsi="Times New Roman" w:cs="Times New Roman"/>
                <w:lang w:val="en-MX"/>
              </w:rPr>
            </w:pPr>
            <w:r w:rsidRPr="00767883">
              <w:rPr>
                <w:rFonts w:ascii="Times New Roman" w:hAnsi="Times New Roman" w:cs="Times New Roman"/>
              </w:rPr>
              <w:t>Hypothesis-generating evidence.</w:t>
            </w:r>
          </w:p>
        </w:tc>
      </w:tr>
      <w:tr w:rsidR="00CF0A7B" w:rsidRPr="00767883" w14:paraId="6B622A48"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B33DBC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Real-world outcomes and treatment burden inform external validity and implementation.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F82D9A6"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Routine-practice outcomes, registry evidence, treat-and-extend regimens, injection frequency, monitoring intensity, and implementation reviews.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9E4A146"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Tables S5, S9, and S11 show smaller routine-practice visual gains, lower injection frequency, heterogeneous monitoring, and moderate overlap.</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30BF0E4" w14:textId="77777777" w:rsidR="00CF0A7B" w:rsidRPr="00767883" w:rsidRDefault="00CF0A7B">
            <w:pPr>
              <w:spacing w:after="160"/>
              <w:rPr>
                <w:rFonts w:ascii="Times New Roman" w:hAnsi="Times New Roman" w:cs="Times New Roman"/>
                <w:lang w:val="es-ES"/>
              </w:rPr>
            </w:pPr>
            <w:proofErr w:type="spellStart"/>
            <w:r w:rsidRPr="00767883">
              <w:rPr>
                <w:rFonts w:ascii="Times New Roman" w:hAnsi="Times New Roman" w:cs="Times New Roman"/>
                <w:lang w:val="es-ES"/>
              </w:rPr>
              <w:t>Santhakumaran</w:t>
            </w:r>
            <w:proofErr w:type="spellEnd"/>
            <w:r w:rsidRPr="00767883">
              <w:rPr>
                <w:rFonts w:ascii="Times New Roman" w:hAnsi="Times New Roman" w:cs="Times New Roman"/>
                <w:lang w:val="es-ES"/>
              </w:rPr>
              <w:t xml:space="preserve"> et al. 2022; Sarohia et al. 2022; Falcão 2020; Lim 2022; Mehta 2022; Bucolo 2018; Fallico 2021; </w:t>
            </w:r>
            <w:proofErr w:type="spellStart"/>
            <w:r w:rsidRPr="00767883">
              <w:rPr>
                <w:rFonts w:ascii="Times New Roman" w:hAnsi="Times New Roman" w:cs="Times New Roman"/>
                <w:lang w:val="es-ES"/>
              </w:rPr>
              <w:t>Kodjikian</w:t>
            </w:r>
            <w:proofErr w:type="spellEnd"/>
            <w:r w:rsidRPr="00767883">
              <w:rPr>
                <w:rFonts w:ascii="Times New Roman" w:hAnsi="Times New Roman" w:cs="Times New Roman"/>
                <w:lang w:val="es-ES"/>
              </w:rPr>
              <w:t xml:space="preserve"> 2021; Nasimi 2024; Friedman 2025.</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C253B55" w14:textId="1AD9D4D3" w:rsidR="00CF0A7B" w:rsidRPr="00767883" w:rsidRDefault="00000000" w:rsidP="00BE3887">
            <w:pPr>
              <w:rPr>
                <w:rFonts w:ascii="Times New Roman" w:hAnsi="Times New Roman" w:cs="Times New Roman"/>
                <w:lang w:val="en-MX"/>
              </w:rPr>
            </w:pPr>
            <w:r w:rsidRPr="00767883">
              <w:rPr>
                <w:rFonts w:ascii="Times New Roman" w:hAnsi="Times New Roman" w:cs="Times New Roman"/>
              </w:rPr>
              <w:t>Supplementary evidence.</w:t>
            </w:r>
          </w:p>
        </w:tc>
      </w:tr>
      <w:tr w:rsidR="00CF0A7B" w:rsidRPr="00767883" w14:paraId="54387CDD"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FFCF67B"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Systemic safety of intravitreal anti-VEGF therapy shows no clear overall systemic harm signal, but rare events and high-risk </w:t>
            </w:r>
            <w:r w:rsidRPr="00767883">
              <w:rPr>
                <w:rFonts w:ascii="Times New Roman" w:hAnsi="Times New Roman" w:cs="Times New Roman"/>
              </w:rPr>
              <w:lastRenderedPageBreak/>
              <w:t>subgroups remain uncertain.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6889CEF"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 xml:space="preserve">Systemic anti-VEGF safety reviews addressing arterial thromboembolic events, mortality, renal events, prolonged </w:t>
            </w:r>
            <w:r w:rsidRPr="00767883">
              <w:rPr>
                <w:rFonts w:ascii="Times New Roman" w:hAnsi="Times New Roman" w:cs="Times New Roman"/>
              </w:rPr>
              <w:lastRenderedPageBreak/>
              <w:t>exposure, and high-risk subgroup considerations.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1F944E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 xml:space="preserve">Box S3 and Table S10 separate systemic vascular, renal, prolonged-exposure, ocular, and treatment-specific safety issues; Table S11 </w:t>
            </w:r>
            <w:r w:rsidRPr="00767883">
              <w:rPr>
                <w:rFonts w:ascii="Times New Roman" w:hAnsi="Times New Roman" w:cs="Times New Roman"/>
              </w:rPr>
              <w:lastRenderedPageBreak/>
              <w:t>shows very high overlap across anti-VEGF safety pools.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2D5481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Avery &amp; Gordon 2015; Yanagida 2014; Tsao 2023; Virgili 2023; Krishnan 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B3B1243" w14:textId="2D7B1511" w:rsidR="00CF0A7B" w:rsidRPr="00767883" w:rsidRDefault="00000000" w:rsidP="00E55D38">
            <w:pPr>
              <w:rPr>
                <w:rFonts w:ascii="Times New Roman" w:hAnsi="Times New Roman" w:cs="Times New Roman"/>
                <w:lang w:val="en-MX"/>
              </w:rPr>
            </w:pPr>
            <w:r w:rsidRPr="00767883">
              <w:rPr>
                <w:rFonts w:ascii="Times New Roman" w:hAnsi="Times New Roman" w:cs="Times New Roman"/>
              </w:rPr>
              <w:t>Supplementary evidence.</w:t>
            </w:r>
          </w:p>
        </w:tc>
      </w:tr>
      <w:tr w:rsidR="00CF0A7B" w:rsidRPr="00767883" w14:paraId="290A8BEB"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61B131D"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Ocular and treatment-specific safety concerns are intervention-specific.</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7B8F76F"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Steroid and implant safety reviews, combination-therapy safety reviews, and agent-specific anti-VEGF safety reviews.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DF92421"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Box S3 identifies treatment-specific ocular safety concerns; Table S10 details IOP elevation, cataract progression, combination-therapy adverse-event burden, and agent-specific inflammatory signals.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9EBF8C7" w14:textId="77777777" w:rsidR="00CF0A7B" w:rsidRPr="00767883" w:rsidRDefault="00CF0A7B">
            <w:pPr>
              <w:spacing w:after="160"/>
              <w:rPr>
                <w:rFonts w:ascii="Times New Roman" w:hAnsi="Times New Roman" w:cs="Times New Roman"/>
              </w:rPr>
            </w:pPr>
            <w:proofErr w:type="spellStart"/>
            <w:r w:rsidRPr="00767883">
              <w:rPr>
                <w:rFonts w:ascii="Times New Roman" w:hAnsi="Times New Roman" w:cs="Times New Roman"/>
              </w:rPr>
              <w:t>Rittiphairoj</w:t>
            </w:r>
            <w:proofErr w:type="spellEnd"/>
            <w:r w:rsidRPr="00767883">
              <w:rPr>
                <w:rFonts w:ascii="Times New Roman" w:hAnsi="Times New Roman" w:cs="Times New Roman"/>
              </w:rPr>
              <w:t xml:space="preserve"> 2020; Xu et al. 2024; Ma et al. 2024; Chi 2023; Fallico 2021; </w:t>
            </w:r>
            <w:proofErr w:type="spellStart"/>
            <w:r w:rsidRPr="00767883">
              <w:rPr>
                <w:rFonts w:ascii="Times New Roman" w:hAnsi="Times New Roman" w:cs="Times New Roman"/>
              </w:rPr>
              <w:t>Kodjikian</w:t>
            </w:r>
            <w:proofErr w:type="spellEnd"/>
            <w:r w:rsidRPr="00767883">
              <w:rPr>
                <w:rFonts w:ascii="Times New Roman" w:hAnsi="Times New Roman" w:cs="Times New Roman"/>
              </w:rPr>
              <w:t xml:space="preserve"> 2021; Bucolo 2018; Cao 2025; Hu 2025; Karam 2025; Yuan 2022; Grad 2025; Yang 2025; Zhou 2025; </w:t>
            </w:r>
            <w:proofErr w:type="spellStart"/>
            <w:r w:rsidRPr="00767883">
              <w:rPr>
                <w:rFonts w:ascii="Times New Roman" w:hAnsi="Times New Roman" w:cs="Times New Roman"/>
              </w:rPr>
              <w:t>Hatamnejad</w:t>
            </w:r>
            <w:proofErr w:type="spellEnd"/>
            <w:r w:rsidRPr="00767883">
              <w:rPr>
                <w:rFonts w:ascii="Times New Roman" w:hAnsi="Times New Roman" w:cs="Times New Roman"/>
              </w:rPr>
              <w:t xml:space="preserve"> 2024; Alali et al. 2025; Justino 2024; Krishnan 2026; </w:t>
            </w:r>
            <w:proofErr w:type="spellStart"/>
            <w:r w:rsidRPr="00767883">
              <w:rPr>
                <w:rFonts w:ascii="Times New Roman" w:hAnsi="Times New Roman" w:cs="Times New Roman"/>
              </w:rPr>
              <w:t>Nichani</w:t>
            </w:r>
            <w:proofErr w:type="spellEnd"/>
            <w:r w:rsidRPr="00767883">
              <w:rPr>
                <w:rFonts w:ascii="Times New Roman" w:hAnsi="Times New Roman" w:cs="Times New Roman"/>
              </w:rPr>
              <w:t xml:space="preserve"> 2024.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CB3CE9F" w14:textId="28E24A02" w:rsidR="00CF0A7B" w:rsidRPr="00767883" w:rsidRDefault="00000000" w:rsidP="00E0702B">
            <w:pPr>
              <w:rPr>
                <w:rFonts w:ascii="Times New Roman" w:hAnsi="Times New Roman" w:cs="Times New Roman"/>
                <w:lang w:val="en-MX"/>
              </w:rPr>
            </w:pPr>
            <w:r w:rsidRPr="00767883">
              <w:rPr>
                <w:rFonts w:ascii="Times New Roman" w:hAnsi="Times New Roman" w:cs="Times New Roman"/>
              </w:rPr>
              <w:t>Supplementary evidence.</w:t>
            </w:r>
          </w:p>
        </w:tc>
      </w:tr>
    </w:tbl>
    <w:p w14:paraId="74390669" w14:textId="77777777" w:rsidR="00F64F84" w:rsidRDefault="00F64F84">
      <w:pPr>
        <w:spacing w:line="300" w:lineRule="atLeast"/>
        <w:rPr>
          <w:kern w:val="0"/>
          <w14:ligatures w14:val="none"/>
        </w:rPr>
      </w:pPr>
      <w:r>
        <w:rPr>
          <w:rFonts w:ascii="Times New Roman" w:hAnsi="Times New Roman"/>
          <w:b/>
          <w:bCs/>
          <w:color w:val="000000"/>
          <w:sz w:val="21"/>
          <w:szCs w:val="21"/>
        </w:rPr>
        <w:t>PDS contextual material note and source-ID note:</w:t>
      </w:r>
      <w:r>
        <w:rPr>
          <w:rFonts w:ascii="Times New Roman" w:hAnsi="Times New Roman"/>
          <w:color w:val="000000"/>
          <w:sz w:val="21"/>
          <w:szCs w:val="21"/>
        </w:rPr>
        <w:t xml:space="preserve"> PDS contextual material, including ClinicalTrials.gov trial-registry records, was retained only as contextual sustained-delivery background because no mature eligible DME/DR review-level synthesis was available at the final search date. PDS was not assigned an umbrella-review evidence category. PDS contextual material did not contribute to AMSTAR 2 ratings, CCA/wCCA calculations, evidence-category assignment, or the 50-review hierarchy. Source Study IDs in Table S7 were aligned against the review-level extraction list in </w:t>
      </w:r>
      <w:r>
        <w:rPr>
          <w:rFonts w:ascii="Times New Roman" w:hAnsi="Times New Roman"/>
          <w:i/>
          <w:iCs/>
          <w:color w:val="000000"/>
          <w:sz w:val="21"/>
          <w:szCs w:val="21"/>
        </w:rPr>
        <w:t>Supplementary_Data_File_2_Review_Extraction.xlsx</w:t>
      </w:r>
      <w:r>
        <w:rPr>
          <w:rFonts w:ascii="Times New Roman" w:hAnsi="Times New Roman"/>
          <w:color w:val="000000"/>
          <w:sz w:val="21"/>
          <w:szCs w:val="21"/>
        </w:rPr>
        <w:t>.</w:t>
      </w:r>
    </w:p>
    <w:p w14:paraId="392AA485" w14:textId="77777777" w:rsidR="00767883" w:rsidRPr="00767883" w:rsidRDefault="00767883">
      <w:pPr>
        <w:rPr>
          <w:rFonts w:ascii="Times New Roman" w:hAnsi="Times New Roman" w:cs="Times New Roman"/>
          <w:kern w:val="0"/>
          <w14:ligatures w14:val="none"/>
        </w:rPr>
      </w:pPr>
      <w:r w:rsidRPr="00767883">
        <w:rPr>
          <w:rFonts w:ascii="Times New Roman" w:hAnsi="Times New Roman" w:cs="Times New Roman"/>
          <w:b/>
          <w:bCs/>
          <w:color w:val="000000"/>
          <w:sz w:val="21"/>
          <w:szCs w:val="21"/>
        </w:rPr>
        <w:t>Study ID conventions:</w:t>
      </w:r>
      <w:r w:rsidRPr="00767883">
        <w:rPr>
          <w:rFonts w:ascii="Times New Roman" w:hAnsi="Times New Roman" w:cs="Times New Roman"/>
          <w:color w:val="000000"/>
          <w:sz w:val="21"/>
          <w:szCs w:val="21"/>
        </w:rPr>
        <w:t xml:space="preserve"> Study IDs use the lead author or named study/program plus publication year as listed in </w:t>
      </w:r>
      <w:r w:rsidRPr="00767883">
        <w:rPr>
          <w:rFonts w:ascii="Times New Roman" w:hAnsi="Times New Roman" w:cs="Times New Roman"/>
          <w:i/>
          <w:iCs/>
          <w:color w:val="000000"/>
          <w:sz w:val="21"/>
          <w:szCs w:val="21"/>
        </w:rPr>
        <w:t>Supplementary_Data_File_2_Review_Extraction.xlsx</w:t>
      </w:r>
      <w:r w:rsidRPr="00767883">
        <w:rPr>
          <w:rFonts w:ascii="Times New Roman" w:hAnsi="Times New Roman" w:cs="Times New Roman"/>
          <w:color w:val="000000"/>
          <w:sz w:val="21"/>
          <w:szCs w:val="21"/>
        </w:rPr>
        <w:t>. When a review is cited in narrative form with “et al.” or initials, the Study ID still refers to the same extraction-list record. Multi-author paired names were retained when used in the extraction list, for example Avery &amp; Gordon 2015 and Liu W-S &amp; Li Y-J 2019. Accented author names were preserved where available, for example Falcão 2020. PDS contextual material was named by study/program and author-year when retained only as contextual sustained-delivery background rather than part of the 50-review hierarchy.</w:t>
      </w:r>
    </w:p>
    <w:p w14:paraId="69625824" w14:textId="77777777" w:rsidR="00040810" w:rsidRDefault="00040810">
      <w:pPr>
        <w:rPr>
          <w:kern w:val="0"/>
          <w14:ligatures w14:val="none"/>
        </w:rPr>
      </w:pPr>
      <w:r>
        <w:rPr>
          <w:rFonts w:ascii="Times New Roman" w:hAnsi="Times New Roman"/>
          <w:b/>
          <w:bCs/>
          <w:color w:val="000000"/>
          <w:sz w:val="36"/>
          <w:szCs w:val="36"/>
        </w:rPr>
        <w:t>Recent primary evidence not yet captured in eligible reviews</w:t>
      </w:r>
    </w:p>
    <w:p w14:paraId="4B313BA3" w14:textId="77777777" w:rsidR="00040810" w:rsidRDefault="00040810">
      <w:pPr>
        <w:rPr>
          <w:kern w:val="0"/>
          <w14:ligatures w14:val="none"/>
        </w:rPr>
      </w:pPr>
      <w:r>
        <w:rPr>
          <w:rFonts w:ascii="Times New Roman" w:hAnsi="Times New Roman"/>
          <w:color w:val="000000"/>
          <w:sz w:val="21"/>
          <w:szCs w:val="21"/>
        </w:rPr>
        <w:t>This umbrella review was intentionally restricted to eligible review-level evidence for hierarchy assignment. Primary randomized trials, extension data, trial-registry records, congress abstracts, and sustained-delivery reports were therefore treated as contextual material unless they had already been incorporated into an eligible systematic review, meta-analysis, network meta-analysis, Cochrane review, or HTA. This approach preserves the methodological logic of the umbrella-review hierarchy but may delay incorporation of decisive recent primary evidence into evidence-category assignment.</w:t>
      </w:r>
    </w:p>
    <w:p w14:paraId="766BEEF9" w14:textId="77777777" w:rsidR="00040810" w:rsidRDefault="00040810">
      <w:pPr>
        <w:rPr>
          <w:kern w:val="0"/>
          <w14:ligatures w14:val="none"/>
        </w:rPr>
      </w:pPr>
      <w:r>
        <w:rPr>
          <w:rFonts w:ascii="Times New Roman" w:hAnsi="Times New Roman"/>
          <w:color w:val="000000"/>
          <w:sz w:val="21"/>
          <w:szCs w:val="21"/>
        </w:rPr>
        <w:t xml:space="preserve">Recent PDS and sustained-delivery RCT evidence could plausibly change future classifications once incorporated into mature DME/DR systematic reviews. For example, the PAGODA phase 3 trial reported </w:t>
      </w:r>
      <w:r>
        <w:rPr>
          <w:rFonts w:ascii="Times New Roman" w:hAnsi="Times New Roman"/>
          <w:color w:val="000000"/>
          <w:sz w:val="21"/>
          <w:szCs w:val="21"/>
        </w:rPr>
        <w:lastRenderedPageBreak/>
        <w:t>that PDS with ranibizumab every 24 weeks was noninferior to monthly intravitreal ranibizumab for best-corrected visual acuity change through weeks 60 and 64, while substantially reducing injection burden; PAVILION reported disease-control benefit in nonproliferative diabetic retinopathy without center-involved DME. However, because these trial data had not yet been synthesized in an eligible mature DME/DR review-level evidence product at the final search date, they were not used to upgrade PDS or sustained-delivery interventions into the umbrella-review evidence hierarchy.</w:t>
      </w:r>
    </w:p>
    <w:p w14:paraId="6974816B" w14:textId="77777777" w:rsidR="007C619F" w:rsidRDefault="007C619F">
      <w:pPr>
        <w:rPr>
          <w:kern w:val="0"/>
          <w14:ligatures w14:val="none"/>
        </w:rPr>
      </w:pPr>
      <w:r>
        <w:rPr>
          <w:rFonts w:ascii="Times New Roman" w:hAnsi="Times New Roman"/>
          <w:color w:val="000000"/>
          <w:sz w:val="21"/>
          <w:szCs w:val="21"/>
        </w:rPr>
        <w:t>Accordingly, PDS and other sustained-delivery strategies should be interpreted in this supplement as important emerging contextual evidence rather than as classified umbrella-review evidence. Future systematic reviews that incorporate PAGODA, PAVILION, extension follow-up, device-specific safety outcomes, refill-exchange burden, endophthalmitis or conjunctival-complication risk, and comparative durability against contemporary anti-VEGF regimens could plausibly shift sustained-delivery interventions from contextual background to conditional or supplementary evidence, depending on review quality, directness, consistency, safety profile, and overlap with existing anti-VEGF evidence.</w:t>
      </w:r>
    </w:p>
    <w:p w14:paraId="63DCCBB3" w14:textId="1E70F03E"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287F8D96"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S8. Representative quantitative estimates</w:t>
      </w:r>
    </w:p>
    <w:tbl>
      <w:tblPr>
        <w:tblStyle w:val="TableGrid"/>
        <w:tblW w:w="5000" w:type="pct"/>
        <w:tblLook w:val="04A0" w:firstRow="1" w:lastRow="0" w:firstColumn="1" w:lastColumn="0" w:noHBand="0" w:noVBand="1"/>
      </w:tblPr>
      <w:tblGrid>
        <w:gridCol w:w="1664"/>
        <w:gridCol w:w="1781"/>
        <w:gridCol w:w="1953"/>
        <w:gridCol w:w="1801"/>
        <w:gridCol w:w="1788"/>
      </w:tblGrid>
      <w:tr w:rsidR="00CF0A7B" w:rsidRPr="00767883" w14:paraId="4833F667"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D7944EF" w14:textId="77777777" w:rsidR="00CF0A7B" w:rsidRPr="00767883" w:rsidRDefault="00CF0A7B">
            <w:pPr>
              <w:jc w:val="center"/>
              <w:rPr>
                <w:rFonts w:ascii="Times New Roman" w:hAnsi="Times New Roman" w:cs="Times New Roman"/>
                <w:kern w:val="0"/>
                <w14:ligatures w14:val="none"/>
              </w:rPr>
            </w:pPr>
            <w:r w:rsidRPr="00767883">
              <w:rPr>
                <w:rFonts w:ascii="Times New Roman" w:hAnsi="Times New Roman" w:cs="Times New Roman"/>
                <w:b/>
                <w:bCs/>
              </w:rPr>
              <w:t>Clinical question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0566973"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Source Study IDs</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E185ECF"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Review-level quantitative estimate</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47F9F2C1"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Interpretation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5AE2C1DC"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Key caution</w:t>
            </w:r>
          </w:p>
        </w:tc>
      </w:tr>
      <w:tr w:rsidR="00CF0A7B" w:rsidRPr="00767883" w14:paraId="6477590B"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C80B353"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Anti-VEGF versus laser for CI-DME with visual impairment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06C2BD4"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Virgili 2023; Wang 2022; Chen J 2023; Chen L 2025.</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0DA3218"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Approximately 5–7 ETDRS-letter advantage over laser across key review-level quantitative estimates.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DC0808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Reported estimates indicated consistent visual and anatomical benefit for anti-VEGF in CI-DME with visual impairment.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D0FDBFC"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Represents the strongest pharmacologic conclusion in this review, not a universal agent ranking.</w:t>
            </w:r>
          </w:p>
        </w:tc>
      </w:tr>
      <w:tr w:rsidR="00CF0A7B" w:rsidRPr="00767883" w14:paraId="05F1D6C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19FD6A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Aflibercept in poorer baseline vision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BF9E44F"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Virgili 2023; Wang 2022; </w:t>
            </w:r>
            <w:proofErr w:type="spellStart"/>
            <w:r w:rsidRPr="00767883">
              <w:rPr>
                <w:rFonts w:ascii="Times New Roman" w:hAnsi="Times New Roman" w:cs="Times New Roman"/>
              </w:rPr>
              <w:t>Santhakumaran</w:t>
            </w:r>
            <w:proofErr w:type="spellEnd"/>
            <w:r w:rsidRPr="00767883">
              <w:rPr>
                <w:rFonts w:ascii="Times New Roman" w:hAnsi="Times New Roman" w:cs="Times New Roman"/>
              </w:rPr>
              <w:t xml:space="preserve"> et al. 2022; </w:t>
            </w:r>
            <w:proofErr w:type="spellStart"/>
            <w:r w:rsidRPr="00767883">
              <w:rPr>
                <w:rFonts w:ascii="Times New Roman" w:hAnsi="Times New Roman" w:cs="Times New Roman"/>
              </w:rPr>
              <w:t>Sarohia</w:t>
            </w:r>
            <w:proofErr w:type="spellEnd"/>
            <w:r w:rsidRPr="00767883">
              <w:rPr>
                <w:rFonts w:ascii="Times New Roman" w:hAnsi="Times New Roman" w:cs="Times New Roman"/>
              </w:rPr>
              <w:t xml:space="preserve"> et al. 2022; Chen J 2023; Chen L 2025; Lim 2022.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CB89446" w14:textId="5803A2DF" w:rsidR="00CF0A7B" w:rsidRPr="00B55C6D" w:rsidRDefault="00B55C6D" w:rsidP="00B55C6D">
            <w:pPr>
              <w:rPr>
                <w:rFonts w:ascii="Times New Roman" w:hAnsi="Times New Roman" w:cs="Times New Roman"/>
                <w:kern w:val="0"/>
                <w14:ligatures w14:val="none"/>
              </w:rPr>
            </w:pPr>
            <w:r>
              <w:rPr>
                <w:rFonts w:ascii="Times New Roman" w:hAnsi="Times New Roman"/>
              </w:rPr>
              <w:t>Protocol T context: approximately 4.8-letter 2-year advantage over bevacizumab in the poorer-baseline-vision subgroup, as represented in the cited review-level evidence.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01D18B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Reported estimates indicated larger relative benefit in selected eyes with poorer baseline vision.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74A3C23"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Represents agent-selection context, not universal superiority across all CI-DME presentations.</w:t>
            </w:r>
          </w:p>
        </w:tc>
      </w:tr>
      <w:tr w:rsidR="00CF0A7B" w:rsidRPr="00767883" w14:paraId="39019DB2"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9C9050E"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Switching to aflibercept after incomplete anti-VEGF response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FD3BA7C"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Liu 2020; Xiao 2020; </w:t>
            </w:r>
            <w:proofErr w:type="spellStart"/>
            <w:r w:rsidRPr="00767883">
              <w:rPr>
                <w:rFonts w:ascii="Times New Roman" w:hAnsi="Times New Roman" w:cs="Times New Roman"/>
              </w:rPr>
              <w:t>Madjedi</w:t>
            </w:r>
            <w:proofErr w:type="spellEnd"/>
            <w:r w:rsidRPr="00767883">
              <w:rPr>
                <w:rFonts w:ascii="Times New Roman" w:hAnsi="Times New Roman" w:cs="Times New Roman"/>
              </w:rPr>
              <w:t xml:space="preserve"> 2022.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8A5FD11" w14:textId="4105D793" w:rsidR="00CF0A7B" w:rsidRPr="00B55C6D" w:rsidRDefault="00B55C6D" w:rsidP="00B55C6D">
            <w:pPr>
              <w:rPr>
                <w:rFonts w:ascii="Times New Roman" w:hAnsi="Times New Roman" w:cs="Times New Roman"/>
                <w:kern w:val="0"/>
                <w14:ligatures w14:val="none"/>
              </w:rPr>
            </w:pPr>
            <w:r>
              <w:rPr>
                <w:rFonts w:ascii="Times New Roman" w:hAnsi="Times New Roman"/>
              </w:rPr>
              <w:t>Central-thickness reductions of about 81, 114, 125, and 76 µm at 1, 3, 6, and 12 months were reported in review-level switching evidence; BCVA gains were smaller and less durable.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2EA3CBC"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Reported estimates were consistent with anatomical improvement more often than visual improvement.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F28BDAE"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Heterogeneity in refractory DME definitions, prior exposure, and follow-up limits independent switching inference.</w:t>
            </w:r>
          </w:p>
        </w:tc>
      </w:tr>
      <w:tr w:rsidR="00CF0A7B" w:rsidRPr="00767883" w14:paraId="61EACF4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E0B753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Dexamethasone implant versus sham or anti-VEGF</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89C26ED" w14:textId="77777777" w:rsidR="00CF0A7B" w:rsidRPr="00767883" w:rsidRDefault="00CF0A7B">
            <w:pPr>
              <w:spacing w:after="160"/>
              <w:rPr>
                <w:rFonts w:ascii="Times New Roman" w:hAnsi="Times New Roman" w:cs="Times New Roman"/>
              </w:rPr>
            </w:pPr>
            <w:proofErr w:type="spellStart"/>
            <w:r w:rsidRPr="00767883">
              <w:rPr>
                <w:rFonts w:ascii="Times New Roman" w:hAnsi="Times New Roman" w:cs="Times New Roman"/>
              </w:rPr>
              <w:t>Rittiphairoj</w:t>
            </w:r>
            <w:proofErr w:type="spellEnd"/>
            <w:r w:rsidRPr="00767883">
              <w:rPr>
                <w:rFonts w:ascii="Times New Roman" w:hAnsi="Times New Roman" w:cs="Times New Roman"/>
              </w:rPr>
              <w:t xml:space="preserve"> 2020; Chi 2023; Xu et al. 2024; Yuan 2022; Cao 2025.</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98E468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Approximate 12-month logMAR improvement versus sham, but slightly worse vision than anti-VEGF in some comparisons; cataract and IOP-treatment risks increased.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234D9F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Reported estimates indicated anatomical and selected visual benefit versus sham, without consistent superiority over anti-VEGF.</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09A137E"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Clinical usefulness depends on pseudophakia, chronicity, inflammation, intolerance, IOP risk, and monitoring capacity.</w:t>
            </w:r>
          </w:p>
        </w:tc>
      </w:tr>
      <w:tr w:rsidR="00CF0A7B" w:rsidRPr="00767883" w14:paraId="4C23188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81E65B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NPDR disease-control anti-VEGF</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13089DA"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Chaudhary 2023; Chen K-Y et al. 2025.</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E25336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Minimal 2-year BCVA gain, with greater DRSS regression and fewer vision-threatening complications in selected trial populations.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431F3FF"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Reported estimates indicated disease-control effects more than visual gain in selected NPDR populations.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B6A67F6"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Clinical usefulness depends on monitoring reliability, retreatment feasibility, progression risk, adherence, and system capacity.</w:t>
            </w:r>
          </w:p>
        </w:tc>
      </w:tr>
      <w:tr w:rsidR="00CF0A7B" w:rsidRPr="00767883" w14:paraId="23209B93"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9714D9B"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Anti-VEGF versus PRP for PDR</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ABB2D98"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Simmonds 2025; Chen K-Y et al. 2025; Zhang 2021.</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9D0E47A"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Approximate 1-year estimate of about 4.5 ETDRS letters versus PRP in retained patients; longer-term durability remains uncertain.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DDA085D"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Represents selected-population disease-control evidence; durability context remains important.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07FD523"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Clinical usefulness depends on follow-up reliability, retreatment capacity, recurrence risk, access, and long-term monitoring feasibility.</w:t>
            </w:r>
          </w:p>
        </w:tc>
      </w:tr>
    </w:tbl>
    <w:p w14:paraId="5C0E5B0A" w14:textId="77777777" w:rsidR="000B329A" w:rsidRDefault="000B329A">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Source Study IDs were aligned against the review-level extraction list in </w:t>
      </w:r>
      <w:r>
        <w:rPr>
          <w:rFonts w:ascii="Times New Roman" w:hAnsi="Times New Roman"/>
          <w:i/>
          <w:iCs/>
          <w:color w:val="000000"/>
          <w:sz w:val="21"/>
          <w:szCs w:val="21"/>
        </w:rPr>
        <w:t>Supplementary_Data_File_2_Review_Extraction.xlsx</w:t>
      </w:r>
      <w:r>
        <w:rPr>
          <w:rFonts w:ascii="Times New Roman" w:hAnsi="Times New Roman"/>
          <w:color w:val="000000"/>
          <w:sz w:val="21"/>
          <w:szCs w:val="21"/>
        </w:rPr>
        <w:t xml:space="preserve">. Quantitative estimates are presented as representative review-level anchors. </w:t>
      </w:r>
      <w:proofErr w:type="gramStart"/>
      <w:r>
        <w:rPr>
          <w:rFonts w:ascii="Times New Roman" w:hAnsi="Times New Roman"/>
          <w:color w:val="000000"/>
          <w:sz w:val="21"/>
          <w:szCs w:val="21"/>
        </w:rPr>
        <w:t>No</w:t>
      </w:r>
      <w:proofErr w:type="gramEnd"/>
      <w:r>
        <w:rPr>
          <w:rFonts w:ascii="Times New Roman" w:hAnsi="Times New Roman"/>
          <w:color w:val="000000"/>
          <w:sz w:val="21"/>
          <w:szCs w:val="21"/>
        </w:rPr>
        <w:t xml:space="preserve"> de novo meta-analysis was performed in this umbrella review.</w:t>
      </w:r>
    </w:p>
    <w:p w14:paraId="4762AB23" w14:textId="6DBD441A"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2F4C450B"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S9. Phenotype-to-evidence interpretation schematic</w:t>
      </w:r>
    </w:p>
    <w:tbl>
      <w:tblPr>
        <w:tblStyle w:val="TableGrid"/>
        <w:tblW w:w="5000" w:type="pct"/>
        <w:tblLook w:val="04A0" w:firstRow="1" w:lastRow="0" w:firstColumn="1" w:lastColumn="0" w:noHBand="0" w:noVBand="1"/>
      </w:tblPr>
      <w:tblGrid>
        <w:gridCol w:w="1487"/>
        <w:gridCol w:w="2134"/>
        <w:gridCol w:w="1800"/>
        <w:gridCol w:w="1769"/>
        <w:gridCol w:w="1797"/>
      </w:tblGrid>
      <w:tr w:rsidR="00CF0A7B" w:rsidRPr="00767883" w14:paraId="386521E9"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00A5A09" w14:textId="77777777" w:rsidR="00CF0A7B" w:rsidRPr="00767883" w:rsidRDefault="00CF0A7B">
            <w:pPr>
              <w:jc w:val="center"/>
              <w:rPr>
                <w:rFonts w:ascii="Times New Roman" w:hAnsi="Times New Roman" w:cs="Times New Roman"/>
                <w:kern w:val="0"/>
                <w14:ligatures w14:val="none"/>
              </w:rPr>
            </w:pPr>
            <w:r w:rsidRPr="00767883">
              <w:rPr>
                <w:rFonts w:ascii="Times New Roman" w:hAnsi="Times New Roman" w:cs="Times New Roman"/>
                <w:b/>
                <w:bCs/>
              </w:rPr>
              <w:t>Phenotype / clinical context</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582CFE5C"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Clinical modifiers to assess</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5126E943"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Source Study IDs</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5CCF8103"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Evidence category / interpretation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F95297B"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Interpretive use / caution</w:t>
            </w:r>
          </w:p>
        </w:tc>
      </w:tr>
      <w:tr w:rsidR="00CF0A7B" w:rsidRPr="00767883" w14:paraId="4BBF0264"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AD2B366"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CI-DME with visual impairment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0391C0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Baseline BCVA, CST/CMT burden, symptoms, prior treatment, adherence, </w:t>
            </w:r>
            <w:r w:rsidRPr="00767883">
              <w:rPr>
                <w:rFonts w:ascii="Times New Roman" w:hAnsi="Times New Roman" w:cs="Times New Roman"/>
              </w:rPr>
              <w:lastRenderedPageBreak/>
              <w:t>bilateral disease, systemic risk, and monitoring access.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9F53FCA"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 xml:space="preserve">Virgili 2023; Wang 2022; Sydnor 2023; Justino 2024; Li et </w:t>
            </w:r>
            <w:r w:rsidRPr="00767883">
              <w:rPr>
                <w:rFonts w:ascii="Times New Roman" w:hAnsi="Times New Roman" w:cs="Times New Roman"/>
              </w:rPr>
              <w:lastRenderedPageBreak/>
              <w:t xml:space="preserve">al. 2023; </w:t>
            </w:r>
            <w:proofErr w:type="spellStart"/>
            <w:r w:rsidRPr="00767883">
              <w:rPr>
                <w:rFonts w:ascii="Times New Roman" w:hAnsi="Times New Roman" w:cs="Times New Roman"/>
              </w:rPr>
              <w:t>Santhakumaran</w:t>
            </w:r>
            <w:proofErr w:type="spellEnd"/>
            <w:r w:rsidRPr="00767883">
              <w:rPr>
                <w:rFonts w:ascii="Times New Roman" w:hAnsi="Times New Roman" w:cs="Times New Roman"/>
              </w:rPr>
              <w:t xml:space="preserve"> et al. 2022; Chen J 2023; Chen L 2025; Friedman 2025; Falcão 2020; Krishnan 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09CFCE6" w14:textId="1BD28002" w:rsidR="00CF0A7B" w:rsidRPr="00767883" w:rsidRDefault="00000000" w:rsidP="00B53623">
            <w:pPr>
              <w:rPr>
                <w:rFonts w:ascii="Times New Roman" w:hAnsi="Times New Roman" w:cs="Times New Roman"/>
                <w:lang w:val="en-MX"/>
              </w:rPr>
            </w:pPr>
            <w:r w:rsidRPr="00767883">
              <w:rPr>
                <w:rFonts w:ascii="Times New Roman" w:hAnsi="Times New Roman" w:cs="Times New Roman"/>
              </w:rPr>
              <w:lastRenderedPageBreak/>
              <w:t xml:space="preserve">Strong evidence. Anti-VEGF therapy is the most consistently </w:t>
            </w:r>
            <w:r w:rsidRPr="00767883">
              <w:rPr>
                <w:rFonts w:ascii="Times New Roman" w:hAnsi="Times New Roman" w:cs="Times New Roman"/>
              </w:rPr>
              <w:lastRenderedPageBreak/>
              <w:t>supported option for visual and anatomical benefit.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19EFF91"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Main review-level conclusion within the evidence-</w:t>
            </w:r>
            <w:r w:rsidRPr="00767883">
              <w:rPr>
                <w:rFonts w:ascii="Times New Roman" w:hAnsi="Times New Roman" w:cs="Times New Roman"/>
              </w:rPr>
              <w:lastRenderedPageBreak/>
              <w:t>weighting framework.</w:t>
            </w:r>
          </w:p>
        </w:tc>
      </w:tr>
      <w:tr w:rsidR="00CF0A7B" w:rsidRPr="00767883" w14:paraId="0F238E4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9CB9051"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Poorer baseline vision or high anatomical burden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16C5E80"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Starting BCVA, CST/CMT, fluid burden, chronicity, ischemia, structural damage, cost, availability, and safety profile.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5721DB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Virgili 2023; Wang 2022; </w:t>
            </w:r>
            <w:proofErr w:type="spellStart"/>
            <w:r w:rsidRPr="00767883">
              <w:rPr>
                <w:rFonts w:ascii="Times New Roman" w:hAnsi="Times New Roman" w:cs="Times New Roman"/>
              </w:rPr>
              <w:t>Santhakumaran</w:t>
            </w:r>
            <w:proofErr w:type="spellEnd"/>
            <w:r w:rsidRPr="00767883">
              <w:rPr>
                <w:rFonts w:ascii="Times New Roman" w:hAnsi="Times New Roman" w:cs="Times New Roman"/>
              </w:rPr>
              <w:t xml:space="preserve"> et al. 2022; </w:t>
            </w:r>
            <w:proofErr w:type="spellStart"/>
            <w:r w:rsidRPr="00767883">
              <w:rPr>
                <w:rFonts w:ascii="Times New Roman" w:hAnsi="Times New Roman" w:cs="Times New Roman"/>
              </w:rPr>
              <w:t>Sarohia</w:t>
            </w:r>
            <w:proofErr w:type="spellEnd"/>
            <w:r w:rsidRPr="00767883">
              <w:rPr>
                <w:rFonts w:ascii="Times New Roman" w:hAnsi="Times New Roman" w:cs="Times New Roman"/>
              </w:rPr>
              <w:t xml:space="preserve"> et al. 2022; Chen J 2023; Chen L 2025; Lim 2022; Friedman 2025; </w:t>
            </w:r>
            <w:proofErr w:type="spellStart"/>
            <w:r w:rsidRPr="00767883">
              <w:rPr>
                <w:rFonts w:ascii="Times New Roman" w:hAnsi="Times New Roman" w:cs="Times New Roman"/>
              </w:rPr>
              <w:t>Nichani</w:t>
            </w:r>
            <w:proofErr w:type="spellEnd"/>
            <w:r w:rsidRPr="00767883">
              <w:rPr>
                <w:rFonts w:ascii="Times New Roman" w:hAnsi="Times New Roman" w:cs="Times New Roman"/>
              </w:rPr>
              <w:t xml:space="preserve"> 2024.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5EA6DFE" w14:textId="7C636817" w:rsidR="00CF0A7B" w:rsidRPr="00767883" w:rsidRDefault="00000000" w:rsidP="009D5F12">
            <w:pPr>
              <w:rPr>
                <w:rFonts w:ascii="Times New Roman" w:hAnsi="Times New Roman" w:cs="Times New Roman"/>
                <w:lang w:val="en-MX"/>
              </w:rPr>
            </w:pPr>
            <w:r w:rsidRPr="00767883">
              <w:rPr>
                <w:rFonts w:ascii="Times New Roman" w:hAnsi="Times New Roman" w:cs="Times New Roman"/>
              </w:rPr>
              <w:t>Supplementary evidence. More potent or more durable anti-VEGF options may be relevant in selected eyes.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D8A567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Provides agent-selection context; subgroup findings should not be generalized to all CI-DME eyes.</w:t>
            </w:r>
          </w:p>
        </w:tc>
      </w:tr>
      <w:tr w:rsidR="00CF0A7B" w:rsidRPr="00767883" w14:paraId="27C44B9E"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21660CE"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Persistent or refractory DME after adequate anti-VEGF exposure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F8CBA5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Adequacy of loading, adherence, prior agent, residual CST/CMT, visual trajectory, ischemia, chronicity, vitreomacular interface disease, comorbidity, and structural damage.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4D49C74" w14:textId="77777777" w:rsidR="00CF0A7B" w:rsidRPr="00767883" w:rsidRDefault="00CF0A7B">
            <w:pPr>
              <w:spacing w:after="160"/>
              <w:rPr>
                <w:rFonts w:ascii="Times New Roman" w:hAnsi="Times New Roman" w:cs="Times New Roman"/>
                <w:lang w:val="es-ES"/>
              </w:rPr>
            </w:pPr>
            <w:r w:rsidRPr="00767883">
              <w:rPr>
                <w:rFonts w:ascii="Times New Roman" w:hAnsi="Times New Roman" w:cs="Times New Roman"/>
                <w:lang w:val="es-ES"/>
              </w:rPr>
              <w:t xml:space="preserve">Liu 2020; Xiao 2020; </w:t>
            </w:r>
            <w:proofErr w:type="spellStart"/>
            <w:r w:rsidRPr="00767883">
              <w:rPr>
                <w:rFonts w:ascii="Times New Roman" w:hAnsi="Times New Roman" w:cs="Times New Roman"/>
                <w:lang w:val="es-ES"/>
              </w:rPr>
              <w:t>Madjedi</w:t>
            </w:r>
            <w:proofErr w:type="spellEnd"/>
            <w:r w:rsidRPr="00767883">
              <w:rPr>
                <w:rFonts w:ascii="Times New Roman" w:hAnsi="Times New Roman" w:cs="Times New Roman"/>
                <w:lang w:val="es-ES"/>
              </w:rPr>
              <w:t xml:space="preserve"> 2022; Tahmasebi 2025; Cao 2025; </w:t>
            </w:r>
            <w:proofErr w:type="spellStart"/>
            <w:r w:rsidRPr="00767883">
              <w:rPr>
                <w:rFonts w:ascii="Times New Roman" w:hAnsi="Times New Roman" w:cs="Times New Roman"/>
                <w:lang w:val="es-ES"/>
              </w:rPr>
              <w:t>Xu</w:t>
            </w:r>
            <w:proofErr w:type="spellEnd"/>
            <w:r w:rsidRPr="00767883">
              <w:rPr>
                <w:rFonts w:ascii="Times New Roman" w:hAnsi="Times New Roman" w:cs="Times New Roman"/>
                <w:lang w:val="es-ES"/>
              </w:rPr>
              <w:t xml:space="preserve"> et al. 2024; Nasimi 2024; </w:t>
            </w:r>
            <w:proofErr w:type="spellStart"/>
            <w:r w:rsidRPr="00767883">
              <w:rPr>
                <w:rFonts w:ascii="Times New Roman" w:hAnsi="Times New Roman" w:cs="Times New Roman"/>
                <w:lang w:val="es-ES"/>
              </w:rPr>
              <w:t>Hatamnejad</w:t>
            </w:r>
            <w:proofErr w:type="spellEnd"/>
            <w:r w:rsidRPr="00767883">
              <w:rPr>
                <w:rFonts w:ascii="Times New Roman" w:hAnsi="Times New Roman" w:cs="Times New Roman"/>
                <w:lang w:val="es-ES"/>
              </w:rPr>
              <w:t xml:space="preserve"> 2024.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B82DE9E" w14:textId="18F47CA7" w:rsidR="00CF0A7B" w:rsidRPr="00767883" w:rsidRDefault="00000000" w:rsidP="00AB3B15">
            <w:pPr>
              <w:rPr>
                <w:rFonts w:ascii="Times New Roman" w:hAnsi="Times New Roman" w:cs="Times New Roman"/>
                <w:lang w:val="en-MX"/>
              </w:rPr>
            </w:pPr>
            <w:r w:rsidRPr="00767883">
              <w:rPr>
                <w:rFonts w:ascii="Times New Roman" w:hAnsi="Times New Roman" w:cs="Times New Roman"/>
              </w:rPr>
              <w:t>Conditional evidence. Switching is consistent with more frequent anatomical than durable visual benefit.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6A30A06"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Provides cautious support for switching interpretation; heterogeneous definitions limit escalation claims.</w:t>
            </w:r>
          </w:p>
        </w:tc>
      </w:tr>
      <w:tr w:rsidR="00CF0A7B" w:rsidRPr="00767883" w14:paraId="3347A671"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095B228"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Chronic, inflammatory, pseudophakic, or high-burden DME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9E0867D"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Lens status, IOP history, glaucoma risk, inflammatory phenotype, chronic edema, prior steroid response, burden, and monitoring feasibility.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5946112" w14:textId="77777777" w:rsidR="00CF0A7B" w:rsidRPr="00767883" w:rsidRDefault="00CF0A7B">
            <w:pPr>
              <w:spacing w:after="160"/>
              <w:rPr>
                <w:rFonts w:ascii="Times New Roman" w:hAnsi="Times New Roman" w:cs="Times New Roman"/>
                <w:lang w:val="es-ES"/>
              </w:rPr>
            </w:pPr>
            <w:proofErr w:type="spellStart"/>
            <w:r w:rsidRPr="00767883">
              <w:rPr>
                <w:rFonts w:ascii="Times New Roman" w:hAnsi="Times New Roman" w:cs="Times New Roman"/>
                <w:lang w:val="es-ES"/>
              </w:rPr>
              <w:t>Rittiphairoj</w:t>
            </w:r>
            <w:proofErr w:type="spellEnd"/>
            <w:r w:rsidRPr="00767883">
              <w:rPr>
                <w:rFonts w:ascii="Times New Roman" w:hAnsi="Times New Roman" w:cs="Times New Roman"/>
                <w:lang w:val="es-ES"/>
              </w:rPr>
              <w:t xml:space="preserve"> 2020; </w:t>
            </w:r>
            <w:proofErr w:type="spellStart"/>
            <w:r w:rsidRPr="00767883">
              <w:rPr>
                <w:rFonts w:ascii="Times New Roman" w:hAnsi="Times New Roman" w:cs="Times New Roman"/>
                <w:lang w:val="es-ES"/>
              </w:rPr>
              <w:t>Xu</w:t>
            </w:r>
            <w:proofErr w:type="spellEnd"/>
            <w:r w:rsidRPr="00767883">
              <w:rPr>
                <w:rFonts w:ascii="Times New Roman" w:hAnsi="Times New Roman" w:cs="Times New Roman"/>
                <w:lang w:val="es-ES"/>
              </w:rPr>
              <w:t xml:space="preserve"> et al. 2024; Ma et al. 2024; Chi 2023; Fallico 2021; </w:t>
            </w:r>
            <w:proofErr w:type="spellStart"/>
            <w:r w:rsidRPr="00767883">
              <w:rPr>
                <w:rFonts w:ascii="Times New Roman" w:hAnsi="Times New Roman" w:cs="Times New Roman"/>
                <w:lang w:val="es-ES"/>
              </w:rPr>
              <w:t>Kodjikian</w:t>
            </w:r>
            <w:proofErr w:type="spellEnd"/>
            <w:r w:rsidRPr="00767883">
              <w:rPr>
                <w:rFonts w:ascii="Times New Roman" w:hAnsi="Times New Roman" w:cs="Times New Roman"/>
                <w:lang w:val="es-ES"/>
              </w:rPr>
              <w:t xml:space="preserve"> 2021; Bucolo 2018; Cao 2025; </w:t>
            </w:r>
            <w:proofErr w:type="spellStart"/>
            <w:r w:rsidRPr="00767883">
              <w:rPr>
                <w:rFonts w:ascii="Times New Roman" w:hAnsi="Times New Roman" w:cs="Times New Roman"/>
                <w:lang w:val="es-ES"/>
              </w:rPr>
              <w:t>Hu</w:t>
            </w:r>
            <w:proofErr w:type="spellEnd"/>
            <w:r w:rsidRPr="00767883">
              <w:rPr>
                <w:rFonts w:ascii="Times New Roman" w:hAnsi="Times New Roman" w:cs="Times New Roman"/>
                <w:lang w:val="es-ES"/>
              </w:rPr>
              <w:t xml:space="preserve"> 2025; Karam 2025; Yuan 2022.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85CCC87" w14:textId="67A1D24D" w:rsidR="00CF0A7B" w:rsidRPr="00767883" w:rsidRDefault="00000000" w:rsidP="00193C73">
            <w:pPr>
              <w:rPr>
                <w:rFonts w:ascii="Times New Roman" w:hAnsi="Times New Roman" w:cs="Times New Roman"/>
                <w:lang w:val="en-MX"/>
              </w:rPr>
            </w:pPr>
            <w:r w:rsidRPr="00767883">
              <w:rPr>
                <w:rFonts w:ascii="Times New Roman" w:hAnsi="Times New Roman" w:cs="Times New Roman"/>
              </w:rPr>
              <w:t>Conditional evidence. Steroid or implant evidence may inform selected benefit-risk decisions.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B1F1A7B"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Clinical usefulness depends on durability, treatment burden, and ocular safety trade-offs.</w:t>
            </w:r>
          </w:p>
        </w:tc>
      </w:tr>
      <w:tr w:rsidR="00CF0A7B" w:rsidRPr="00767883" w14:paraId="4B48D5CF"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EC91B0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NPDR or PDR disease-control context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41E1363"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DR severity, CI-DME status, neovascularization, prior PRP, progression risk, visit feasibility, retreatment capacity, and adherence.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0DA99E0"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Simmonds 2025; Chaudhary 2023; Chen K-Y et al. 2025; Fu et al. 2023; Zhang 2021; Song 2025; Kataoka 2023; Thagaard 2022.</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D4E0935" w14:textId="18731EB7" w:rsidR="00CF0A7B" w:rsidRPr="00767883" w:rsidRDefault="00000000" w:rsidP="00C61C52">
            <w:pPr>
              <w:rPr>
                <w:rFonts w:ascii="Times New Roman" w:hAnsi="Times New Roman" w:cs="Times New Roman"/>
                <w:lang w:val="en-MX"/>
              </w:rPr>
            </w:pPr>
            <w:r w:rsidRPr="00767883">
              <w:rPr>
                <w:rFonts w:ascii="Times New Roman" w:hAnsi="Times New Roman" w:cs="Times New Roman"/>
              </w:rPr>
              <w:t>Conditional evidence. Anti-VEGF and PRP inform disease-control decisions in selected contexts.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5C40036"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Provides feasibility context rather than evidence for a single preferred disease-control strategy.</w:t>
            </w:r>
          </w:p>
        </w:tc>
      </w:tr>
      <w:tr w:rsidR="00CF0A7B" w:rsidRPr="00767883" w14:paraId="0F01B3AE"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43F36E6"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High treatment burden or limited follow-up reliability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829E115"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Travel, cost, clinic capacity, adherence barriers, bilateral treatment, imaging access, injection frequency, and outcome maintenance.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9ACC011" w14:textId="77777777" w:rsidR="00CF0A7B" w:rsidRPr="00767883" w:rsidRDefault="00CF0A7B">
            <w:pPr>
              <w:spacing w:after="160"/>
              <w:rPr>
                <w:rFonts w:ascii="Times New Roman" w:hAnsi="Times New Roman" w:cs="Times New Roman"/>
                <w:lang w:val="es-ES"/>
              </w:rPr>
            </w:pPr>
            <w:proofErr w:type="spellStart"/>
            <w:r w:rsidRPr="00767883">
              <w:rPr>
                <w:rFonts w:ascii="Times New Roman" w:hAnsi="Times New Roman" w:cs="Times New Roman"/>
                <w:lang w:val="es-ES"/>
              </w:rPr>
              <w:t>Santhakumaran</w:t>
            </w:r>
            <w:proofErr w:type="spellEnd"/>
            <w:r w:rsidRPr="00767883">
              <w:rPr>
                <w:rFonts w:ascii="Times New Roman" w:hAnsi="Times New Roman" w:cs="Times New Roman"/>
                <w:lang w:val="es-ES"/>
              </w:rPr>
              <w:t xml:space="preserve"> et al. 2022; Sarohia et al. 2022; Falcão 2020; Lim 2022; Mehta 2022; Bucolo 2018; Fallico 2021; </w:t>
            </w:r>
            <w:proofErr w:type="spellStart"/>
            <w:r w:rsidRPr="00767883">
              <w:rPr>
                <w:rFonts w:ascii="Times New Roman" w:hAnsi="Times New Roman" w:cs="Times New Roman"/>
                <w:lang w:val="es-ES"/>
              </w:rPr>
              <w:t>Kodjikian</w:t>
            </w:r>
            <w:proofErr w:type="spellEnd"/>
            <w:r w:rsidRPr="00767883">
              <w:rPr>
                <w:rFonts w:ascii="Times New Roman" w:hAnsi="Times New Roman" w:cs="Times New Roman"/>
                <w:lang w:val="es-ES"/>
              </w:rPr>
              <w:t xml:space="preserve"> 2021; Nasimi 2024; Friedman 2025.</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351130F" w14:textId="5D75FD69" w:rsidR="00CF0A7B" w:rsidRPr="00767883" w:rsidRDefault="00000000" w:rsidP="00B45D7A">
            <w:pPr>
              <w:rPr>
                <w:rFonts w:ascii="Times New Roman" w:hAnsi="Times New Roman" w:cs="Times New Roman"/>
                <w:lang w:val="en-MX"/>
              </w:rPr>
            </w:pPr>
            <w:r w:rsidRPr="00767883">
              <w:rPr>
                <w:rFonts w:ascii="Times New Roman" w:hAnsi="Times New Roman" w:cs="Times New Roman"/>
              </w:rPr>
              <w:t>Supplementary evidence. Durability and real-world data inform implementation and burden.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854F9D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Helps judge whether lower treatment intensity remains compatible with maintained outcomes.</w:t>
            </w:r>
          </w:p>
        </w:tc>
      </w:tr>
      <w:tr w:rsidR="00CF0A7B" w:rsidRPr="00767883" w14:paraId="5BBBF22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F56D661"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High systemic vascular or renal risk</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16B1B9B"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Recent stroke or myocardial infarction, severe kidney disease, vascular risk, frailty, bilateral or high cumulative exposure, and systemic monitoring.</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50EF76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Avery &amp; Gordon 2015; Yanagida 2014; Tsao 2023; Virgili 2023; Wang 2022; Krishnan 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A35178E" w14:textId="5E3A9AEA" w:rsidR="00CF0A7B" w:rsidRPr="00767883" w:rsidRDefault="00000000" w:rsidP="00966075">
            <w:pPr>
              <w:rPr>
                <w:rFonts w:ascii="Times New Roman" w:hAnsi="Times New Roman" w:cs="Times New Roman"/>
                <w:lang w:val="en-MX"/>
              </w:rPr>
            </w:pPr>
            <w:r w:rsidRPr="00767883">
              <w:rPr>
                <w:rFonts w:ascii="Times New Roman" w:hAnsi="Times New Roman" w:cs="Times New Roman"/>
              </w:rPr>
              <w:t>Supplementary evidence. No clear overall pooled systemic harm signal was observed, but rare-event certainty is low.</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1D5A230"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Provides safety context for individualized discussion; not definitive reassurance or a contraindication.</w:t>
            </w:r>
          </w:p>
        </w:tc>
      </w:tr>
      <w:tr w:rsidR="00CF0A7B" w:rsidRPr="00767883" w14:paraId="2F4D169E"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4461038"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PDS durability context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EE921D1"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Sustained-delivery need, device eligibility, conjunctival or surgical factors, refill tolerance, device safety, and mature comparative review-level evidence.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0C310DC" w14:textId="77777777" w:rsidR="00CF0A7B" w:rsidRPr="00767883" w:rsidRDefault="00CF0A7B">
            <w:pPr>
              <w:spacing w:after="160"/>
              <w:rPr>
                <w:rFonts w:ascii="Times New Roman" w:hAnsi="Times New Roman" w:cs="Times New Roman"/>
                <w:lang w:val="es-ES"/>
              </w:rPr>
            </w:pPr>
            <w:r w:rsidRPr="00767883">
              <w:rPr>
                <w:rFonts w:ascii="Times New Roman" w:hAnsi="Times New Roman" w:cs="Times New Roman"/>
                <w:lang w:val="es-ES"/>
              </w:rPr>
              <w:t xml:space="preserve">PAGODA / Khanani 2025; PAVILION / Pieramici 2025; Holekamp 2024; VOYAGER / </w:t>
            </w:r>
            <w:proofErr w:type="spellStart"/>
            <w:r w:rsidRPr="00767883">
              <w:rPr>
                <w:rFonts w:ascii="Times New Roman" w:hAnsi="Times New Roman" w:cs="Times New Roman"/>
                <w:lang w:val="es-ES"/>
              </w:rPr>
              <w:t>Guymer</w:t>
            </w:r>
            <w:proofErr w:type="spellEnd"/>
            <w:r w:rsidRPr="00767883">
              <w:rPr>
                <w:rFonts w:ascii="Times New Roman" w:hAnsi="Times New Roman" w:cs="Times New Roman"/>
                <w:lang w:val="es-ES"/>
              </w:rPr>
              <w:t xml:space="preserve"> 2024; Chu 2026.</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66AC222" w14:textId="5176EAFA" w:rsidR="00CF0A7B" w:rsidRPr="00B55C6D" w:rsidRDefault="00B55C6D" w:rsidP="00B55C6D">
            <w:pPr>
              <w:rPr>
                <w:rFonts w:ascii="Times New Roman" w:hAnsi="Times New Roman" w:cs="Times New Roman"/>
                <w:kern w:val="0"/>
                <w:lang w:val="en-MX"/>
                <w14:ligatures w14:val="none"/>
              </w:rPr>
            </w:pPr>
            <w:r>
              <w:rPr>
                <w:rFonts w:ascii="Times New Roman" w:hAnsi="Times New Roman"/>
              </w:rPr>
              <w:t>PDS contextual material was retained only as contextual sustained-delivery background and was not assigned an umbrella-review evidence category.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8A64FB8" w14:textId="060B620D" w:rsidR="00CF0A7B" w:rsidRPr="00B55C6D" w:rsidRDefault="00B55C6D" w:rsidP="00B55C6D">
            <w:pPr>
              <w:rPr>
                <w:rFonts w:ascii="Times New Roman" w:hAnsi="Times New Roman" w:cs="Times New Roman"/>
                <w:kern w:val="0"/>
                <w14:ligatures w14:val="none"/>
              </w:rPr>
            </w:pPr>
            <w:r>
              <w:rPr>
                <w:rFonts w:ascii="Times New Roman" w:hAnsi="Times New Roman"/>
              </w:rPr>
              <w:t>Use only as contextual sustained-delivery background pending mature eligible DME/DR review-level synthesis.</w:t>
            </w:r>
          </w:p>
        </w:tc>
      </w:tr>
    </w:tbl>
    <w:p w14:paraId="4723F1F5" w14:textId="77777777" w:rsidR="00F64F84" w:rsidRDefault="00F64F84">
      <w:pPr>
        <w:spacing w:line="300" w:lineRule="atLeast"/>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This schematic is a compact phenotype-to-evidence aid and should be read with Tables S5, S7, and S8. Source Study IDs were aligned against </w:t>
      </w:r>
      <w:r>
        <w:rPr>
          <w:rFonts w:ascii="Times New Roman" w:hAnsi="Times New Roman"/>
          <w:i/>
          <w:iCs/>
          <w:color w:val="000000"/>
          <w:sz w:val="21"/>
          <w:szCs w:val="21"/>
        </w:rPr>
        <w:t>Supplementary_Data_File_2_Review_Extraction.xlsx</w:t>
      </w:r>
      <w:r>
        <w:rPr>
          <w:rFonts w:ascii="Times New Roman" w:hAnsi="Times New Roman"/>
          <w:color w:val="000000"/>
          <w:sz w:val="21"/>
          <w:szCs w:val="21"/>
        </w:rPr>
        <w:t>. PDS contextual material, including ClinicalTrials.gov trial-registry records, was retained only as contextual sustained-delivery background. PDS was not assigned an umbrella-review evidence category. PDS contextual material did not contribute to AMSTAR 2 ratings, CCA/wCCA calculations, evidence-category assignment, or the 50-review hierarchy unless review-level eligibility criteria were met.</w:t>
      </w:r>
    </w:p>
    <w:p w14:paraId="0B0B8632" w14:textId="10EA8186"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5427DF30"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S10. Detailed safety extraction and interpretation</w:t>
      </w:r>
    </w:p>
    <w:tbl>
      <w:tblPr>
        <w:tblStyle w:val="TableGrid"/>
        <w:tblW w:w="5000" w:type="pct"/>
        <w:tblLook w:val="04A0" w:firstRow="1" w:lastRow="0" w:firstColumn="1" w:lastColumn="0" w:noHBand="0" w:noVBand="1"/>
      </w:tblPr>
      <w:tblGrid>
        <w:gridCol w:w="2391"/>
        <w:gridCol w:w="1993"/>
        <w:gridCol w:w="2128"/>
        <w:gridCol w:w="2475"/>
      </w:tblGrid>
      <w:tr w:rsidR="00CF0A7B" w:rsidRPr="00767883" w14:paraId="52351EFA"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77022E4" w14:textId="77777777" w:rsidR="00CF0A7B" w:rsidRPr="00767883" w:rsidRDefault="00CF0A7B">
            <w:pPr>
              <w:jc w:val="center"/>
              <w:rPr>
                <w:rFonts w:ascii="Times New Roman" w:hAnsi="Times New Roman" w:cs="Times New Roman"/>
                <w:kern w:val="0"/>
                <w14:ligatures w14:val="none"/>
              </w:rPr>
            </w:pPr>
            <w:r w:rsidRPr="00767883">
              <w:rPr>
                <w:rFonts w:ascii="Times New Roman" w:hAnsi="Times New Roman" w:cs="Times New Roman"/>
                <w:b/>
                <w:bCs/>
              </w:rPr>
              <w:t>Safety domain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23F76D81"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Evidence basis / safety signal</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6630BE42"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Key uncertainty / caution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6FFE65B" w14:textId="77777777" w:rsidR="00CF0A7B" w:rsidRPr="00767883" w:rsidRDefault="00CF0A7B">
            <w:pPr>
              <w:jc w:val="center"/>
              <w:rPr>
                <w:rFonts w:ascii="Times New Roman" w:hAnsi="Times New Roman" w:cs="Times New Roman"/>
              </w:rPr>
            </w:pPr>
            <w:r w:rsidRPr="00767883">
              <w:rPr>
                <w:rFonts w:ascii="Times New Roman" w:hAnsi="Times New Roman" w:cs="Times New Roman"/>
                <w:b/>
                <w:bCs/>
              </w:rPr>
              <w:t>Interpretation / synthesis role</w:t>
            </w:r>
          </w:p>
        </w:tc>
      </w:tr>
      <w:tr w:rsidR="00CF0A7B" w:rsidRPr="00767883" w14:paraId="0C7AD63C"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AF248A4"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Systemic arterial thromboembolic events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BD9A408"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Anti-VEGF safety reviews were not consistently associated with increased stroke, </w:t>
            </w:r>
            <w:r w:rsidRPr="00767883">
              <w:rPr>
                <w:rFonts w:ascii="Times New Roman" w:hAnsi="Times New Roman" w:cs="Times New Roman"/>
              </w:rPr>
              <w:lastRenderedPageBreak/>
              <w:t>myocardial infarction, vascular death, or all-cause mortality.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7768254"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 xml:space="preserve">Rare events were underpowered, follow-up was limited, high-risk patients were </w:t>
            </w:r>
            <w:r w:rsidRPr="00767883">
              <w:rPr>
                <w:rFonts w:ascii="Times New Roman" w:hAnsi="Times New Roman" w:cs="Times New Roman"/>
              </w:rPr>
              <w:lastRenderedPageBreak/>
              <w:t>underrepresented, and trial pools overlapped.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8728590"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 xml:space="preserve">Supplementary evidence for safety interpretation in average-risk populations; not definitive reassurance </w:t>
            </w:r>
            <w:r w:rsidRPr="00767883">
              <w:rPr>
                <w:rFonts w:ascii="Times New Roman" w:hAnsi="Times New Roman" w:cs="Times New Roman"/>
              </w:rPr>
              <w:lastRenderedPageBreak/>
              <w:t>for high-risk vascular subgroups.</w:t>
            </w:r>
          </w:p>
        </w:tc>
      </w:tr>
      <w:tr w:rsidR="00CF0A7B" w:rsidRPr="00767883" w14:paraId="7DEA0F4A"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F796501"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Acute kidney injury and renal adverse events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F24D3D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Rare-event anti-VEGF reviews were not consistently associated with an overall increase in renal events.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2DEEDD0"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Renal outcomes were uncommon, inconsistently defined, and often not primary endpoints; advanced renal disease was underrepresented.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D562C30"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Renal comorbidity was treated as a clinical-context modifier, especially with chronic kidney disease or high cumulative exposure.</w:t>
            </w:r>
          </w:p>
        </w:tc>
      </w:tr>
      <w:tr w:rsidR="00CF0A7B" w:rsidRPr="00767883" w14:paraId="0BA91CEE"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75992A1"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Prolonged monthly anti-VEGF exposure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25AF0FE"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Prolonged-exposure analyses did not establish a definitive excess systemic risk.</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5DC3D8D"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Exposure duration, agent, comparator, baseline risk, and event definitions varied; rare events remained underpowered.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D323F08"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Interpret treatment intensity alongside vascular and renal risk rather than relying only on pooled average-risk estimates.</w:t>
            </w:r>
          </w:p>
        </w:tc>
      </w:tr>
      <w:tr w:rsidR="00CF0A7B" w:rsidRPr="00767883" w14:paraId="1E5247EF"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7728042" w14:textId="77777777" w:rsidR="00C0736E" w:rsidRDefault="00C0736E">
            <w:pPr>
              <w:rPr>
                <w:kern w:val="0"/>
                <w14:ligatures w14:val="none"/>
              </w:rPr>
            </w:pPr>
            <w:r>
              <w:rPr>
                <w:b/>
                <w:bCs/>
              </w:rPr>
              <w:t>Table S11. Detailed corrected covered area, exploratory weighted corrected covered area, and evidence-category implications by evidence domain.</w:t>
            </w:r>
            <w:r>
              <w:t xml:space="preserve"> This table reports the complete domain-specific overlap assessment, including standard CCA, exploratory wCCA, the main source of primary-study overlap, and how overlap informed evidence-category interpretation. CCA was the operative overlap metric and was calculated using the standard corrected covered area formula: CCA = (N − r) / (r × c − r), where N is the total number of review-by-primary-study occurrences, r is the </w:t>
            </w:r>
            <w:r>
              <w:lastRenderedPageBreak/>
              <w:t>number of unique primary-study clusters, and c is the number of eligible reviews in the evidence domain. wCCA was retained only as an exploratory AMSTAR 2–weighted sensitivity analysis to test whether review-level methodological weighting altered overlap interpretation; it did not change evidence-category assignments, primary interpretive-review selection, or decisions about avoiding de novo pooling where overlap or heterogeneity limited independent synthesis.</w:t>
            </w:r>
          </w:p>
          <w:p w14:paraId="51895B07" w14:textId="77777777" w:rsidR="00C0736E" w:rsidRDefault="00C0736E">
            <w:pPr>
              <w:rPr>
                <w:kern w:val="0"/>
                <w14:ligatures w14:val="none"/>
              </w:rPr>
            </w:pPr>
            <w:r>
              <w:rPr>
                <w:b/>
                <w:bCs/>
              </w:rPr>
              <w:t>Note on wCCA sensitivity analysis:</w:t>
            </w:r>
            <w:r>
              <w:t xml:space="preserve"> The exploratory AMSTAR 2–weighted CCA sensitivity analysis was used only to test whether accounting for review-level methodological confidence materially altered overlap interpretation. Across evidence domains, wCCA did not change evidence-category assignments, primary interpretive-review selection, or the decision to avoid de novo pooling where overlap or heterogeneity limited independent synthesis.</w:t>
            </w:r>
          </w:p>
          <w:p w14:paraId="71C79639" w14:textId="34D86B2B" w:rsidR="00CF0A7B" w:rsidRPr="00C0736E" w:rsidRDefault="00CF0A7B" w:rsidP="00C0736E">
            <w:pPr>
              <w:rPr>
                <w:rFonts w:ascii="Times New Roman" w:hAnsi="Times New Roman" w:cs="Times New Roman"/>
                <w:kern w:val="0"/>
                <w14:ligatures w14:val="none"/>
              </w:rPr>
            </w:pP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0DAF8A7"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Steroid and implant reviews consistently reported more IOP elevation, IOP-lowering medication, and cataract progression.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B81E088"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Risk varied by lens status, glaucoma risk, steroid response, implant exposure, retreatment interval, and monitoring access.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08F8E4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Steroid or implant evidence was interpreted alongside cataract, IOP, glaucoma risk, and monitoring capacity.</w:t>
            </w:r>
          </w:p>
        </w:tc>
      </w:tr>
      <w:tr w:rsidR="00CF0A7B" w:rsidRPr="00767883" w14:paraId="0816D2C0"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59E6541"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Combination-therapy safety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89F5441"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 xml:space="preserve">Safety concerns were mainly driven by steroid-containing </w:t>
            </w:r>
            <w:r w:rsidRPr="00767883">
              <w:rPr>
                <w:rFonts w:ascii="Times New Roman" w:hAnsi="Times New Roman" w:cs="Times New Roman"/>
              </w:rPr>
              <w:lastRenderedPageBreak/>
              <w:t>combinations; laser or PRP combinations added procedure-specific considerations.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370177B"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 xml:space="preserve">Combination definitions and adverse-event reporting were </w:t>
            </w:r>
            <w:r w:rsidRPr="00767883">
              <w:rPr>
                <w:rFonts w:ascii="Times New Roman" w:hAnsi="Times New Roman" w:cs="Times New Roman"/>
              </w:rPr>
              <w:lastRenderedPageBreak/>
              <w:t>inconsistent, and reviews reused overlapping trial sets.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E41A9AC"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 xml:space="preserve">Interpret anatomical gain alongside added ocular adverse-event and procedural risk; not </w:t>
            </w:r>
            <w:r w:rsidRPr="00767883">
              <w:rPr>
                <w:rFonts w:ascii="Times New Roman" w:hAnsi="Times New Roman" w:cs="Times New Roman"/>
              </w:rPr>
              <w:lastRenderedPageBreak/>
              <w:t>routine escalation evidence.</w:t>
            </w:r>
          </w:p>
        </w:tc>
      </w:tr>
      <w:tr w:rsidR="00CF0A7B" w:rsidRPr="00767883" w14:paraId="6AE957C7"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E9FCA1E"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lastRenderedPageBreak/>
              <w:t>Brolucizumab-related ocular inflammation and vasculitis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319CDD9"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Agent-specific reviews identified ocular inflammation, retinal vasculitis, or occlusive vasculitis as concerns, although event numbers were low.</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FFAB58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Rare-event detection was limited by trial size, follow-up duration, evolving definitions, and variable reporting.</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011EE22" w14:textId="77777777" w:rsidR="00CF0A7B" w:rsidRPr="00767883" w:rsidRDefault="00CF0A7B">
            <w:pPr>
              <w:spacing w:after="160"/>
              <w:rPr>
                <w:rFonts w:ascii="Times New Roman" w:hAnsi="Times New Roman" w:cs="Times New Roman"/>
              </w:rPr>
            </w:pPr>
            <w:r w:rsidRPr="00767883">
              <w:rPr>
                <w:rFonts w:ascii="Times New Roman" w:hAnsi="Times New Roman" w:cs="Times New Roman"/>
              </w:rPr>
              <w:t>Agent-specific safety consideration; this signal should not be generalized to all anti-VEGF agents.</w:t>
            </w:r>
          </w:p>
        </w:tc>
      </w:tr>
      <w:tr w:rsidR="00CF0A7B" w:rsidRPr="00767883" w14:paraId="161A39CE"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4D96DCC" w14:textId="730756A9" w:rsidR="00CF0A7B" w:rsidRPr="00767883" w:rsidRDefault="00767883" w:rsidP="00767883">
            <w:pPr>
              <w:rPr>
                <w:rFonts w:ascii="Times New Roman" w:hAnsi="Times New Roman" w:cs="Times New Roman"/>
                <w:kern w:val="0"/>
                <w14:ligatures w14:val="none"/>
              </w:rPr>
            </w:pPr>
            <w:r w:rsidRPr="00767883">
              <w:rPr>
                <w:rFonts w:ascii="Times New Roman" w:hAnsi="Times New Roman" w:cs="Times New Roman"/>
              </w:rPr>
              <w:t>PDS contextual material and device-specific safety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455F25D" w14:textId="52E37147" w:rsidR="00CF0A7B" w:rsidRPr="005C6648" w:rsidRDefault="005C6648" w:rsidP="005C6648">
            <w:pPr>
              <w:rPr>
                <w:rFonts w:ascii="Times New Roman" w:hAnsi="Times New Roman" w:cs="Times New Roman"/>
                <w:kern w:val="0"/>
                <w14:ligatures w14:val="none"/>
              </w:rPr>
            </w:pPr>
            <w:r>
              <w:rPr>
                <w:rFonts w:ascii="Times New Roman" w:hAnsi="Times New Roman"/>
              </w:rPr>
              <w:t>PDS contextual material, including ClinicalTrials.gov trial-registry records, provided sustained-delivery and device-specific safety context.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03FD006" w14:textId="58A9EFDA" w:rsidR="00CF0A7B" w:rsidRPr="00F64F84" w:rsidRDefault="00F64F84" w:rsidP="00F64F84">
            <w:pPr>
              <w:rPr>
                <w:rFonts w:ascii="Times New Roman" w:hAnsi="Times New Roman" w:cs="Times New Roman"/>
                <w:kern w:val="0"/>
                <w14:ligatures w14:val="none"/>
              </w:rPr>
            </w:pPr>
            <w:r>
              <w:rPr>
                <w:rFonts w:ascii="Times New Roman" w:hAnsi="Times New Roman"/>
              </w:rPr>
              <w:t>PDS contextual material included trial-based, registry-design, case-based, and ClinicalTrials.gov trial-registry records and lacked mature eligible DME/DR review-level synthesis at the final search date.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B1C41EF" w14:textId="711FAC0B" w:rsidR="00CF0A7B" w:rsidRPr="00F64F84" w:rsidRDefault="00F64F84" w:rsidP="00F64F84">
            <w:pPr>
              <w:rPr>
                <w:rFonts w:ascii="Times New Roman" w:hAnsi="Times New Roman" w:cs="Times New Roman"/>
                <w:kern w:val="0"/>
                <w14:ligatures w14:val="none"/>
              </w:rPr>
            </w:pPr>
            <w:r>
              <w:rPr>
                <w:rFonts w:ascii="Times New Roman" w:hAnsi="Times New Roman"/>
              </w:rPr>
              <w:t>PDS contextual material, including ClinicalTrials.gov trial-registry records, was retained only as contextual sustained-delivery background. PDS was not assigned an umbrella-review evidence category. PDS contextual material did not contribute to AMSTAR 2 ratings, CCA/wCCA calculations, evidence-category assignment, or the 50-review hierarchy.</w:t>
            </w:r>
          </w:p>
        </w:tc>
      </w:tr>
    </w:tbl>
    <w:p w14:paraId="6B4BA3FF" w14:textId="77777777" w:rsidR="005C6648" w:rsidRDefault="005C6648">
      <w:pPr>
        <w:spacing w:line="300" w:lineRule="atLeast"/>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This table separates systemic anti-VEGF safety, steroid or implant ocular safety, combination-therapy safety, agent-specific ocular safety, and PDS contextual material, including ClinicalTrials.gov trial-registry records, to avoid overstating cumulative certainty [19–21,23–25,36,37,53,59,60,67–69,71–73]. Source Study IDs by safety domain are: systemic arterial thromboembolic events, Avery &amp; Gordon 2015, Yanagida 2014, Virgili 2023, Wang 2022, and Krishnan 2026; acute kidney injury and renal adverse events, Tsao 2023; prolonged monthly anti-VEGF exposure, Avery &amp; Gordon 2015 and Yanagida 2014; steroid-related ocular safety, </w:t>
      </w:r>
      <w:proofErr w:type="spellStart"/>
      <w:r>
        <w:rPr>
          <w:rFonts w:ascii="Times New Roman" w:hAnsi="Times New Roman"/>
          <w:color w:val="000000"/>
          <w:sz w:val="21"/>
          <w:szCs w:val="21"/>
        </w:rPr>
        <w:t>Rittiphairoj</w:t>
      </w:r>
      <w:proofErr w:type="spellEnd"/>
      <w:r>
        <w:rPr>
          <w:rFonts w:ascii="Times New Roman" w:hAnsi="Times New Roman"/>
          <w:color w:val="000000"/>
          <w:sz w:val="21"/>
          <w:szCs w:val="21"/>
        </w:rPr>
        <w:t xml:space="preserve"> 2020, Xu et al. 2024, Chi 2023, Fallico 2021, </w:t>
      </w:r>
      <w:proofErr w:type="spellStart"/>
      <w:r>
        <w:rPr>
          <w:rFonts w:ascii="Times New Roman" w:hAnsi="Times New Roman"/>
          <w:color w:val="000000"/>
          <w:sz w:val="21"/>
          <w:szCs w:val="21"/>
        </w:rPr>
        <w:t>Kodjikian</w:t>
      </w:r>
      <w:proofErr w:type="spellEnd"/>
      <w:r>
        <w:rPr>
          <w:rFonts w:ascii="Times New Roman" w:hAnsi="Times New Roman"/>
          <w:color w:val="000000"/>
          <w:sz w:val="21"/>
          <w:szCs w:val="21"/>
        </w:rPr>
        <w:t xml:space="preserve"> 2021, Bucolo 2018, Cao 2025, Hu 2025, Karam 2025, Yuan 2022, and Zhou 2025; combination-therapy safety, Ma et al. 2024, Grad 2025, Yang 2025, Zhou 2025, and </w:t>
      </w:r>
      <w:proofErr w:type="spellStart"/>
      <w:r>
        <w:rPr>
          <w:rFonts w:ascii="Times New Roman" w:hAnsi="Times New Roman"/>
          <w:color w:val="000000"/>
          <w:sz w:val="21"/>
          <w:szCs w:val="21"/>
        </w:rPr>
        <w:t>Hatamnejad</w:t>
      </w:r>
      <w:proofErr w:type="spellEnd"/>
      <w:r>
        <w:rPr>
          <w:rFonts w:ascii="Times New Roman" w:hAnsi="Times New Roman"/>
          <w:color w:val="000000"/>
          <w:sz w:val="21"/>
          <w:szCs w:val="21"/>
        </w:rPr>
        <w:t xml:space="preserve"> 2024; brolucizumab-related ocular inflammation and vasculitis, Alali et al. 2025, Justino 2024, Sydnor 2023, and Krishnan 2026; PDS contextual material including ClinicalTrials.gov trial-registry records, PAGODA / Khanani 2025, PAVILION / Pieramici 2025, Holekamp 2024, VOYAGER / </w:t>
      </w:r>
      <w:proofErr w:type="spellStart"/>
      <w:r>
        <w:rPr>
          <w:rFonts w:ascii="Times New Roman" w:hAnsi="Times New Roman"/>
          <w:color w:val="000000"/>
          <w:sz w:val="21"/>
          <w:szCs w:val="21"/>
        </w:rPr>
        <w:t>Guymer</w:t>
      </w:r>
      <w:proofErr w:type="spellEnd"/>
      <w:r>
        <w:rPr>
          <w:rFonts w:ascii="Times New Roman" w:hAnsi="Times New Roman"/>
          <w:color w:val="000000"/>
          <w:sz w:val="21"/>
          <w:szCs w:val="21"/>
        </w:rPr>
        <w:t xml:space="preserve"> 2024, and Chu 2026.</w:t>
      </w:r>
    </w:p>
    <w:p w14:paraId="1E45CE6A" w14:textId="0F77B0B3"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770C8DA0"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Table S11. Detailed overlap, CCA, exploratory wCCA, and evidence-category implications</w:t>
      </w:r>
    </w:p>
    <w:tbl>
      <w:tblPr>
        <w:tblStyle w:val="TableGrid"/>
        <w:tblW w:w="5000" w:type="pct"/>
        <w:tblLook w:val="04A0" w:firstRow="1" w:lastRow="0" w:firstColumn="1" w:lastColumn="0" w:noHBand="0" w:noVBand="1"/>
      </w:tblPr>
      <w:tblGrid>
        <w:gridCol w:w="1705"/>
        <w:gridCol w:w="1724"/>
        <w:gridCol w:w="1914"/>
        <w:gridCol w:w="3644"/>
      </w:tblGrid>
      <w:tr w:rsidR="003D396E" w:rsidRPr="00767883" w14:paraId="76537D27"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73DB5205" w14:textId="77777777" w:rsidR="003D396E" w:rsidRPr="00767883" w:rsidRDefault="003D396E">
            <w:pPr>
              <w:jc w:val="center"/>
              <w:rPr>
                <w:rFonts w:ascii="Times New Roman" w:hAnsi="Times New Roman" w:cs="Times New Roman"/>
                <w:kern w:val="0"/>
                <w14:ligatures w14:val="none"/>
              </w:rPr>
            </w:pPr>
            <w:r w:rsidRPr="00767883">
              <w:rPr>
                <w:rFonts w:ascii="Times New Roman" w:hAnsi="Times New Roman" w:cs="Times New Roman"/>
                <w:b/>
                <w:bCs/>
              </w:rPr>
              <w:lastRenderedPageBreak/>
              <w:t>Evidence domain</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3FE6891F" w14:textId="63975184" w:rsidR="003D396E" w:rsidRPr="00B55C6D" w:rsidRDefault="00B55C6D" w:rsidP="00B55C6D">
            <w:pPr>
              <w:jc w:val="center"/>
              <w:rPr>
                <w:rFonts w:ascii="Times New Roman" w:hAnsi="Times New Roman" w:cs="Times New Roman"/>
                <w:kern w:val="0"/>
                <w14:ligatures w14:val="none"/>
              </w:rPr>
            </w:pPr>
            <w:r>
              <w:rPr>
                <w:rFonts w:ascii="Times New Roman" w:hAnsi="Times New Roman"/>
                <w:b/>
                <w:bCs/>
                <w:color w:val="000000"/>
              </w:rPr>
              <w:t>Overlap result / CCA and exploratory wCCA summary</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0A27351E" w14:textId="77777777" w:rsidR="003D396E" w:rsidRPr="00767883" w:rsidRDefault="003D396E">
            <w:pPr>
              <w:jc w:val="center"/>
              <w:rPr>
                <w:rFonts w:ascii="Times New Roman" w:hAnsi="Times New Roman" w:cs="Times New Roman"/>
              </w:rPr>
            </w:pPr>
            <w:r w:rsidRPr="00767883">
              <w:rPr>
                <w:rFonts w:ascii="Times New Roman" w:hAnsi="Times New Roman" w:cs="Times New Roman"/>
                <w:b/>
                <w:bCs/>
              </w:rPr>
              <w:t>Main overlap issue / source context</w:t>
            </w:r>
          </w:p>
        </w:tc>
        <w:tc>
          <w:tcPr>
            <w:tcW w:w="0" w:type="auto"/>
            <w:tcBorders>
              <w:top w:val="single" w:sz="6" w:space="0" w:color="A6A6A6"/>
              <w:left w:val="single" w:sz="6" w:space="0" w:color="A6A6A6"/>
              <w:bottom w:val="single" w:sz="6" w:space="0" w:color="A6A6A6"/>
              <w:right w:val="single" w:sz="6" w:space="0" w:color="A6A6A6"/>
            </w:tcBorders>
            <w:shd w:val="clear" w:color="auto" w:fill="F5F5F5"/>
            <w:tcMar>
              <w:top w:w="60" w:type="dxa"/>
              <w:left w:w="60" w:type="dxa"/>
              <w:bottom w:w="60" w:type="dxa"/>
              <w:right w:w="60" w:type="dxa"/>
            </w:tcMar>
            <w:hideMark/>
          </w:tcPr>
          <w:p w14:paraId="1D2D84FC" w14:textId="77777777" w:rsidR="003D396E" w:rsidRPr="00767883" w:rsidRDefault="003D396E">
            <w:pPr>
              <w:jc w:val="center"/>
              <w:rPr>
                <w:rFonts w:ascii="Times New Roman" w:hAnsi="Times New Roman" w:cs="Times New Roman"/>
              </w:rPr>
            </w:pPr>
            <w:r w:rsidRPr="00767883">
              <w:rPr>
                <w:rFonts w:ascii="Times New Roman" w:hAnsi="Times New Roman" w:cs="Times New Roman"/>
                <w:b/>
                <w:bCs/>
              </w:rPr>
              <w:t>Evidence category / synthesis implication</w:t>
            </w:r>
          </w:p>
        </w:tc>
      </w:tr>
      <w:tr w:rsidR="003D396E" w:rsidRPr="00767883" w14:paraId="4E341AF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BF5378D"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Overall umbrella-review evidence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9611C21"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Moderate overlap: CCA 6.5%; wCCA 5.4%.</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D80D3DC"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Shared anti-VEGF, steroid/implant, PDR, switching, safety, and real-world clusters.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24C8FC5" w14:textId="7BCB6976" w:rsidR="003D396E" w:rsidRPr="00B55C6D" w:rsidRDefault="00B55C6D" w:rsidP="00B55C6D">
            <w:pPr>
              <w:rPr>
                <w:rFonts w:ascii="Times New Roman" w:hAnsi="Times New Roman" w:cs="Times New Roman"/>
                <w:kern w:val="0"/>
                <w14:ligatures w14:val="none"/>
              </w:rPr>
            </w:pPr>
            <w:r>
              <w:rPr>
                <w:rFonts w:ascii="Times New Roman" w:hAnsi="Times New Roman"/>
              </w:rPr>
              <w:t>Review-level narrative synthesis was used. Global CCA was descriptive only; domain-specific CCA was the operative overlap measure.</w:t>
            </w:r>
          </w:p>
        </w:tc>
      </w:tr>
      <w:tr w:rsidR="003D396E" w:rsidRPr="00767883" w14:paraId="47EB66C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FFB1128"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Anti-VEGF therapy for CI-DME with visual impairment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DCE0872"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Very high overlap: CCA 17.5%; wCCA lower but still substantial.</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426B9E3"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Repeated major anti-VEGF trial programs and indirect-comparison networks.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CB5DCFB"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Strong evidence; higher-confidence Cochrane and NMA evidence served as primary interpretive evidence, and agent-specific reviews were used contextually.</w:t>
            </w:r>
          </w:p>
        </w:tc>
      </w:tr>
      <w:tr w:rsidR="003D396E" w:rsidRPr="00767883" w14:paraId="470C1AE2"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CD26863"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Persistent or refractory DME and switching therapy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1EFB691F"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High overlap: CCA 14.3%; wCCA attenuated but interpretation unchanged.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DFC84DB"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Overlapping conversion cohorts and refractory-DME series.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B81A10C"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Conditional evidence; narrative interpretation was used, and causal switching estimates were not pooled.</w:t>
            </w:r>
          </w:p>
        </w:tc>
      </w:tr>
      <w:tr w:rsidR="003D396E" w:rsidRPr="00767883" w14:paraId="08C4FC9C"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6701B8E"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Corticosteroids and implants in selected DME contexts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5DDED0F"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Very high overlap: CCA 17.1%; wCCA attenuated but redundancy remained.</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DDBFD17"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Repeated steroid trials, implant cohorts, and subgroup series.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B892E60"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Conditional evidence; higher-quality steroid evidence provided selected-context support, and repeated implant reviews were used contextually.</w:t>
            </w:r>
          </w:p>
        </w:tc>
      </w:tr>
      <w:tr w:rsidR="003D396E" w:rsidRPr="00767883" w14:paraId="68AC6371"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81B9729"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Combination therapy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582B2FF"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Very high overlap: CCA 17.1%; wCCA did not remove redundancy.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219B5D5"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Reused anti-VEGF, laser, steroid, implant, and PRP evidence.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F617402" w14:textId="760141F6" w:rsidR="003D396E" w:rsidRPr="000B329A" w:rsidRDefault="000B329A" w:rsidP="000B329A">
            <w:pPr>
              <w:rPr>
                <w:rFonts w:ascii="Times New Roman" w:hAnsi="Times New Roman" w:cs="Times New Roman"/>
                <w:kern w:val="0"/>
                <w14:ligatures w14:val="none"/>
              </w:rPr>
            </w:pPr>
            <w:r>
              <w:rPr>
                <w:rFonts w:ascii="Times New Roman" w:hAnsi="Times New Roman"/>
              </w:rPr>
              <w:t>Hypothesis-generating evidence; not independent corroboration.</w:t>
            </w:r>
          </w:p>
        </w:tc>
      </w:tr>
      <w:tr w:rsidR="003D396E" w:rsidRPr="00767883" w14:paraId="2FCC3E2F"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86FC36A"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NPDR/PDR disease-control strategies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2A8796C"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Very high overlap: CCA 19.6%; wCCA attenuated but remained substantial.</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446FBC1"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Repeated NPDR, PDR, PRP-comparator, adjunctive, and fenofibrate evidence.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234D496"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Conditional evidence; conclusions remained conditional because monitoring, retreatment, durability, and feasibility shape clinical usefulness.</w:t>
            </w:r>
          </w:p>
        </w:tc>
      </w:tr>
      <w:tr w:rsidR="003D396E" w:rsidRPr="00767883" w14:paraId="19C7D139"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97A53AF"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Systemic safety of intravitreal anti-VEGF therapy</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4E94CC5"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Very high overlap: CCA 22.2%; wCCA remained high.</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533067F"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Repeated anti-VEGF safety pools and prolonged-exposure datasets.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018D0364"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Supplementary evidence; repeated reviews did not upgrade safety certainty, and rare events and high-risk subgroups were interpreted cautiously.</w:t>
            </w:r>
          </w:p>
        </w:tc>
      </w:tr>
      <w:tr w:rsidR="003D396E" w:rsidRPr="00767883" w14:paraId="691C24C5"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21B22C89"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Real-world outcomes and treatment burden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B6344EB"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Moderate overlap: CCA 9.9%; wCCA similar in interpretation.</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3A57D5F5"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 xml:space="preserve">Overlapping registry, observational, treat-and-extend, and </w:t>
            </w:r>
            <w:r w:rsidRPr="00767883">
              <w:rPr>
                <w:rFonts w:ascii="Times New Roman" w:hAnsi="Times New Roman" w:cs="Times New Roman"/>
              </w:rPr>
              <w:lastRenderedPageBreak/>
              <w:t>injection-frequency studies.</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56B7ED6C" w14:textId="7D61029C" w:rsidR="003D396E" w:rsidRPr="00B55C6D" w:rsidRDefault="00B55C6D" w:rsidP="00B55C6D">
            <w:pPr>
              <w:rPr>
                <w:rFonts w:ascii="Times New Roman" w:hAnsi="Times New Roman" w:cs="Times New Roman"/>
                <w:kern w:val="0"/>
                <w14:ligatures w14:val="none"/>
              </w:rPr>
            </w:pPr>
            <w:r>
              <w:rPr>
                <w:rFonts w:ascii="Times New Roman" w:hAnsi="Times New Roman"/>
              </w:rPr>
              <w:lastRenderedPageBreak/>
              <w:t>Supplementary evidence; interpreted as external-validity and implementation context rather than independent comparative-efficacy evidence.</w:t>
            </w:r>
          </w:p>
        </w:tc>
      </w:tr>
      <w:tr w:rsidR="003D396E" w:rsidRPr="00767883" w14:paraId="6E0226FC" w14:textId="77777777">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77BB7FEA" w14:textId="249F691D" w:rsidR="003D396E" w:rsidRPr="00767883" w:rsidRDefault="00767883" w:rsidP="00767883">
            <w:pPr>
              <w:rPr>
                <w:rFonts w:ascii="Times New Roman" w:hAnsi="Times New Roman" w:cs="Times New Roman"/>
                <w:kern w:val="0"/>
                <w14:ligatures w14:val="none"/>
              </w:rPr>
            </w:pPr>
            <w:r w:rsidRPr="00767883">
              <w:rPr>
                <w:rFonts w:ascii="Times New Roman" w:hAnsi="Times New Roman" w:cs="Times New Roman"/>
              </w:rPr>
              <w:t>PDS contextual material and sustained-delivery context</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6F2738DA"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Not applicable to main CCA/wCCA.</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EBD0558" w14:textId="77777777" w:rsidR="003D396E" w:rsidRPr="00767883" w:rsidRDefault="003D396E">
            <w:pPr>
              <w:spacing w:after="160"/>
              <w:rPr>
                <w:rFonts w:ascii="Times New Roman" w:hAnsi="Times New Roman" w:cs="Times New Roman"/>
              </w:rPr>
            </w:pPr>
            <w:r w:rsidRPr="00767883">
              <w:rPr>
                <w:rFonts w:ascii="Times New Roman" w:hAnsi="Times New Roman" w:cs="Times New Roman"/>
              </w:rPr>
              <w:t>No mature eligible DME/DR review-level synthesis at final search date.</w:t>
            </w:r>
          </w:p>
        </w:tc>
        <w:tc>
          <w:tcPr>
            <w:tcW w:w="0" w:type="auto"/>
            <w:tcBorders>
              <w:top w:val="single" w:sz="6" w:space="0" w:color="A6A6A6"/>
              <w:left w:val="single" w:sz="6" w:space="0" w:color="A6A6A6"/>
              <w:bottom w:val="single" w:sz="6" w:space="0" w:color="A6A6A6"/>
              <w:right w:val="single" w:sz="6" w:space="0" w:color="A6A6A6"/>
            </w:tcBorders>
            <w:tcMar>
              <w:top w:w="60" w:type="dxa"/>
              <w:left w:w="60" w:type="dxa"/>
              <w:bottom w:w="60" w:type="dxa"/>
              <w:right w:w="60" w:type="dxa"/>
            </w:tcMar>
            <w:hideMark/>
          </w:tcPr>
          <w:p w14:paraId="4482EE70" w14:textId="402B5B7C" w:rsidR="003D396E" w:rsidRPr="00F64F84" w:rsidRDefault="00F64F84" w:rsidP="00F64F84">
            <w:pPr>
              <w:rPr>
                <w:rFonts w:ascii="Times New Roman" w:hAnsi="Times New Roman" w:cs="Times New Roman"/>
                <w:kern w:val="0"/>
                <w14:ligatures w14:val="none"/>
              </w:rPr>
            </w:pPr>
            <w:r>
              <w:rPr>
                <w:rFonts w:ascii="Times New Roman" w:hAnsi="Times New Roman"/>
              </w:rPr>
              <w:t>PDS contextual material, including ClinicalTrials.gov trial-registry records, was retained only as contextual sustained-delivery background. PDS was not assigned an umbrella-review evidence category. PDS contextual material did not contribute to AMSTAR 2 ratings, CCA/wCCA calculations, evidence-category assignment, or the 50-review hierarchy.</w:t>
            </w:r>
          </w:p>
        </w:tc>
      </w:tr>
    </w:tbl>
    <w:p w14:paraId="6CA9C830" w14:textId="77777777" w:rsidR="00B55C6D" w:rsidRDefault="00B55C6D">
      <w:pPr>
        <w:rPr>
          <w:kern w:val="0"/>
          <w14:ligatures w14:val="none"/>
        </w:rPr>
      </w:pPr>
      <w:r>
        <w:rPr>
          <w:rFonts w:ascii="Times New Roman" w:hAnsi="Times New Roman"/>
          <w:b/>
          <w:bCs/>
          <w:color w:val="000000"/>
          <w:sz w:val="21"/>
          <w:szCs w:val="21"/>
        </w:rPr>
        <w:t>Note:</w:t>
      </w:r>
      <w:r>
        <w:rPr>
          <w:rFonts w:ascii="Times New Roman" w:hAnsi="Times New Roman"/>
          <w:color w:val="000000"/>
          <w:sz w:val="21"/>
          <w:szCs w:val="21"/>
        </w:rPr>
        <w:t xml:space="preserve"> CCA was the primary overlap metric and was calculated using the standard corrected covered area formula: CCA = (N − r) / (r × c − r), where N is the total number of review-by-primary-study occurrences, r is the number of unique primary-study clusters, and c is the number of eligible reviews in the evidence domain. Domain-specific CCA was the operative overlap measure, whereas wCCA was retained only as an exploratory supplementary sensitivity analysis. The harmonized wCCA formula, AMSTAR 2 weights, unique-primary-study assumptions, and exact calculations are provided in </w:t>
      </w:r>
      <w:r>
        <w:rPr>
          <w:rFonts w:ascii="Times New Roman" w:hAnsi="Times New Roman"/>
          <w:i/>
          <w:iCs/>
          <w:color w:val="000000"/>
          <w:sz w:val="21"/>
          <w:szCs w:val="21"/>
        </w:rPr>
        <w:t>Supplementary_Data_File_6_CCA_wCCA_Calculations.xlsx</w:t>
      </w:r>
      <w:r>
        <w:rPr>
          <w:rFonts w:ascii="Times New Roman" w:hAnsi="Times New Roman"/>
          <w:color w:val="000000"/>
          <w:sz w:val="21"/>
          <w:szCs w:val="21"/>
        </w:rPr>
        <w:t xml:space="preserve">. wCCA did not change any evidence-category assignment. </w:t>
      </w:r>
      <w:proofErr w:type="gramStart"/>
      <w:r>
        <w:rPr>
          <w:rFonts w:ascii="Times New Roman" w:hAnsi="Times New Roman"/>
          <w:color w:val="000000"/>
          <w:sz w:val="21"/>
          <w:szCs w:val="21"/>
        </w:rPr>
        <w:t>No</w:t>
      </w:r>
      <w:proofErr w:type="gramEnd"/>
      <w:r>
        <w:rPr>
          <w:rFonts w:ascii="Times New Roman" w:hAnsi="Times New Roman"/>
          <w:color w:val="000000"/>
          <w:sz w:val="21"/>
          <w:szCs w:val="21"/>
        </w:rPr>
        <w:t xml:space="preserve"> de novo meta-analysis was performed when CCA was ≥10%, when two or more major trial programs or evidence domains reused the same evidence, or when outcome definitions, comparators, follow-up windows, or review quality made independent pooling unreliable. Source Study IDs by Table S11 overlap domain are: overall umbrella-review evidence, all 50 included review-level Study IDs in </w:t>
      </w:r>
      <w:r>
        <w:rPr>
          <w:rFonts w:ascii="Times New Roman" w:hAnsi="Times New Roman"/>
          <w:i/>
          <w:iCs/>
          <w:color w:val="000000"/>
          <w:sz w:val="21"/>
          <w:szCs w:val="21"/>
        </w:rPr>
        <w:t>Supplementary_Data_File_2_Review_Extraction.xlsx</w:t>
      </w:r>
      <w:r>
        <w:rPr>
          <w:rFonts w:ascii="Times New Roman" w:hAnsi="Times New Roman"/>
          <w:color w:val="000000"/>
          <w:sz w:val="21"/>
          <w:szCs w:val="21"/>
        </w:rPr>
        <w:t xml:space="preserve">; anti-VEGF CI-DME, Virgili 2023, Wang 2022, Sydnor 2023, Justino 2024, Li et al. 2023, </w:t>
      </w:r>
      <w:proofErr w:type="spellStart"/>
      <w:r>
        <w:rPr>
          <w:rFonts w:ascii="Times New Roman" w:hAnsi="Times New Roman"/>
          <w:color w:val="000000"/>
          <w:sz w:val="21"/>
          <w:szCs w:val="21"/>
        </w:rPr>
        <w:t>Santhakumaran</w:t>
      </w:r>
      <w:proofErr w:type="spellEnd"/>
      <w:r>
        <w:rPr>
          <w:rFonts w:ascii="Times New Roman" w:hAnsi="Times New Roman"/>
          <w:color w:val="000000"/>
          <w:sz w:val="21"/>
          <w:szCs w:val="21"/>
        </w:rPr>
        <w:t xml:space="preserve"> et al. 2022, Chen J 2023, Chen L 2025, Friedman 2025, Falcão 2020, and Krishnan 2026; persistent/refractory switching, Liu 2020, Xiao 2020, </w:t>
      </w:r>
      <w:proofErr w:type="spellStart"/>
      <w:r>
        <w:rPr>
          <w:rFonts w:ascii="Times New Roman" w:hAnsi="Times New Roman"/>
          <w:color w:val="000000"/>
          <w:sz w:val="21"/>
          <w:szCs w:val="21"/>
        </w:rPr>
        <w:t>Madjedi</w:t>
      </w:r>
      <w:proofErr w:type="spellEnd"/>
      <w:r>
        <w:rPr>
          <w:rFonts w:ascii="Times New Roman" w:hAnsi="Times New Roman"/>
          <w:color w:val="000000"/>
          <w:sz w:val="21"/>
          <w:szCs w:val="21"/>
        </w:rPr>
        <w:t xml:space="preserve"> 2022, Tahmasebi 2025, Cao 2025, Xu et al. 2024, Nasimi 2024, and </w:t>
      </w:r>
      <w:proofErr w:type="spellStart"/>
      <w:r>
        <w:rPr>
          <w:rFonts w:ascii="Times New Roman" w:hAnsi="Times New Roman"/>
          <w:color w:val="000000"/>
          <w:sz w:val="21"/>
          <w:szCs w:val="21"/>
        </w:rPr>
        <w:t>Hatamnejad</w:t>
      </w:r>
      <w:proofErr w:type="spellEnd"/>
      <w:r>
        <w:rPr>
          <w:rFonts w:ascii="Times New Roman" w:hAnsi="Times New Roman"/>
          <w:color w:val="000000"/>
          <w:sz w:val="21"/>
          <w:szCs w:val="21"/>
        </w:rPr>
        <w:t xml:space="preserve"> 2024; corticosteroids/implants, </w:t>
      </w:r>
      <w:proofErr w:type="spellStart"/>
      <w:r>
        <w:rPr>
          <w:rFonts w:ascii="Times New Roman" w:hAnsi="Times New Roman"/>
          <w:color w:val="000000"/>
          <w:sz w:val="21"/>
          <w:szCs w:val="21"/>
        </w:rPr>
        <w:t>Rittiphairoj</w:t>
      </w:r>
      <w:proofErr w:type="spellEnd"/>
      <w:r>
        <w:rPr>
          <w:rFonts w:ascii="Times New Roman" w:hAnsi="Times New Roman"/>
          <w:color w:val="000000"/>
          <w:sz w:val="21"/>
          <w:szCs w:val="21"/>
        </w:rPr>
        <w:t xml:space="preserve"> 2020, Xu et al. 2024, Ma et al. 2024, Chi 2023, Fallico 2021, </w:t>
      </w:r>
      <w:proofErr w:type="spellStart"/>
      <w:r>
        <w:rPr>
          <w:rFonts w:ascii="Times New Roman" w:hAnsi="Times New Roman"/>
          <w:color w:val="000000"/>
          <w:sz w:val="21"/>
          <w:szCs w:val="21"/>
        </w:rPr>
        <w:t>Kodjikian</w:t>
      </w:r>
      <w:proofErr w:type="spellEnd"/>
      <w:r>
        <w:rPr>
          <w:rFonts w:ascii="Times New Roman" w:hAnsi="Times New Roman"/>
          <w:color w:val="000000"/>
          <w:sz w:val="21"/>
          <w:szCs w:val="21"/>
        </w:rPr>
        <w:t xml:space="preserve"> 2021, Bucolo 2018, Cao 2025, Hu 2025, Karam 2025, and Yuan 2022; combination therapy, Ma et al. 2024, Grad 2025, Yang 2025, Zhou 2025, </w:t>
      </w:r>
      <w:proofErr w:type="spellStart"/>
      <w:r>
        <w:rPr>
          <w:rFonts w:ascii="Times New Roman" w:hAnsi="Times New Roman"/>
          <w:color w:val="000000"/>
          <w:sz w:val="21"/>
          <w:szCs w:val="21"/>
        </w:rPr>
        <w:t>Hatamnejad</w:t>
      </w:r>
      <w:proofErr w:type="spellEnd"/>
      <w:r>
        <w:rPr>
          <w:rFonts w:ascii="Times New Roman" w:hAnsi="Times New Roman"/>
          <w:color w:val="000000"/>
          <w:sz w:val="21"/>
          <w:szCs w:val="21"/>
        </w:rPr>
        <w:t xml:space="preserve"> 2024, Chen J 2023, Chen L 2025, and Fu et al. 2023; NPDR/PDR disease control, Simmonds 2025, Chaudhary 2023, Chen K-Y et al. 2025, Fu et al. 2023, Zhang 2021, Song 2025, Kataoka 2023, and Thagaard 2022; systemic safety, Avery &amp; Gordon 2015, Yanagida 2014, Tsao 2023, Virgili 2023, and Krishnan 2026; real-world/burden, </w:t>
      </w:r>
      <w:proofErr w:type="spellStart"/>
      <w:r>
        <w:rPr>
          <w:rFonts w:ascii="Times New Roman" w:hAnsi="Times New Roman"/>
          <w:color w:val="000000"/>
          <w:sz w:val="21"/>
          <w:szCs w:val="21"/>
        </w:rPr>
        <w:t>Santhakumaran</w:t>
      </w:r>
      <w:proofErr w:type="spellEnd"/>
      <w:r>
        <w:rPr>
          <w:rFonts w:ascii="Times New Roman" w:hAnsi="Times New Roman"/>
          <w:color w:val="000000"/>
          <w:sz w:val="21"/>
          <w:szCs w:val="21"/>
        </w:rPr>
        <w:t xml:space="preserve"> et al. 2022, </w:t>
      </w:r>
      <w:proofErr w:type="spellStart"/>
      <w:r>
        <w:rPr>
          <w:rFonts w:ascii="Times New Roman" w:hAnsi="Times New Roman"/>
          <w:color w:val="000000"/>
          <w:sz w:val="21"/>
          <w:szCs w:val="21"/>
        </w:rPr>
        <w:t>Sarohia</w:t>
      </w:r>
      <w:proofErr w:type="spellEnd"/>
      <w:r>
        <w:rPr>
          <w:rFonts w:ascii="Times New Roman" w:hAnsi="Times New Roman"/>
          <w:color w:val="000000"/>
          <w:sz w:val="21"/>
          <w:szCs w:val="21"/>
        </w:rPr>
        <w:t xml:space="preserve"> et al. 2022, Falcão 2020, Lim 2022, Mehta 2022, Bucolo 2018, Fallico 2021, </w:t>
      </w:r>
      <w:proofErr w:type="spellStart"/>
      <w:r>
        <w:rPr>
          <w:rFonts w:ascii="Times New Roman" w:hAnsi="Times New Roman"/>
          <w:color w:val="000000"/>
          <w:sz w:val="21"/>
          <w:szCs w:val="21"/>
        </w:rPr>
        <w:t>Kodjikian</w:t>
      </w:r>
      <w:proofErr w:type="spellEnd"/>
      <w:r>
        <w:rPr>
          <w:rFonts w:ascii="Times New Roman" w:hAnsi="Times New Roman"/>
          <w:color w:val="000000"/>
          <w:sz w:val="21"/>
          <w:szCs w:val="21"/>
        </w:rPr>
        <w:t xml:space="preserve"> 2021, Nasimi 2024, and Friedman 2025; PDS contextual material, PAGODA / Khanani 2025, PAVILION / Pieramici 2025, Holekamp 2024, VOYAGER / </w:t>
      </w:r>
      <w:proofErr w:type="spellStart"/>
      <w:r>
        <w:rPr>
          <w:rFonts w:ascii="Times New Roman" w:hAnsi="Times New Roman"/>
          <w:color w:val="000000"/>
          <w:sz w:val="21"/>
          <w:szCs w:val="21"/>
        </w:rPr>
        <w:t>Guymer</w:t>
      </w:r>
      <w:proofErr w:type="spellEnd"/>
      <w:r>
        <w:rPr>
          <w:rFonts w:ascii="Times New Roman" w:hAnsi="Times New Roman"/>
          <w:color w:val="000000"/>
          <w:sz w:val="21"/>
          <w:szCs w:val="21"/>
        </w:rPr>
        <w:t xml:space="preserve"> 2024, and Chu 2026.</w:t>
      </w:r>
    </w:p>
    <w:p w14:paraId="053E1160" w14:textId="7DC26D49" w:rsidR="00F671DE" w:rsidRPr="00767883" w:rsidRDefault="00F671DE" w:rsidP="00F671DE">
      <w:pPr>
        <w:spacing w:after="0" w:line="300" w:lineRule="atLeast"/>
        <w:rPr>
          <w:rFonts w:ascii="Times New Roman" w:eastAsia="Times New Roman" w:hAnsi="Times New Roman" w:cs="Times New Roman"/>
          <w:color w:val="000000"/>
          <w:kern w:val="0"/>
          <w:sz w:val="21"/>
          <w:szCs w:val="21"/>
          <w:lang w:val="en-MX"/>
          <w14:ligatures w14:val="none"/>
        </w:rPr>
      </w:pPr>
    </w:p>
    <w:p w14:paraId="392D3BDC" w14:textId="77777777" w:rsidR="00F671DE" w:rsidRPr="00767883" w:rsidRDefault="00F671DE" w:rsidP="00F671DE">
      <w:pPr>
        <w:spacing w:before="100" w:beforeAutospacing="1" w:after="100" w:afterAutospacing="1" w:line="300" w:lineRule="atLeast"/>
        <w:outlineLvl w:val="1"/>
        <w:rPr>
          <w:rFonts w:ascii="Times New Roman" w:eastAsia="Times New Roman" w:hAnsi="Times New Roman" w:cs="Times New Roman"/>
          <w:b/>
          <w:bCs/>
          <w:color w:val="000000"/>
          <w:kern w:val="0"/>
          <w:sz w:val="36"/>
          <w:szCs w:val="36"/>
          <w:lang w:val="en-MX"/>
          <w14:ligatures w14:val="none"/>
        </w:rPr>
      </w:pPr>
      <w:r w:rsidRPr="00767883">
        <w:rPr>
          <w:rFonts w:ascii="Times New Roman" w:eastAsia="Times New Roman" w:hAnsi="Times New Roman" w:cs="Times New Roman"/>
          <w:b/>
          <w:bCs/>
          <w:color w:val="000000"/>
          <w:kern w:val="0"/>
          <w:sz w:val="36"/>
          <w:szCs w:val="36"/>
          <w:lang w:val="en-MX"/>
          <w14:ligatures w14:val="none"/>
        </w:rPr>
        <w:t>Supplementary AMSTAR 2 and wCCA audit note</w:t>
      </w:r>
    </w:p>
    <w:p w14:paraId="2DEF83CE" w14:textId="77777777" w:rsidR="00B55C6D" w:rsidRDefault="00B55C6D">
      <w:pPr>
        <w:spacing w:line="300" w:lineRule="atLeast"/>
        <w:rPr>
          <w:kern w:val="0"/>
          <w14:ligatures w14:val="none"/>
        </w:rPr>
      </w:pPr>
      <w:r>
        <w:rPr>
          <w:rFonts w:ascii="Times New Roman" w:hAnsi="Times New Roman"/>
          <w:i/>
          <w:iCs/>
          <w:color w:val="000000"/>
          <w:sz w:val="21"/>
          <w:szCs w:val="21"/>
        </w:rPr>
        <w:t>Supplementary_Data_File_3_AMSTAR2_Item_Level_Ratings.xlsx</w:t>
      </w:r>
      <w:r>
        <w:rPr>
          <w:rFonts w:ascii="Times New Roman" w:hAnsi="Times New Roman"/>
          <w:color w:val="000000"/>
          <w:sz w:val="21"/>
          <w:szCs w:val="21"/>
        </w:rPr>
        <w:t xml:space="preserve"> contains item-level AMSTAR 2 assessments for each included review, the overall AMSTAR 2 confidence rating, and critical-domain deficiencies. </w:t>
      </w:r>
      <w:r>
        <w:rPr>
          <w:rFonts w:ascii="Times New Roman" w:hAnsi="Times New Roman"/>
          <w:i/>
          <w:iCs/>
          <w:color w:val="000000"/>
          <w:sz w:val="21"/>
          <w:szCs w:val="21"/>
        </w:rPr>
        <w:t>Supplementary_Data_File_4_Reviewer_Agreement_Conflict_Resolution.xlsx</w:t>
      </w:r>
      <w:r>
        <w:rPr>
          <w:rFonts w:ascii="Times New Roman" w:hAnsi="Times New Roman"/>
          <w:color w:val="000000"/>
          <w:sz w:val="21"/>
          <w:szCs w:val="21"/>
        </w:rPr>
        <w:t xml:space="preserve"> contains reviewer agreement/disagreement flags and conflict-resolution notes.</w:t>
      </w:r>
    </w:p>
    <w:p w14:paraId="72E8E3B9" w14:textId="77777777" w:rsidR="004538C9" w:rsidRPr="00767883" w:rsidRDefault="00041F54" w:rsidP="00896F8D">
      <w:pPr>
        <w:rPr>
          <w:rFonts w:ascii="Times New Roman" w:hAnsi="Times New Roman" w:cs="Times New Roman"/>
          <w:lang w:val="en-MX"/>
        </w:rPr>
      </w:pPr>
      <w:r w:rsidRPr="00767883">
        <w:rPr>
          <w:rFonts w:ascii="Times New Roman" w:hAnsi="Times New Roman" w:cs="Times New Roman"/>
          <w:b/>
          <w:bCs/>
          <w:color w:val="000000"/>
          <w:sz w:val="21"/>
          <w:szCs w:val="21"/>
        </w:rPr>
        <w:lastRenderedPageBreak/>
        <w:t>CCA and wCCA formulas and weights:</w:t>
      </w:r>
      <w:r w:rsidRPr="00767883">
        <w:rPr>
          <w:rFonts w:ascii="Times New Roman" w:hAnsi="Times New Roman" w:cs="Times New Roman"/>
          <w:color w:val="000000"/>
          <w:sz w:val="21"/>
          <w:szCs w:val="21"/>
        </w:rPr>
        <w:t xml:space="preserve"> For each evidence domain, standard CCA was calculated as CCA = (N − r) / (r × c − r), where N is the total number of review-by-primary-study occurrences, r is the number of unique primary-study clusters, and c is the number of eligible reviews contributing to the domain. The exploratory weighted corrected covered area was calculated as wCCA = (</w:t>
      </w:r>
      <w:proofErr w:type="spellStart"/>
      <w:r w:rsidRPr="00767883">
        <w:rPr>
          <w:rFonts w:ascii="Times New Roman" w:hAnsi="Times New Roman" w:cs="Times New Roman"/>
          <w:color w:val="000000"/>
          <w:sz w:val="21"/>
          <w:szCs w:val="21"/>
        </w:rPr>
        <w:t>Σw</w:t>
      </w:r>
      <w:r w:rsidRPr="00767883">
        <w:rPr>
          <w:rFonts w:ascii="Times New Roman" w:hAnsi="Times New Roman" w:cs="Times New Roman"/>
          <w:color w:val="000000"/>
          <w:sz w:val="21"/>
          <w:szCs w:val="21"/>
          <w:vertAlign w:val="subscript"/>
        </w:rPr>
        <w:t>ij</w:t>
      </w:r>
      <w:proofErr w:type="spellEnd"/>
      <w:r w:rsidRPr="00767883">
        <w:rPr>
          <w:rFonts w:ascii="Times New Roman" w:hAnsi="Times New Roman" w:cs="Times New Roman"/>
          <w:color w:val="000000"/>
          <w:sz w:val="21"/>
          <w:szCs w:val="21"/>
        </w:rPr>
        <w:t xml:space="preserve"> − </w:t>
      </w:r>
      <w:proofErr w:type="spellStart"/>
      <w:r w:rsidRPr="00767883">
        <w:rPr>
          <w:rFonts w:ascii="Times New Roman" w:hAnsi="Times New Roman" w:cs="Times New Roman"/>
          <w:color w:val="000000"/>
          <w:sz w:val="21"/>
          <w:szCs w:val="21"/>
        </w:rPr>
        <w:t>Σw</w:t>
      </w:r>
      <w:r w:rsidRPr="00767883">
        <w:rPr>
          <w:rFonts w:ascii="Times New Roman" w:hAnsi="Times New Roman" w:cs="Times New Roman"/>
          <w:color w:val="000000"/>
          <w:sz w:val="21"/>
          <w:szCs w:val="21"/>
          <w:vertAlign w:val="subscript"/>
        </w:rPr>
        <w:t>u</w:t>
      </w:r>
      <w:proofErr w:type="spellEnd"/>
      <w:r w:rsidRPr="00767883">
        <w:rPr>
          <w:rFonts w:ascii="Times New Roman" w:hAnsi="Times New Roman" w:cs="Times New Roman"/>
          <w:color w:val="000000"/>
          <w:sz w:val="21"/>
          <w:szCs w:val="21"/>
        </w:rPr>
        <w:t xml:space="preserve">) / ((c − 1) × </w:t>
      </w:r>
      <w:proofErr w:type="spellStart"/>
      <w:r w:rsidRPr="00767883">
        <w:rPr>
          <w:rFonts w:ascii="Times New Roman" w:hAnsi="Times New Roman" w:cs="Times New Roman"/>
          <w:color w:val="000000"/>
          <w:sz w:val="21"/>
          <w:szCs w:val="21"/>
        </w:rPr>
        <w:t>Σw</w:t>
      </w:r>
      <w:r w:rsidRPr="00767883">
        <w:rPr>
          <w:rFonts w:ascii="Times New Roman" w:hAnsi="Times New Roman" w:cs="Times New Roman"/>
          <w:color w:val="000000"/>
          <w:sz w:val="21"/>
          <w:szCs w:val="21"/>
          <w:vertAlign w:val="subscript"/>
        </w:rPr>
        <w:t>u</w:t>
      </w:r>
      <w:proofErr w:type="spellEnd"/>
      <w:r w:rsidRPr="00767883">
        <w:rPr>
          <w:rFonts w:ascii="Times New Roman" w:hAnsi="Times New Roman" w:cs="Times New Roman"/>
          <w:color w:val="000000"/>
          <w:sz w:val="21"/>
          <w:szCs w:val="21"/>
        </w:rPr>
        <w:t xml:space="preserve">), where </w:t>
      </w:r>
      <w:proofErr w:type="spellStart"/>
      <w:r w:rsidRPr="00767883">
        <w:rPr>
          <w:rFonts w:ascii="Times New Roman" w:hAnsi="Times New Roman" w:cs="Times New Roman"/>
          <w:color w:val="000000"/>
          <w:sz w:val="21"/>
          <w:szCs w:val="21"/>
        </w:rPr>
        <w:t>Σw</w:t>
      </w:r>
      <w:r w:rsidRPr="00767883">
        <w:rPr>
          <w:rFonts w:ascii="Times New Roman" w:hAnsi="Times New Roman" w:cs="Times New Roman"/>
          <w:color w:val="000000"/>
          <w:sz w:val="21"/>
          <w:szCs w:val="21"/>
          <w:vertAlign w:val="subscript"/>
        </w:rPr>
        <w:t>ij</w:t>
      </w:r>
      <w:proofErr w:type="spellEnd"/>
      <w:r w:rsidRPr="00767883">
        <w:rPr>
          <w:rFonts w:ascii="Times New Roman" w:hAnsi="Times New Roman" w:cs="Times New Roman"/>
          <w:color w:val="000000"/>
          <w:sz w:val="21"/>
          <w:szCs w:val="21"/>
        </w:rPr>
        <w:t xml:space="preserve"> is the sum of AMSTAR 2 weights across all review-by-primary-study occurrences, </w:t>
      </w:r>
      <w:proofErr w:type="spellStart"/>
      <w:r w:rsidRPr="00767883">
        <w:rPr>
          <w:rFonts w:ascii="Times New Roman" w:hAnsi="Times New Roman" w:cs="Times New Roman"/>
          <w:color w:val="000000"/>
          <w:sz w:val="21"/>
          <w:szCs w:val="21"/>
        </w:rPr>
        <w:t>Σw</w:t>
      </w:r>
      <w:r w:rsidRPr="00767883">
        <w:rPr>
          <w:rFonts w:ascii="Times New Roman" w:hAnsi="Times New Roman" w:cs="Times New Roman"/>
          <w:color w:val="000000"/>
          <w:sz w:val="21"/>
          <w:szCs w:val="21"/>
          <w:vertAlign w:val="subscript"/>
        </w:rPr>
        <w:t>u</w:t>
      </w:r>
      <w:proofErr w:type="spellEnd"/>
      <w:r w:rsidRPr="00767883">
        <w:rPr>
          <w:rFonts w:ascii="Times New Roman" w:hAnsi="Times New Roman" w:cs="Times New Roman"/>
          <w:color w:val="000000"/>
          <w:sz w:val="21"/>
          <w:szCs w:val="21"/>
        </w:rPr>
        <w:t xml:space="preserve"> is the sum of weights for unique primary-study clusters represented at least once, and c is the number of eligible reviews contributing to the domain. Review occurrences were weighted by overall AMSTAR 2 confidence as follows: high = 1.00, moderate = 0.75, low = 0.50, and critically low = 0.25.</w:t>
      </w:r>
    </w:p>
    <w:p w14:paraId="636755C8" w14:textId="77777777" w:rsidR="00803A30" w:rsidRPr="00767883" w:rsidRDefault="00803A30">
      <w:pPr>
        <w:rPr>
          <w:rFonts w:ascii="Times New Roman" w:hAnsi="Times New Roman" w:cs="Times New Roman"/>
          <w:kern w:val="0"/>
          <w14:ligatures w14:val="none"/>
        </w:rPr>
      </w:pPr>
      <w:r w:rsidRPr="00767883">
        <w:rPr>
          <w:rFonts w:ascii="Times New Roman" w:hAnsi="Times New Roman" w:cs="Times New Roman"/>
          <w:color w:val="000000"/>
          <w:sz w:val="21"/>
          <w:szCs w:val="21"/>
        </w:rPr>
        <w:t>For the unique-primary-study term, each primary-study cluster contributed the highest applicable AMSTAR 2 weight among reviews containing that cluster, preventing lower-confidence duplicate occurrences from increasing the denominator more than once. Linked reports from the same trial program or cohort were treated as a single primary-study cluster when calculating both CCA and wCCA.</w:t>
      </w:r>
    </w:p>
    <w:p w14:paraId="61F068EC" w14:textId="77777777" w:rsidR="004538C9" w:rsidRPr="00767883" w:rsidRDefault="00000000" w:rsidP="00E65B87">
      <w:pPr>
        <w:rPr>
          <w:rFonts w:ascii="Times New Roman" w:hAnsi="Times New Roman" w:cs="Times New Roman"/>
          <w:lang w:val="en-MX"/>
        </w:rPr>
      </w:pPr>
      <w:r w:rsidRPr="00767883">
        <w:rPr>
          <w:rFonts w:ascii="Times New Roman" w:hAnsi="Times New Roman" w:cs="Times New Roman"/>
          <w:color w:val="000000"/>
          <w:sz w:val="21"/>
          <w:szCs w:val="21"/>
        </w:rPr>
        <w:t xml:space="preserve">Conceptually, CCA quantifies the extent to which primary-study evidence is reused across reviews within an evidence domain, whereas wCCA evaluates whether the overlap interpretation changes after assigning greater influence to reviews with higher AMSTAR 2 confidence. </w:t>
      </w:r>
      <w:r w:rsidR="00C863A2" w:rsidRPr="00767883">
        <w:rPr>
          <w:rFonts w:ascii="Times New Roman" w:hAnsi="Times New Roman" w:cs="Times New Roman"/>
          <w:color w:val="000000"/>
          <w:sz w:val="21"/>
          <w:szCs w:val="21"/>
        </w:rPr>
        <w:t>wCCA</w:t>
      </w:r>
      <w:r w:rsidRPr="00767883">
        <w:rPr>
          <w:rFonts w:ascii="Times New Roman" w:eastAsia="Times New Roman" w:hAnsi="Times New Roman" w:cs="Times New Roman"/>
          <w:color w:val="000000"/>
          <w:kern w:val="0"/>
          <w:sz w:val="21"/>
          <w:szCs w:val="21"/>
          <w:lang w:val="en-MX"/>
          <w14:ligatures w14:val="none"/>
        </w:rPr>
        <w:t xml:space="preserve"> was retained only as </w:t>
      </w:r>
      <w:r w:rsidR="00C863A2" w:rsidRPr="00767883">
        <w:rPr>
          <w:rFonts w:ascii="Times New Roman" w:hAnsi="Times New Roman" w:cs="Times New Roman"/>
          <w:color w:val="000000"/>
          <w:sz w:val="21"/>
          <w:szCs w:val="21"/>
        </w:rPr>
        <w:t xml:space="preserve">an exploratory </w:t>
      </w:r>
      <w:r w:rsidRPr="00767883">
        <w:rPr>
          <w:rFonts w:ascii="Times New Roman" w:eastAsia="Times New Roman" w:hAnsi="Times New Roman" w:cs="Times New Roman"/>
          <w:color w:val="000000"/>
          <w:kern w:val="0"/>
          <w:sz w:val="21"/>
          <w:szCs w:val="21"/>
          <w:lang w:val="en-MX"/>
          <w14:ligatures w14:val="none"/>
        </w:rPr>
        <w:t>supplementary sensitivity analysis. Review occurrences were weighted pragmatically by AMSTAR 2 confidence</w:t>
      </w:r>
      <w:r w:rsidRPr="00767883">
        <w:rPr>
          <w:rFonts w:ascii="Times New Roman" w:hAnsi="Times New Roman" w:cs="Times New Roman"/>
          <w:color w:val="000000"/>
          <w:sz w:val="21"/>
          <w:szCs w:val="21"/>
        </w:rPr>
        <w:t xml:space="preserve"> using the prespecified</w:t>
      </w:r>
      <w:r w:rsidRPr="00767883">
        <w:rPr>
          <w:rFonts w:ascii="Times New Roman" w:eastAsia="Times New Roman" w:hAnsi="Times New Roman" w:cs="Times New Roman"/>
          <w:color w:val="000000"/>
          <w:kern w:val="0"/>
          <w:sz w:val="21"/>
          <w:szCs w:val="21"/>
          <w:lang w:val="en-MX"/>
          <w14:ligatures w14:val="none"/>
        </w:rPr>
        <w:t xml:space="preserve"> weights </w:t>
      </w:r>
      <w:r w:rsidRPr="00767883">
        <w:rPr>
          <w:rFonts w:ascii="Times New Roman" w:hAnsi="Times New Roman" w:cs="Times New Roman"/>
          <w:color w:val="000000"/>
          <w:sz w:val="21"/>
          <w:szCs w:val="21"/>
        </w:rPr>
        <w:t>above</w:t>
      </w:r>
      <w:r w:rsidRPr="00767883">
        <w:rPr>
          <w:rFonts w:ascii="Times New Roman" w:eastAsia="Times New Roman" w:hAnsi="Times New Roman" w:cs="Times New Roman"/>
          <w:color w:val="000000"/>
          <w:kern w:val="0"/>
          <w:sz w:val="21"/>
          <w:szCs w:val="21"/>
          <w:lang w:val="en-MX"/>
          <w14:ligatures w14:val="none"/>
        </w:rPr>
        <w:t xml:space="preserve"> before recalculating the covered-area estimate. Because these weights are not externally validated and did not change any evidence-category </w:t>
      </w:r>
      <w:r w:rsidR="00C863A2" w:rsidRPr="00767883">
        <w:rPr>
          <w:rFonts w:ascii="Times New Roman" w:hAnsi="Times New Roman" w:cs="Times New Roman"/>
          <w:color w:val="000000"/>
          <w:sz w:val="21"/>
          <w:szCs w:val="21"/>
        </w:rPr>
        <w:t>assignment</w:t>
      </w:r>
      <w:r w:rsidRPr="00767883">
        <w:rPr>
          <w:rFonts w:ascii="Times New Roman" w:eastAsia="Times New Roman" w:hAnsi="Times New Roman" w:cs="Times New Roman"/>
          <w:color w:val="000000"/>
          <w:kern w:val="0"/>
          <w:sz w:val="21"/>
          <w:szCs w:val="21"/>
          <w:lang w:val="en-MX"/>
          <w14:ligatures w14:val="none"/>
        </w:rPr>
        <w:t>, wCCA was not used to upgrade, downgrade, or determine certainty.</w:t>
      </w:r>
    </w:p>
    <w:p w14:paraId="1FD3101C" w14:textId="77777777" w:rsidR="00FC0AF2" w:rsidRDefault="00FC0AF2">
      <w:pPr>
        <w:spacing w:line="300" w:lineRule="atLeast"/>
        <w:rPr>
          <w:kern w:val="0"/>
          <w14:ligatures w14:val="none"/>
        </w:rPr>
      </w:pPr>
      <w:r>
        <w:rPr>
          <w:rFonts w:ascii="Times New Roman" w:hAnsi="Times New Roman"/>
          <w:color w:val="000000"/>
          <w:sz w:val="21"/>
          <w:szCs w:val="21"/>
        </w:rPr>
        <w:t>PDS contextual material, including ClinicalTrials.gov trial-registry records, was retained only as contextual sustained-delivery background, was not assigned an umbrella-review evidence category, and did not contribute to AMSTAR 2 ratings, CCA/wCCA calculations, evidence-category assignment, or the 50-review hierarchy unless review-level eligibility criteria were met.</w:t>
      </w:r>
    </w:p>
    <w:p w14:paraId="5F28D590" w14:textId="77777777" w:rsidR="004538C9" w:rsidRPr="00767883" w:rsidRDefault="004538C9">
      <w:pPr>
        <w:rPr>
          <w:rFonts w:ascii="Times New Roman" w:hAnsi="Times New Roman" w:cs="Times New Roman"/>
          <w:lang w:val="en-MX"/>
        </w:rPr>
      </w:pPr>
    </w:p>
    <w:sectPr w:rsidR="004538C9" w:rsidRPr="00767883" w:rsidSect="001D011D">
      <w:pgSz w:w="12240" w:h="15840"/>
      <w:pgMar w:top="1503" w:right="1440" w:bottom="280" w:left="179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64550"/>
    <w:multiLevelType w:val="multilevel"/>
    <w:tmpl w:val="C66C9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C2E17"/>
    <w:multiLevelType w:val="multilevel"/>
    <w:tmpl w:val="D2A8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213F3"/>
    <w:multiLevelType w:val="multilevel"/>
    <w:tmpl w:val="16EE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54E32"/>
    <w:multiLevelType w:val="multilevel"/>
    <w:tmpl w:val="4C64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325B6"/>
    <w:multiLevelType w:val="multilevel"/>
    <w:tmpl w:val="EC621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82C4A"/>
    <w:multiLevelType w:val="multilevel"/>
    <w:tmpl w:val="80BE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D60A01"/>
    <w:multiLevelType w:val="multilevel"/>
    <w:tmpl w:val="D142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516FF"/>
    <w:multiLevelType w:val="multilevel"/>
    <w:tmpl w:val="EB803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272924"/>
    <w:multiLevelType w:val="multilevel"/>
    <w:tmpl w:val="2AE2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B1657"/>
    <w:multiLevelType w:val="multilevel"/>
    <w:tmpl w:val="6CEA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AE0A8A"/>
    <w:multiLevelType w:val="multilevel"/>
    <w:tmpl w:val="F9C8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DE6B20"/>
    <w:multiLevelType w:val="multilevel"/>
    <w:tmpl w:val="DAE2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480711">
    <w:abstractNumId w:val="0"/>
  </w:num>
  <w:num w:numId="2" w16cid:durableId="157774031">
    <w:abstractNumId w:val="3"/>
  </w:num>
  <w:num w:numId="3" w16cid:durableId="632561498">
    <w:abstractNumId w:val="4"/>
  </w:num>
  <w:num w:numId="4" w16cid:durableId="292249382">
    <w:abstractNumId w:val="9"/>
  </w:num>
  <w:num w:numId="5" w16cid:durableId="861866658">
    <w:abstractNumId w:val="1"/>
  </w:num>
  <w:num w:numId="6" w16cid:durableId="997541805">
    <w:abstractNumId w:val="7"/>
  </w:num>
  <w:num w:numId="7" w16cid:durableId="1941328134">
    <w:abstractNumId w:val="11"/>
  </w:num>
  <w:num w:numId="8" w16cid:durableId="837581458">
    <w:abstractNumId w:val="6"/>
  </w:num>
  <w:num w:numId="9" w16cid:durableId="296571077">
    <w:abstractNumId w:val="2"/>
  </w:num>
  <w:num w:numId="10" w16cid:durableId="890653292">
    <w:abstractNumId w:val="5"/>
  </w:num>
  <w:num w:numId="11" w16cid:durableId="1237208588">
    <w:abstractNumId w:val="10"/>
  </w:num>
  <w:num w:numId="12" w16cid:durableId="770661192">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drawingGridHorizontalSpacing w:val="108"/>
  <w:drawingGridVerticalSpacing w:val="30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DE"/>
    <w:rsid w:val="00011AB7"/>
    <w:rsid w:val="00017F1A"/>
    <w:rsid w:val="00040810"/>
    <w:rsid w:val="00041F54"/>
    <w:rsid w:val="000570B4"/>
    <w:rsid w:val="000B20D8"/>
    <w:rsid w:val="000B329A"/>
    <w:rsid w:val="000B6C65"/>
    <w:rsid w:val="000F78BC"/>
    <w:rsid w:val="00100C24"/>
    <w:rsid w:val="00124C20"/>
    <w:rsid w:val="001267AC"/>
    <w:rsid w:val="001431A2"/>
    <w:rsid w:val="001757DE"/>
    <w:rsid w:val="00193C73"/>
    <w:rsid w:val="00193D71"/>
    <w:rsid w:val="001D011D"/>
    <w:rsid w:val="001D0AD4"/>
    <w:rsid w:val="002047FE"/>
    <w:rsid w:val="002259A1"/>
    <w:rsid w:val="00270D2D"/>
    <w:rsid w:val="002B5E35"/>
    <w:rsid w:val="002D5AF5"/>
    <w:rsid w:val="0032014D"/>
    <w:rsid w:val="003671FB"/>
    <w:rsid w:val="003720DC"/>
    <w:rsid w:val="00395BC5"/>
    <w:rsid w:val="003C5BB9"/>
    <w:rsid w:val="003D396E"/>
    <w:rsid w:val="003E4565"/>
    <w:rsid w:val="003E7DDD"/>
    <w:rsid w:val="004307DB"/>
    <w:rsid w:val="00440177"/>
    <w:rsid w:val="004538C9"/>
    <w:rsid w:val="00467683"/>
    <w:rsid w:val="0049285F"/>
    <w:rsid w:val="00496940"/>
    <w:rsid w:val="004C5C4D"/>
    <w:rsid w:val="004D4114"/>
    <w:rsid w:val="004D552A"/>
    <w:rsid w:val="004F747C"/>
    <w:rsid w:val="00511B59"/>
    <w:rsid w:val="005130EC"/>
    <w:rsid w:val="00515054"/>
    <w:rsid w:val="00516596"/>
    <w:rsid w:val="00530743"/>
    <w:rsid w:val="00533E09"/>
    <w:rsid w:val="005916EE"/>
    <w:rsid w:val="005A33F1"/>
    <w:rsid w:val="005C6648"/>
    <w:rsid w:val="005D52E5"/>
    <w:rsid w:val="005D6DE0"/>
    <w:rsid w:val="005F1E76"/>
    <w:rsid w:val="005F356B"/>
    <w:rsid w:val="00611E44"/>
    <w:rsid w:val="00625AB2"/>
    <w:rsid w:val="00646EC3"/>
    <w:rsid w:val="00664583"/>
    <w:rsid w:val="00667DE0"/>
    <w:rsid w:val="00677746"/>
    <w:rsid w:val="00687269"/>
    <w:rsid w:val="00690931"/>
    <w:rsid w:val="006B06D5"/>
    <w:rsid w:val="006C69FB"/>
    <w:rsid w:val="00721670"/>
    <w:rsid w:val="007472FC"/>
    <w:rsid w:val="00757042"/>
    <w:rsid w:val="00757290"/>
    <w:rsid w:val="00767883"/>
    <w:rsid w:val="007808EE"/>
    <w:rsid w:val="007854BD"/>
    <w:rsid w:val="007C619F"/>
    <w:rsid w:val="007D6B4A"/>
    <w:rsid w:val="00803A30"/>
    <w:rsid w:val="00812147"/>
    <w:rsid w:val="00870108"/>
    <w:rsid w:val="008B5A27"/>
    <w:rsid w:val="008C31C5"/>
    <w:rsid w:val="008D4270"/>
    <w:rsid w:val="008F4BDA"/>
    <w:rsid w:val="00920A09"/>
    <w:rsid w:val="0093230C"/>
    <w:rsid w:val="009370B1"/>
    <w:rsid w:val="00966075"/>
    <w:rsid w:val="009946FA"/>
    <w:rsid w:val="009A4E6F"/>
    <w:rsid w:val="009C21A5"/>
    <w:rsid w:val="009D0BF3"/>
    <w:rsid w:val="009D5F12"/>
    <w:rsid w:val="00A21F10"/>
    <w:rsid w:val="00A80972"/>
    <w:rsid w:val="00A8351E"/>
    <w:rsid w:val="00A93A22"/>
    <w:rsid w:val="00AB0637"/>
    <w:rsid w:val="00AB24EB"/>
    <w:rsid w:val="00AB3B15"/>
    <w:rsid w:val="00AB75DD"/>
    <w:rsid w:val="00AC52F6"/>
    <w:rsid w:val="00AD029B"/>
    <w:rsid w:val="00AE42B5"/>
    <w:rsid w:val="00B07C9E"/>
    <w:rsid w:val="00B17C79"/>
    <w:rsid w:val="00B2060F"/>
    <w:rsid w:val="00B45D7A"/>
    <w:rsid w:val="00B53623"/>
    <w:rsid w:val="00B55C6D"/>
    <w:rsid w:val="00B64A5F"/>
    <w:rsid w:val="00B66CC2"/>
    <w:rsid w:val="00B82E8A"/>
    <w:rsid w:val="00BA6324"/>
    <w:rsid w:val="00BD09C9"/>
    <w:rsid w:val="00BE3887"/>
    <w:rsid w:val="00C01DF1"/>
    <w:rsid w:val="00C03C53"/>
    <w:rsid w:val="00C0736E"/>
    <w:rsid w:val="00C15B7D"/>
    <w:rsid w:val="00C202ED"/>
    <w:rsid w:val="00C30063"/>
    <w:rsid w:val="00C40F4F"/>
    <w:rsid w:val="00C61C52"/>
    <w:rsid w:val="00C713C8"/>
    <w:rsid w:val="00C863A2"/>
    <w:rsid w:val="00C923A0"/>
    <w:rsid w:val="00CA3FBE"/>
    <w:rsid w:val="00CE3B3C"/>
    <w:rsid w:val="00CF0A7B"/>
    <w:rsid w:val="00D0285B"/>
    <w:rsid w:val="00D7332A"/>
    <w:rsid w:val="00D90E0E"/>
    <w:rsid w:val="00D929BA"/>
    <w:rsid w:val="00DC4C1D"/>
    <w:rsid w:val="00DD0540"/>
    <w:rsid w:val="00DD0632"/>
    <w:rsid w:val="00DD5F16"/>
    <w:rsid w:val="00E028D5"/>
    <w:rsid w:val="00E0702B"/>
    <w:rsid w:val="00E07490"/>
    <w:rsid w:val="00E2069B"/>
    <w:rsid w:val="00E25E90"/>
    <w:rsid w:val="00E36C1B"/>
    <w:rsid w:val="00E55D38"/>
    <w:rsid w:val="00E62E8F"/>
    <w:rsid w:val="00E71ADE"/>
    <w:rsid w:val="00E743B7"/>
    <w:rsid w:val="00E846FC"/>
    <w:rsid w:val="00ED2B6A"/>
    <w:rsid w:val="00EE661D"/>
    <w:rsid w:val="00F10238"/>
    <w:rsid w:val="00F15885"/>
    <w:rsid w:val="00F209AE"/>
    <w:rsid w:val="00F22B51"/>
    <w:rsid w:val="00F64F84"/>
    <w:rsid w:val="00F671DE"/>
    <w:rsid w:val="00F70EE7"/>
    <w:rsid w:val="00F86172"/>
    <w:rsid w:val="00F97145"/>
    <w:rsid w:val="00FA004D"/>
    <w:rsid w:val="00FA4FA7"/>
    <w:rsid w:val="00FB48F0"/>
    <w:rsid w:val="00FC0AF2"/>
    <w:rsid w:val="00FC10A8"/>
    <w:rsid w:val="00FC54A9"/>
    <w:rsid w:val="00FD778E"/>
    <w:rsid w:val="00FF17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8837"/>
  <w15:chartTrackingRefBased/>
  <w15:docId w15:val="{DEF175A6-4287-684F-BFF4-886C4071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490"/>
    <w:rPr>
      <w:lang w:val="en-US"/>
    </w:rPr>
  </w:style>
  <w:style w:type="paragraph" w:styleId="Heading1">
    <w:name w:val="heading 1"/>
    <w:basedOn w:val="Normal"/>
    <w:next w:val="Normal"/>
    <w:link w:val="Heading1Char"/>
    <w:uiPriority w:val="9"/>
    <w:qFormat/>
    <w:rsid w:val="00E074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74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4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4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4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4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4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4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4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490"/>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E07490"/>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E07490"/>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E07490"/>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E07490"/>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E07490"/>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E07490"/>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E07490"/>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E07490"/>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074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490"/>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E074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490"/>
    <w:rPr>
      <w:rFonts w:eastAsiaTheme="majorEastAsia" w:cstheme="majorBidi"/>
      <w:color w:val="595959" w:themeColor="text1" w:themeTint="A6"/>
      <w:spacing w:val="15"/>
      <w:sz w:val="28"/>
      <w:szCs w:val="28"/>
      <w:lang w:val="en-US"/>
    </w:rPr>
  </w:style>
  <w:style w:type="paragraph" w:styleId="ListParagraph">
    <w:name w:val="List Paragraph"/>
    <w:basedOn w:val="Normal"/>
    <w:uiPriority w:val="34"/>
    <w:qFormat/>
    <w:rsid w:val="00E07490"/>
    <w:pPr>
      <w:ind w:left="720"/>
      <w:contextualSpacing/>
    </w:pPr>
  </w:style>
  <w:style w:type="paragraph" w:styleId="Quote">
    <w:name w:val="Quote"/>
    <w:basedOn w:val="Normal"/>
    <w:next w:val="Normal"/>
    <w:link w:val="QuoteChar"/>
    <w:uiPriority w:val="29"/>
    <w:qFormat/>
    <w:rsid w:val="00E07490"/>
    <w:pPr>
      <w:spacing w:before="160"/>
      <w:jc w:val="center"/>
    </w:pPr>
    <w:rPr>
      <w:i/>
      <w:iCs/>
      <w:color w:val="404040" w:themeColor="text1" w:themeTint="BF"/>
    </w:rPr>
  </w:style>
  <w:style w:type="character" w:customStyle="1" w:styleId="QuoteChar">
    <w:name w:val="Quote Char"/>
    <w:basedOn w:val="DefaultParagraphFont"/>
    <w:link w:val="Quote"/>
    <w:uiPriority w:val="29"/>
    <w:rsid w:val="00E07490"/>
    <w:rPr>
      <w:i/>
      <w:iCs/>
      <w:color w:val="404040" w:themeColor="text1" w:themeTint="BF"/>
      <w:lang w:val="en-US"/>
    </w:rPr>
  </w:style>
  <w:style w:type="paragraph" w:styleId="IntenseQuote">
    <w:name w:val="Intense Quote"/>
    <w:basedOn w:val="Normal"/>
    <w:next w:val="Normal"/>
    <w:link w:val="IntenseQuoteChar"/>
    <w:uiPriority w:val="30"/>
    <w:qFormat/>
    <w:rsid w:val="00E07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490"/>
    <w:rPr>
      <w:i/>
      <w:iCs/>
      <w:color w:val="0F4761" w:themeColor="accent1" w:themeShade="BF"/>
      <w:lang w:val="en-US"/>
    </w:rPr>
  </w:style>
  <w:style w:type="character" w:styleId="IntenseEmphasis">
    <w:name w:val="Intense Emphasis"/>
    <w:basedOn w:val="DefaultParagraphFont"/>
    <w:uiPriority w:val="21"/>
    <w:qFormat/>
    <w:rsid w:val="00E07490"/>
    <w:rPr>
      <w:i/>
      <w:iCs/>
      <w:color w:val="0F4761" w:themeColor="accent1" w:themeShade="BF"/>
    </w:rPr>
  </w:style>
  <w:style w:type="character" w:styleId="IntenseReference">
    <w:name w:val="Intense Reference"/>
    <w:basedOn w:val="DefaultParagraphFont"/>
    <w:uiPriority w:val="32"/>
    <w:qFormat/>
    <w:rsid w:val="00E07490"/>
    <w:rPr>
      <w:b/>
      <w:bCs/>
      <w:smallCaps/>
      <w:color w:val="0F4761" w:themeColor="accent1" w:themeShade="BF"/>
      <w:spacing w:val="5"/>
    </w:rPr>
  </w:style>
  <w:style w:type="paragraph" w:styleId="NormalWeb">
    <w:name w:val="Normal (Web)"/>
    <w:basedOn w:val="Normal"/>
    <w:uiPriority w:val="99"/>
    <w:semiHidden/>
    <w:unhideWhenUsed/>
    <w:rsid w:val="00F671DE"/>
    <w:pPr>
      <w:spacing w:before="100" w:beforeAutospacing="1" w:after="100" w:afterAutospacing="1" w:line="240" w:lineRule="auto"/>
    </w:pPr>
    <w:rPr>
      <w:rFonts w:ascii="Times New Roman" w:eastAsia="Times New Roman" w:hAnsi="Times New Roman" w:cs="Times New Roman"/>
      <w:kern w:val="0"/>
      <w:sz w:val="24"/>
      <w:szCs w:val="24"/>
      <w:lang w:val="en-MX"/>
      <w14:ligatures w14:val="none"/>
    </w:rPr>
  </w:style>
  <w:style w:type="character" w:customStyle="1" w:styleId="apple-converted-space">
    <w:name w:val="apple-converted-space"/>
    <w:basedOn w:val="DefaultParagraphFont"/>
    <w:rsid w:val="00F671DE"/>
    <w:rPr>
      <w:rFonts w:ascii="Aptos" w:hAnsi="Aptos"/>
      <w:sz w:val="22"/>
    </w:rPr>
  </w:style>
  <w:style w:type="character" w:styleId="Strong">
    <w:name w:val="Strong"/>
    <w:basedOn w:val="DefaultParagraphFont"/>
    <w:uiPriority w:val="22"/>
    <w:qFormat/>
    <w:rsid w:val="00F671DE"/>
    <w:rPr>
      <w:b/>
      <w:bCs/>
    </w:rPr>
  </w:style>
  <w:style w:type="character" w:styleId="BookTitle">
    <w:name w:val="Book Title"/>
    <w:basedOn w:val="DefaultParagraphFont"/>
    <w:uiPriority w:val="33"/>
    <w:qFormat/>
    <w:rsid w:val="00A80972"/>
    <w:rPr>
      <w:b/>
      <w:bCs/>
      <w:i/>
      <w:iCs/>
      <w:spacing w:val="5"/>
    </w:rPr>
  </w:style>
  <w:style w:type="paragraph" w:styleId="Caption">
    <w:name w:val="caption"/>
    <w:basedOn w:val="Normal"/>
    <w:next w:val="Normal"/>
    <w:uiPriority w:val="35"/>
    <w:semiHidden/>
    <w:unhideWhenUsed/>
    <w:qFormat/>
    <w:rsid w:val="00A80972"/>
    <w:pPr>
      <w:spacing w:after="200" w:line="240" w:lineRule="auto"/>
    </w:pPr>
    <w:rPr>
      <w:i/>
      <w:iCs/>
      <w:color w:val="0E2841" w:themeColor="text2"/>
      <w:sz w:val="18"/>
      <w:szCs w:val="18"/>
    </w:rPr>
  </w:style>
  <w:style w:type="character" w:styleId="Emphasis">
    <w:name w:val="Emphasis"/>
    <w:basedOn w:val="DefaultParagraphFont"/>
    <w:uiPriority w:val="20"/>
    <w:qFormat/>
    <w:rsid w:val="00A80972"/>
    <w:rPr>
      <w:i/>
      <w:iCs/>
    </w:rPr>
  </w:style>
  <w:style w:type="paragraph" w:styleId="NoSpacing">
    <w:name w:val="No Spacing"/>
    <w:uiPriority w:val="1"/>
    <w:qFormat/>
    <w:rsid w:val="00A80972"/>
    <w:pPr>
      <w:spacing w:after="0" w:line="240" w:lineRule="auto"/>
    </w:pPr>
    <w:rPr>
      <w:lang w:val="en-US"/>
    </w:rPr>
  </w:style>
  <w:style w:type="character" w:styleId="SubtleEmphasis">
    <w:name w:val="Subtle Emphasis"/>
    <w:basedOn w:val="DefaultParagraphFont"/>
    <w:uiPriority w:val="19"/>
    <w:qFormat/>
    <w:rsid w:val="00A80972"/>
    <w:rPr>
      <w:i/>
      <w:iCs/>
      <w:color w:val="404040" w:themeColor="text1" w:themeTint="BF"/>
    </w:rPr>
  </w:style>
  <w:style w:type="character" w:styleId="SubtleReference">
    <w:name w:val="Subtle Reference"/>
    <w:basedOn w:val="DefaultParagraphFont"/>
    <w:uiPriority w:val="31"/>
    <w:qFormat/>
    <w:rsid w:val="00A80972"/>
    <w:rPr>
      <w:smallCaps/>
      <w:color w:val="5A5A5A" w:themeColor="text1" w:themeTint="A5"/>
    </w:rPr>
  </w:style>
  <w:style w:type="paragraph" w:styleId="TOCHeading">
    <w:name w:val="TOC Heading"/>
    <w:basedOn w:val="Heading1"/>
    <w:next w:val="Normal"/>
    <w:uiPriority w:val="39"/>
    <w:semiHidden/>
    <w:unhideWhenUsed/>
    <w:qFormat/>
    <w:rsid w:val="00A80972"/>
    <w:pPr>
      <w:spacing w:before="240" w:after="0"/>
      <w:outlineLvl w:val="9"/>
    </w:pPr>
    <w:rPr>
      <w:sz w:val="32"/>
      <w:szCs w:val="32"/>
    </w:rPr>
  </w:style>
  <w:style w:type="table" w:styleId="TableGrid">
    <w:name w:val="Table Grid"/>
    <w:basedOn w:val="TableNormal"/>
    <w:uiPriority w:val="39"/>
    <w:rsid w:val="009D0BF3"/>
    <w:pPr>
      <w:spacing w:after="0" w:line="240" w:lineRule="auto"/>
    </w:p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
    <w:tblStylePr w:type="firstRow">
      <w:tblPr/>
      <w:tcPr>
        <w:tcBorders>
          <w:top w:val="nil"/>
          <w:left w:val="nil"/>
          <w:bottom w:val="nil"/>
          <w:right w:val="nil"/>
          <w:insideH w:val="nil"/>
          <w:insideV w:val="nil"/>
        </w:tcBorders>
        <w:shd w:val="clear" w:color="auto" w:fill="0F4761"/>
      </w:tcPr>
    </w:tblStylePr>
  </w:style>
  <w:style w:type="character" w:styleId="CommentReference">
    <w:name w:val="annotation reference"/>
    <w:basedOn w:val="DefaultParagraphFont"/>
    <w:uiPriority w:val="99"/>
    <w:semiHidden/>
    <w:unhideWhenUsed/>
    <w:rsid w:val="00040810"/>
    <w:rPr>
      <w:sz w:val="16"/>
      <w:szCs w:val="16"/>
    </w:rPr>
  </w:style>
  <w:style w:type="paragraph" w:styleId="CommentText">
    <w:name w:val="annotation text"/>
    <w:basedOn w:val="Normal"/>
    <w:link w:val="CommentTextChar"/>
    <w:uiPriority w:val="99"/>
    <w:semiHidden/>
    <w:unhideWhenUsed/>
    <w:rsid w:val="00040810"/>
    <w:pPr>
      <w:spacing w:line="240" w:lineRule="auto"/>
    </w:pPr>
    <w:rPr>
      <w:sz w:val="20"/>
      <w:szCs w:val="20"/>
    </w:rPr>
  </w:style>
  <w:style w:type="character" w:customStyle="1" w:styleId="CommentTextChar">
    <w:name w:val="Comment Text Char"/>
    <w:basedOn w:val="DefaultParagraphFont"/>
    <w:link w:val="CommentText"/>
    <w:uiPriority w:val="99"/>
    <w:semiHidden/>
    <w:rsid w:val="00040810"/>
    <w:rPr>
      <w:sz w:val="20"/>
      <w:szCs w:val="20"/>
      <w:lang w:val="en-US"/>
    </w:rPr>
  </w:style>
  <w:style w:type="paragraph" w:styleId="CommentSubject">
    <w:name w:val="annotation subject"/>
    <w:basedOn w:val="CommentText"/>
    <w:next w:val="CommentText"/>
    <w:link w:val="CommentSubjectChar"/>
    <w:uiPriority w:val="99"/>
    <w:semiHidden/>
    <w:unhideWhenUsed/>
    <w:rsid w:val="00040810"/>
    <w:rPr>
      <w:b/>
      <w:bCs/>
    </w:rPr>
  </w:style>
  <w:style w:type="character" w:customStyle="1" w:styleId="CommentSubjectChar">
    <w:name w:val="Comment Subject Char"/>
    <w:basedOn w:val="CommentTextChar"/>
    <w:link w:val="CommentSubject"/>
    <w:uiPriority w:val="99"/>
    <w:semiHidden/>
    <w:rsid w:val="0004081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49</Pages>
  <Words>13540</Words>
  <Characters>94109</Characters>
  <Application>Microsoft Office Word</Application>
  <DocSecurity>0</DocSecurity>
  <Lines>5881</Lines>
  <Paragraphs>1251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Angel Quiroz Reyes</dc:creator>
  <cp:keywords/>
  <dc:description/>
  <cp:lastModifiedBy>Miguel Angel Quiroz Reyes</cp:lastModifiedBy>
  <cp:revision>22</cp:revision>
  <dcterms:created xsi:type="dcterms:W3CDTF">2026-08-13T16:59:00Z</dcterms:created>
  <dcterms:modified xsi:type="dcterms:W3CDTF">2026-08-23T03:00:00Z</dcterms:modified>
</cp:coreProperties>
</file>