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BCACAD" w14:textId="77777777" w:rsidR="00BF5D0F" w:rsidRPr="00BF5D0F" w:rsidRDefault="00BF5D0F" w:rsidP="00BF5D0F">
      <w:pPr>
        <w:jc w:val="center"/>
        <w:rPr>
          <w:rFonts w:cs="Times New Roman"/>
          <w:sz w:val="24"/>
          <w:szCs w:val="24"/>
          <w:u w:val="single"/>
        </w:rPr>
      </w:pPr>
      <w:r w:rsidRPr="00BF5D0F">
        <w:rPr>
          <w:rFonts w:cs="Times New Roman"/>
          <w:sz w:val="24"/>
          <w:szCs w:val="24"/>
          <w:highlight w:val="yellow"/>
          <w:u w:val="single"/>
        </w:rPr>
        <w:t>VARIABLE-WISE INTERPRETATION GUIDE</w:t>
      </w:r>
    </w:p>
    <w:p w14:paraId="18F69DA5" w14:textId="58B7EE99" w:rsidR="00BF5D0F" w:rsidRPr="00BF5D0F" w:rsidRDefault="00BF5D0F" w:rsidP="00BF5D0F">
      <w:pPr>
        <w:jc w:val="both"/>
        <w:rPr>
          <w:rFonts w:cs="Times New Roman"/>
          <w:sz w:val="24"/>
          <w:szCs w:val="24"/>
        </w:rPr>
      </w:pPr>
    </w:p>
    <w:p w14:paraId="480A8541" w14:textId="77777777" w:rsidR="00BF5D0F" w:rsidRPr="00BF5D0F" w:rsidRDefault="00BF5D0F" w:rsidP="00BF5D0F">
      <w:pPr>
        <w:jc w:val="both"/>
        <w:rPr>
          <w:rFonts w:cs="Times New Roman"/>
          <w:sz w:val="24"/>
          <w:szCs w:val="24"/>
        </w:rPr>
      </w:pPr>
      <w:r w:rsidRPr="00BF5D0F">
        <w:rPr>
          <w:rFonts w:cs="Times New Roman"/>
          <w:sz w:val="24"/>
          <w:szCs w:val="24"/>
        </w:rPr>
        <w:t>1. DEPENDENT VARIABLE</w:t>
      </w:r>
    </w:p>
    <w:p w14:paraId="56A6DEEF" w14:textId="77777777" w:rsidR="00BF5D0F" w:rsidRPr="00BF5D0F" w:rsidRDefault="00BF5D0F" w:rsidP="00BF5D0F">
      <w:pPr>
        <w:jc w:val="both"/>
        <w:rPr>
          <w:rFonts w:cs="Times New Roman"/>
          <w:sz w:val="24"/>
          <w:szCs w:val="24"/>
        </w:rPr>
      </w:pPr>
      <w:r w:rsidRPr="00BF5D0F">
        <w:rPr>
          <w:rFonts w:cs="Times New Roman"/>
          <w:sz w:val="24"/>
          <w:szCs w:val="24"/>
        </w:rPr>
        <w:t>Current Account Balance (cab_gdp)</w:t>
      </w:r>
    </w:p>
    <w:p w14:paraId="5AC36C3C" w14:textId="77777777" w:rsidR="00BF5D0F" w:rsidRPr="00BF5D0F" w:rsidRDefault="00BF5D0F" w:rsidP="00BF5D0F">
      <w:pPr>
        <w:jc w:val="both"/>
        <w:rPr>
          <w:rFonts w:cs="Times New Roman"/>
          <w:sz w:val="24"/>
          <w:szCs w:val="24"/>
        </w:rPr>
      </w:pPr>
      <w:r w:rsidRPr="00BF5D0F">
        <w:rPr>
          <w:rFonts w:cs="Times New Roman"/>
          <w:sz w:val="24"/>
          <w:szCs w:val="24"/>
        </w:rPr>
        <w:t>Definition: External balance of goods, services, income, and transfers as a percentage of GDP.</w:t>
      </w:r>
    </w:p>
    <w:p w14:paraId="161C2BD7" w14:textId="77777777" w:rsidR="00BF5D0F" w:rsidRPr="00BF5D0F" w:rsidRDefault="00BF5D0F" w:rsidP="00BF5D0F">
      <w:pPr>
        <w:jc w:val="both"/>
        <w:rPr>
          <w:rFonts w:cs="Times New Roman"/>
          <w:sz w:val="24"/>
          <w:szCs w:val="24"/>
        </w:rPr>
      </w:pPr>
      <w:r w:rsidRPr="00BF5D0F">
        <w:rPr>
          <w:rFonts w:cs="Times New Roman"/>
          <w:sz w:val="24"/>
          <w:szCs w:val="24"/>
        </w:rPr>
        <w:t>Interpretation: A positive value indicates a current account surplus (net lender). A negative value indicates a current account deficit (net borrower). In South Asia, the mean current account balance is -3.51% of GDP, indicating persistent deficits.</w:t>
      </w:r>
    </w:p>
    <w:p w14:paraId="51CA9C1D" w14:textId="77777777" w:rsidR="00BF5D0F" w:rsidRPr="00BF5D0F" w:rsidRDefault="00BF5D0F" w:rsidP="00BF5D0F">
      <w:pPr>
        <w:jc w:val="both"/>
        <w:rPr>
          <w:rFonts w:cs="Times New Roman"/>
          <w:sz w:val="24"/>
          <w:szCs w:val="24"/>
        </w:rPr>
      </w:pPr>
      <w:r w:rsidRPr="00BF5D0F">
        <w:rPr>
          <w:rFonts w:cs="Times New Roman"/>
          <w:sz w:val="24"/>
          <w:szCs w:val="24"/>
        </w:rPr>
        <w:t>Economic Meaning: The current account balance reflects a country's net foreign asset position and its competitiveness in international markets. Deficits imply that the country is borrowing from abroad to finance domestic consumption or investment.</w:t>
      </w:r>
    </w:p>
    <w:p w14:paraId="64D3E989" w14:textId="0281C912" w:rsidR="00BF5D0F" w:rsidRPr="00BF5D0F" w:rsidRDefault="00BF5D0F" w:rsidP="00BF5D0F">
      <w:pPr>
        <w:jc w:val="both"/>
        <w:rPr>
          <w:rFonts w:cs="Times New Roman"/>
          <w:sz w:val="24"/>
          <w:szCs w:val="24"/>
        </w:rPr>
      </w:pPr>
    </w:p>
    <w:p w14:paraId="30B32747" w14:textId="77777777" w:rsidR="00BF5D0F" w:rsidRPr="00BF5D0F" w:rsidRDefault="00BF5D0F" w:rsidP="00BF5D0F">
      <w:pPr>
        <w:jc w:val="both"/>
        <w:rPr>
          <w:rFonts w:cs="Times New Roman"/>
          <w:sz w:val="24"/>
          <w:szCs w:val="24"/>
        </w:rPr>
      </w:pPr>
      <w:r w:rsidRPr="00BF5D0F">
        <w:rPr>
          <w:rFonts w:cs="Times New Roman"/>
          <w:sz w:val="24"/>
          <w:szCs w:val="24"/>
        </w:rPr>
        <w:t>2. INDEPENDENT VARIABLES</w:t>
      </w:r>
    </w:p>
    <w:p w14:paraId="63F6A7F5" w14:textId="77777777" w:rsidR="00BF5D0F" w:rsidRPr="00BF5D0F" w:rsidRDefault="00BF5D0F" w:rsidP="00BF5D0F">
      <w:pPr>
        <w:jc w:val="both"/>
        <w:rPr>
          <w:rFonts w:cs="Times New Roman"/>
          <w:sz w:val="24"/>
          <w:szCs w:val="24"/>
        </w:rPr>
      </w:pPr>
      <w:r w:rsidRPr="00BF5D0F">
        <w:rPr>
          <w:rFonts w:cs="Times New Roman"/>
          <w:sz w:val="24"/>
          <w:szCs w:val="24"/>
        </w:rPr>
        <w:t>Fiscal Balance (fiscal_balance_gdp)</w:t>
      </w:r>
    </w:p>
    <w:p w14:paraId="089641B1" w14:textId="77777777" w:rsidR="00BF5D0F" w:rsidRPr="00BF5D0F" w:rsidRDefault="00BF5D0F" w:rsidP="00BF5D0F">
      <w:pPr>
        <w:jc w:val="both"/>
        <w:rPr>
          <w:rFonts w:cs="Times New Roman"/>
          <w:sz w:val="24"/>
          <w:szCs w:val="24"/>
        </w:rPr>
      </w:pPr>
      <w:r w:rsidRPr="00BF5D0F">
        <w:rPr>
          <w:rFonts w:cs="Times New Roman"/>
          <w:sz w:val="24"/>
          <w:szCs w:val="24"/>
        </w:rPr>
        <w:t>Coefficient in M5: 0.132 (insignificant)</w:t>
      </w:r>
    </w:p>
    <w:p w14:paraId="0762D50F" w14:textId="77777777" w:rsidR="00BF5D0F" w:rsidRPr="00BF5D0F" w:rsidRDefault="00BF5D0F" w:rsidP="00BF5D0F">
      <w:pPr>
        <w:jc w:val="both"/>
        <w:rPr>
          <w:rFonts w:cs="Times New Roman"/>
          <w:sz w:val="24"/>
          <w:szCs w:val="24"/>
        </w:rPr>
      </w:pPr>
      <w:r w:rsidRPr="00BF5D0F">
        <w:rPr>
          <w:rFonts w:cs="Times New Roman"/>
          <w:sz w:val="24"/>
          <w:szCs w:val="24"/>
        </w:rPr>
        <w:t>Interpretation: A 1 percentage point improvement in fiscal balance (reducing deficit or increasing surplus) is associated with a 0.13 percentage point improvement in current account balance. However, this effect is not statistically significant at conventional levels.</w:t>
      </w:r>
    </w:p>
    <w:p w14:paraId="759444F0" w14:textId="77777777" w:rsidR="00BF5D0F" w:rsidRPr="00BF5D0F" w:rsidRDefault="00BF5D0F" w:rsidP="00BF5D0F">
      <w:pPr>
        <w:jc w:val="both"/>
        <w:rPr>
          <w:rFonts w:cs="Times New Roman"/>
          <w:sz w:val="24"/>
          <w:szCs w:val="24"/>
        </w:rPr>
      </w:pPr>
      <w:r w:rsidRPr="00BF5D0F">
        <w:rPr>
          <w:rFonts w:cs="Times New Roman"/>
          <w:sz w:val="24"/>
          <w:szCs w:val="24"/>
        </w:rPr>
        <w:t>Hypothesis Status: H₁ (Twin Deficit Hypothesis) receives weak/mixed support. Fiscal balance is significant only in M2 (0.73*, p&lt;0.10) and in the Post-GFC robustness check (-0.347**, p&lt;0.05).</w:t>
      </w:r>
    </w:p>
    <w:p w14:paraId="542596A2" w14:textId="77777777" w:rsidR="00BF5D0F" w:rsidRPr="00BF5D0F" w:rsidRDefault="00BF5D0F" w:rsidP="00BF5D0F">
      <w:pPr>
        <w:jc w:val="both"/>
        <w:rPr>
          <w:rFonts w:cs="Times New Roman"/>
          <w:sz w:val="24"/>
          <w:szCs w:val="24"/>
        </w:rPr>
      </w:pPr>
      <w:r w:rsidRPr="00BF5D0F">
        <w:rPr>
          <w:rFonts w:cs="Times New Roman"/>
          <w:sz w:val="24"/>
          <w:szCs w:val="24"/>
        </w:rPr>
        <w:t>Key Finding: The TDH is period-dependent. It holds in the post-GFC period where fiscal balance becomes negative and significant, meaning fiscal improvements reduce current account deficits.</w:t>
      </w:r>
    </w:p>
    <w:p w14:paraId="4110B0D3" w14:textId="480B67DE" w:rsidR="00BF5D0F" w:rsidRPr="00BF5D0F" w:rsidRDefault="00BF5D0F" w:rsidP="00BF5D0F">
      <w:pPr>
        <w:jc w:val="both"/>
        <w:rPr>
          <w:rFonts w:cs="Times New Roman"/>
          <w:sz w:val="24"/>
          <w:szCs w:val="24"/>
        </w:rPr>
      </w:pPr>
    </w:p>
    <w:p w14:paraId="385C5EAD" w14:textId="77777777" w:rsidR="00BF5D0F" w:rsidRPr="00BF5D0F" w:rsidRDefault="00BF5D0F" w:rsidP="00BF5D0F">
      <w:pPr>
        <w:jc w:val="both"/>
        <w:rPr>
          <w:rFonts w:cs="Times New Roman"/>
          <w:sz w:val="24"/>
          <w:szCs w:val="24"/>
        </w:rPr>
      </w:pPr>
      <w:r w:rsidRPr="00BF5D0F">
        <w:rPr>
          <w:rFonts w:cs="Times New Roman"/>
          <w:sz w:val="24"/>
          <w:szCs w:val="24"/>
        </w:rPr>
        <w:t>Private Credit (private_credit_gdp)</w:t>
      </w:r>
    </w:p>
    <w:p w14:paraId="4AA8EC63" w14:textId="77777777" w:rsidR="00BF5D0F" w:rsidRPr="00BF5D0F" w:rsidRDefault="00BF5D0F" w:rsidP="00BF5D0F">
      <w:pPr>
        <w:jc w:val="both"/>
        <w:rPr>
          <w:rFonts w:cs="Times New Roman"/>
          <w:sz w:val="24"/>
          <w:szCs w:val="24"/>
        </w:rPr>
      </w:pPr>
      <w:r w:rsidRPr="00BF5D0F">
        <w:rPr>
          <w:rFonts w:cs="Times New Roman"/>
          <w:sz w:val="24"/>
          <w:szCs w:val="24"/>
        </w:rPr>
        <w:t>Coefficient in M5: -0.180 (insignificant)</w:t>
      </w:r>
    </w:p>
    <w:p w14:paraId="4D816E20" w14:textId="77777777" w:rsidR="00BF5D0F" w:rsidRPr="00BF5D0F" w:rsidRDefault="00BF5D0F" w:rsidP="00BF5D0F">
      <w:pPr>
        <w:jc w:val="both"/>
        <w:rPr>
          <w:rFonts w:cs="Times New Roman"/>
          <w:sz w:val="24"/>
          <w:szCs w:val="24"/>
        </w:rPr>
      </w:pPr>
      <w:r w:rsidRPr="00BF5D0F">
        <w:rPr>
          <w:rFonts w:cs="Times New Roman"/>
          <w:sz w:val="24"/>
          <w:szCs w:val="24"/>
        </w:rPr>
        <w:t>Interpretation: A 1 percentage point increase in domestic credit to the private sector is associated with a 0.18 percentage point decrease in current account balance. The negative sign suggests that credit expansion may be financing import-intensive activities. However, this effect is not statistically significant.</w:t>
      </w:r>
    </w:p>
    <w:p w14:paraId="796AAB7F" w14:textId="77777777" w:rsidR="00BF5D0F" w:rsidRPr="00BF5D0F" w:rsidRDefault="00BF5D0F" w:rsidP="00BF5D0F">
      <w:pPr>
        <w:jc w:val="both"/>
        <w:rPr>
          <w:rFonts w:cs="Times New Roman"/>
          <w:sz w:val="24"/>
          <w:szCs w:val="24"/>
        </w:rPr>
      </w:pPr>
      <w:r w:rsidRPr="00BF5D0F">
        <w:rPr>
          <w:rFonts w:cs="Times New Roman"/>
          <w:sz w:val="24"/>
          <w:szCs w:val="24"/>
        </w:rPr>
        <w:t>Economic Meaning: Private credit expansion could support domestic demand, which may increase imports and worsen the current account. However, in South Asia, the effect is weak and not robust.</w:t>
      </w:r>
    </w:p>
    <w:p w14:paraId="0C421A3B" w14:textId="77777777" w:rsidR="00BF5D0F" w:rsidRPr="00BF5D0F" w:rsidRDefault="00BF5D0F" w:rsidP="00BF5D0F">
      <w:pPr>
        <w:jc w:val="both"/>
        <w:rPr>
          <w:rFonts w:cs="Times New Roman"/>
          <w:sz w:val="24"/>
          <w:szCs w:val="24"/>
        </w:rPr>
      </w:pPr>
      <w:r w:rsidRPr="00BF5D0F">
        <w:rPr>
          <w:rFonts w:cs="Times New Roman"/>
          <w:sz w:val="24"/>
          <w:szCs w:val="24"/>
        </w:rPr>
        <w:t>Hypothesis Status: H₂ₐ (Crowding-out via credit channel) is NOT supported.</w:t>
      </w:r>
    </w:p>
    <w:p w14:paraId="5EF4FCE8" w14:textId="789C8F8E" w:rsidR="00BF5D0F" w:rsidRPr="00BF5D0F" w:rsidRDefault="00BF5D0F" w:rsidP="00BF5D0F">
      <w:pPr>
        <w:jc w:val="both"/>
        <w:rPr>
          <w:rFonts w:cs="Times New Roman"/>
          <w:sz w:val="24"/>
          <w:szCs w:val="24"/>
        </w:rPr>
      </w:pPr>
    </w:p>
    <w:p w14:paraId="77974850" w14:textId="77777777" w:rsidR="00BF5D0F" w:rsidRPr="00BF5D0F" w:rsidRDefault="00BF5D0F" w:rsidP="00BF5D0F">
      <w:pPr>
        <w:jc w:val="both"/>
        <w:rPr>
          <w:rFonts w:cs="Times New Roman"/>
          <w:sz w:val="24"/>
          <w:szCs w:val="24"/>
        </w:rPr>
      </w:pPr>
      <w:r w:rsidRPr="00BF5D0F">
        <w:rPr>
          <w:rFonts w:cs="Times New Roman"/>
          <w:sz w:val="24"/>
          <w:szCs w:val="24"/>
        </w:rPr>
        <w:t>Interest Rate (interest_rate)</w:t>
      </w:r>
    </w:p>
    <w:p w14:paraId="01BE24D2" w14:textId="77777777" w:rsidR="00BF5D0F" w:rsidRPr="00BF5D0F" w:rsidRDefault="00BF5D0F" w:rsidP="00BF5D0F">
      <w:pPr>
        <w:jc w:val="both"/>
        <w:rPr>
          <w:rFonts w:cs="Times New Roman"/>
          <w:sz w:val="24"/>
          <w:szCs w:val="24"/>
        </w:rPr>
      </w:pPr>
      <w:r w:rsidRPr="00BF5D0F">
        <w:rPr>
          <w:rFonts w:cs="Times New Roman"/>
          <w:sz w:val="24"/>
          <w:szCs w:val="24"/>
        </w:rPr>
        <w:t>Coefficient in M5: 0.183 (insignificant)</w:t>
      </w:r>
    </w:p>
    <w:p w14:paraId="76973439" w14:textId="77777777" w:rsidR="00BF5D0F" w:rsidRPr="00BF5D0F" w:rsidRDefault="00BF5D0F" w:rsidP="00BF5D0F">
      <w:pPr>
        <w:jc w:val="both"/>
        <w:rPr>
          <w:rFonts w:cs="Times New Roman"/>
          <w:sz w:val="24"/>
          <w:szCs w:val="24"/>
        </w:rPr>
      </w:pPr>
      <w:r w:rsidRPr="00BF5D0F">
        <w:rPr>
          <w:rFonts w:cs="Times New Roman"/>
          <w:sz w:val="24"/>
          <w:szCs w:val="24"/>
        </w:rPr>
        <w:t>Interpretation: A 1 percentage point increase in the real interest rate is associated with a 0.18 percentage point improvement in current account balance. Higher interest rates might attract foreign capital, improving the current account through the financial account. However, this effect is not statistically significant.</w:t>
      </w:r>
    </w:p>
    <w:p w14:paraId="21BB67CC" w14:textId="77777777" w:rsidR="00BF5D0F" w:rsidRPr="00BF5D0F" w:rsidRDefault="00BF5D0F" w:rsidP="00BF5D0F">
      <w:pPr>
        <w:jc w:val="both"/>
        <w:rPr>
          <w:rFonts w:cs="Times New Roman"/>
          <w:sz w:val="24"/>
          <w:szCs w:val="24"/>
        </w:rPr>
      </w:pPr>
      <w:r w:rsidRPr="00BF5D0F">
        <w:rPr>
          <w:rFonts w:cs="Times New Roman"/>
          <w:sz w:val="24"/>
          <w:szCs w:val="24"/>
        </w:rPr>
        <w:t>Economic Meaning: The interest rate channel does not appear to be a strong transmission mechanism in South Asia.</w:t>
      </w:r>
    </w:p>
    <w:p w14:paraId="2D89B588" w14:textId="77777777" w:rsidR="00BF5D0F" w:rsidRPr="00BF5D0F" w:rsidRDefault="00BF5D0F" w:rsidP="00BF5D0F">
      <w:pPr>
        <w:jc w:val="both"/>
        <w:rPr>
          <w:rFonts w:cs="Times New Roman"/>
          <w:sz w:val="24"/>
          <w:szCs w:val="24"/>
        </w:rPr>
      </w:pPr>
      <w:r w:rsidRPr="00BF5D0F">
        <w:rPr>
          <w:rFonts w:cs="Times New Roman"/>
          <w:sz w:val="24"/>
          <w:szCs w:val="24"/>
        </w:rPr>
        <w:t>Hypothesis Status: H₂b (Crowding-out via interest rate channel) is NOT supported.</w:t>
      </w:r>
    </w:p>
    <w:p w14:paraId="1705F3A2" w14:textId="293C3E9C" w:rsidR="00BF5D0F" w:rsidRPr="00BF5D0F" w:rsidRDefault="00BF5D0F" w:rsidP="00BF5D0F">
      <w:pPr>
        <w:jc w:val="both"/>
        <w:rPr>
          <w:rFonts w:cs="Times New Roman"/>
          <w:sz w:val="24"/>
          <w:szCs w:val="24"/>
        </w:rPr>
      </w:pPr>
    </w:p>
    <w:p w14:paraId="5A603D6E" w14:textId="77777777" w:rsidR="00BF5D0F" w:rsidRPr="00BF5D0F" w:rsidRDefault="00BF5D0F" w:rsidP="00BF5D0F">
      <w:pPr>
        <w:jc w:val="both"/>
        <w:rPr>
          <w:rFonts w:cs="Times New Roman"/>
          <w:sz w:val="24"/>
          <w:szCs w:val="24"/>
        </w:rPr>
      </w:pPr>
      <w:r w:rsidRPr="00BF5D0F">
        <w:rPr>
          <w:rFonts w:cs="Times New Roman"/>
          <w:sz w:val="24"/>
          <w:szCs w:val="24"/>
        </w:rPr>
        <w:t>FDI Inflows (fdi_gdp)</w:t>
      </w:r>
    </w:p>
    <w:p w14:paraId="39218BEA" w14:textId="77777777" w:rsidR="00BF5D0F" w:rsidRPr="00BF5D0F" w:rsidRDefault="00BF5D0F" w:rsidP="00BF5D0F">
      <w:pPr>
        <w:jc w:val="both"/>
        <w:rPr>
          <w:rFonts w:cs="Times New Roman"/>
          <w:sz w:val="24"/>
          <w:szCs w:val="24"/>
        </w:rPr>
      </w:pPr>
      <w:r w:rsidRPr="00BF5D0F">
        <w:rPr>
          <w:rFonts w:cs="Times New Roman"/>
          <w:sz w:val="24"/>
          <w:szCs w:val="24"/>
        </w:rPr>
        <w:t>Coefficient in M5: 1.141 (insignificant)</w:t>
      </w:r>
    </w:p>
    <w:p w14:paraId="57015983" w14:textId="77777777" w:rsidR="00BF5D0F" w:rsidRPr="00BF5D0F" w:rsidRDefault="00BF5D0F" w:rsidP="00BF5D0F">
      <w:pPr>
        <w:jc w:val="both"/>
        <w:rPr>
          <w:rFonts w:cs="Times New Roman"/>
          <w:sz w:val="24"/>
          <w:szCs w:val="24"/>
        </w:rPr>
      </w:pPr>
      <w:r w:rsidRPr="00BF5D0F">
        <w:rPr>
          <w:rFonts w:cs="Times New Roman"/>
          <w:sz w:val="24"/>
          <w:szCs w:val="24"/>
        </w:rPr>
        <w:lastRenderedPageBreak/>
        <w:t>Interpretation: A 1 percentage point increase in FDI inflows as a percentage of GDP is associated with a 1.14 percentage point improvement in current account balance. This suggests FDI has a positive but not statistically significant effect in the full sample.</w:t>
      </w:r>
    </w:p>
    <w:p w14:paraId="69D3D7B2" w14:textId="77777777" w:rsidR="00BF5D0F" w:rsidRPr="00BF5D0F" w:rsidRDefault="00BF5D0F" w:rsidP="00BF5D0F">
      <w:pPr>
        <w:jc w:val="both"/>
        <w:rPr>
          <w:rFonts w:cs="Times New Roman"/>
          <w:sz w:val="24"/>
          <w:szCs w:val="24"/>
        </w:rPr>
      </w:pPr>
      <w:r w:rsidRPr="00BF5D0F">
        <w:rPr>
          <w:rFonts w:cs="Times New Roman"/>
          <w:sz w:val="24"/>
          <w:szCs w:val="24"/>
        </w:rPr>
        <w:t>Coefficient in M3: 1.758** (p&lt;0.05) — significant in the capital flow model</w:t>
      </w:r>
    </w:p>
    <w:p w14:paraId="7F06B116" w14:textId="77777777" w:rsidR="00BF5D0F" w:rsidRPr="00BF5D0F" w:rsidRDefault="00BF5D0F" w:rsidP="00BF5D0F">
      <w:pPr>
        <w:jc w:val="both"/>
        <w:rPr>
          <w:rFonts w:cs="Times New Roman"/>
          <w:sz w:val="24"/>
          <w:szCs w:val="24"/>
        </w:rPr>
      </w:pPr>
      <w:r w:rsidRPr="00BF5D0F">
        <w:rPr>
          <w:rFonts w:cs="Times New Roman"/>
          <w:sz w:val="24"/>
          <w:szCs w:val="24"/>
        </w:rPr>
        <w:t>Coefficient in R2 (Post-GFC): 2.07** (p&lt;0.05) — significant and larger in magnitude</w:t>
      </w:r>
    </w:p>
    <w:p w14:paraId="3EC488A3" w14:textId="77777777" w:rsidR="00BF5D0F" w:rsidRPr="00BF5D0F" w:rsidRDefault="00BF5D0F" w:rsidP="00BF5D0F">
      <w:pPr>
        <w:jc w:val="both"/>
        <w:rPr>
          <w:rFonts w:cs="Times New Roman"/>
          <w:sz w:val="24"/>
          <w:szCs w:val="24"/>
        </w:rPr>
      </w:pPr>
      <w:r w:rsidRPr="00BF5D0F">
        <w:rPr>
          <w:rFonts w:cs="Times New Roman"/>
          <w:sz w:val="24"/>
          <w:szCs w:val="24"/>
        </w:rPr>
        <w:t>Key Finding: FDI significantly improves the current account in the post-GFC period and in the capital flow model. The magnitude is substantial – a 1% of GDP increase in FDI improves CAB by about 1.76-2.07 percentage points.</w:t>
      </w:r>
    </w:p>
    <w:p w14:paraId="14BAA16B" w14:textId="77777777" w:rsidR="00BF5D0F" w:rsidRPr="00BF5D0F" w:rsidRDefault="00BF5D0F" w:rsidP="00BF5D0F">
      <w:pPr>
        <w:jc w:val="both"/>
        <w:rPr>
          <w:rFonts w:cs="Times New Roman"/>
          <w:sz w:val="24"/>
          <w:szCs w:val="24"/>
        </w:rPr>
      </w:pPr>
      <w:r w:rsidRPr="00BF5D0F">
        <w:rPr>
          <w:rFonts w:cs="Times New Roman"/>
          <w:sz w:val="24"/>
          <w:szCs w:val="24"/>
        </w:rPr>
        <w:t>Hypothesis Status: H₅ (FDI improves CAB) is STRONGLY SUPPORTED in certain specifications.</w:t>
      </w:r>
    </w:p>
    <w:p w14:paraId="56CF554B" w14:textId="77777777" w:rsidR="00BF5D0F" w:rsidRPr="00BF5D0F" w:rsidRDefault="00BF5D0F" w:rsidP="00BF5D0F">
      <w:pPr>
        <w:jc w:val="both"/>
        <w:rPr>
          <w:rFonts w:cs="Times New Roman"/>
          <w:sz w:val="24"/>
          <w:szCs w:val="24"/>
        </w:rPr>
      </w:pPr>
      <w:r w:rsidRPr="00BF5D0F">
        <w:rPr>
          <w:rFonts w:cs="Times New Roman"/>
          <w:sz w:val="24"/>
          <w:szCs w:val="24"/>
        </w:rPr>
        <w:t>Economic Meaning: Export-oriented FDI enhances productivity, competitiveness, and foreign exchange earnings, thereby improving the current account.</w:t>
      </w:r>
    </w:p>
    <w:p w14:paraId="6B080CC3" w14:textId="073AC276" w:rsidR="00BF5D0F" w:rsidRPr="00BF5D0F" w:rsidRDefault="00BF5D0F" w:rsidP="00BF5D0F">
      <w:pPr>
        <w:jc w:val="both"/>
        <w:rPr>
          <w:rFonts w:cs="Times New Roman"/>
          <w:sz w:val="24"/>
          <w:szCs w:val="24"/>
        </w:rPr>
      </w:pPr>
    </w:p>
    <w:p w14:paraId="2EDE91F9" w14:textId="77777777" w:rsidR="00BF5D0F" w:rsidRPr="00BF5D0F" w:rsidRDefault="00BF5D0F" w:rsidP="00BF5D0F">
      <w:pPr>
        <w:jc w:val="both"/>
        <w:rPr>
          <w:rFonts w:cs="Times New Roman"/>
          <w:sz w:val="24"/>
          <w:szCs w:val="24"/>
        </w:rPr>
      </w:pPr>
      <w:r w:rsidRPr="00BF5D0F">
        <w:rPr>
          <w:rFonts w:cs="Times New Roman"/>
          <w:sz w:val="24"/>
          <w:szCs w:val="24"/>
        </w:rPr>
        <w:t>Remittances (remit_gdp)</w:t>
      </w:r>
    </w:p>
    <w:p w14:paraId="2B92BDF9" w14:textId="77777777" w:rsidR="00BF5D0F" w:rsidRPr="00BF5D0F" w:rsidRDefault="00BF5D0F" w:rsidP="00BF5D0F">
      <w:pPr>
        <w:jc w:val="both"/>
        <w:rPr>
          <w:rFonts w:cs="Times New Roman"/>
          <w:sz w:val="24"/>
          <w:szCs w:val="24"/>
        </w:rPr>
      </w:pPr>
      <w:r w:rsidRPr="00BF5D0F">
        <w:rPr>
          <w:rFonts w:cs="Times New Roman"/>
          <w:sz w:val="24"/>
          <w:szCs w:val="24"/>
        </w:rPr>
        <w:t>Coefficient in M5: 0.544** (p&lt;0.05)</w:t>
      </w:r>
    </w:p>
    <w:p w14:paraId="378EBBFF" w14:textId="77777777" w:rsidR="00BF5D0F" w:rsidRPr="00BF5D0F" w:rsidRDefault="00BF5D0F" w:rsidP="00BF5D0F">
      <w:pPr>
        <w:jc w:val="both"/>
        <w:rPr>
          <w:rFonts w:cs="Times New Roman"/>
          <w:sz w:val="24"/>
          <w:szCs w:val="24"/>
        </w:rPr>
      </w:pPr>
      <w:r w:rsidRPr="00BF5D0F">
        <w:rPr>
          <w:rFonts w:cs="Times New Roman"/>
          <w:sz w:val="24"/>
          <w:szCs w:val="24"/>
        </w:rPr>
        <w:t>Interpretation: A 1 percentage point increase in remittances received as a percentage of GDP is associated with a 0.54 percentage point improvement in current account balance. This effect is statistically significant at the 5% level.</w:t>
      </w:r>
    </w:p>
    <w:p w14:paraId="79CEE480" w14:textId="77777777" w:rsidR="00BF5D0F" w:rsidRPr="00BF5D0F" w:rsidRDefault="00BF5D0F" w:rsidP="00BF5D0F">
      <w:pPr>
        <w:jc w:val="both"/>
        <w:rPr>
          <w:rFonts w:cs="Times New Roman"/>
          <w:sz w:val="24"/>
          <w:szCs w:val="24"/>
        </w:rPr>
      </w:pPr>
      <w:r w:rsidRPr="00BF5D0F">
        <w:rPr>
          <w:rFonts w:cs="Times New Roman"/>
          <w:sz w:val="24"/>
          <w:szCs w:val="24"/>
        </w:rPr>
        <w:t>Coefficient in R2 (Post-GFC): 1.41*** (p&lt;0.01) — much larger in the post-GFC period</w:t>
      </w:r>
    </w:p>
    <w:p w14:paraId="1120EB8D" w14:textId="77777777" w:rsidR="00BF5D0F" w:rsidRPr="00BF5D0F" w:rsidRDefault="00BF5D0F" w:rsidP="00BF5D0F">
      <w:pPr>
        <w:jc w:val="both"/>
        <w:rPr>
          <w:rFonts w:cs="Times New Roman"/>
          <w:sz w:val="24"/>
          <w:szCs w:val="24"/>
        </w:rPr>
      </w:pPr>
      <w:r w:rsidRPr="00BF5D0F">
        <w:rPr>
          <w:rFonts w:cs="Times New Roman"/>
          <w:sz w:val="24"/>
          <w:szCs w:val="24"/>
        </w:rPr>
        <w:t>Key Finding: Remittances are the most stable and robust driver of current account improvement in South Asia. The effect is consistently positive and statistically significant across specifications.</w:t>
      </w:r>
    </w:p>
    <w:p w14:paraId="36F94D06" w14:textId="77777777" w:rsidR="00BF5D0F" w:rsidRPr="00BF5D0F" w:rsidRDefault="00BF5D0F" w:rsidP="00BF5D0F">
      <w:pPr>
        <w:jc w:val="both"/>
        <w:rPr>
          <w:rFonts w:cs="Times New Roman"/>
          <w:sz w:val="24"/>
          <w:szCs w:val="24"/>
        </w:rPr>
      </w:pPr>
      <w:r w:rsidRPr="00BF5D0F">
        <w:rPr>
          <w:rFonts w:cs="Times New Roman"/>
          <w:sz w:val="24"/>
          <w:szCs w:val="24"/>
        </w:rPr>
        <w:t>Hypothesis Status: H₄ (Remittances improve CAB) is STRONGLY SUPPORTED.</w:t>
      </w:r>
    </w:p>
    <w:p w14:paraId="150CBFFD" w14:textId="77777777" w:rsidR="00BF5D0F" w:rsidRPr="00BF5D0F" w:rsidRDefault="00BF5D0F" w:rsidP="00BF5D0F">
      <w:pPr>
        <w:jc w:val="both"/>
        <w:rPr>
          <w:rFonts w:cs="Times New Roman"/>
          <w:sz w:val="24"/>
          <w:szCs w:val="24"/>
        </w:rPr>
      </w:pPr>
      <w:r w:rsidRPr="00BF5D0F">
        <w:rPr>
          <w:rFonts w:cs="Times New Roman"/>
          <w:sz w:val="24"/>
          <w:szCs w:val="24"/>
        </w:rPr>
        <w:t>Economic Meaning: Remittances provide a stable source of foreign currency inflows that finance imports, reduce external vulnerabilities, and support the balance of payments. Unlike other capital flows, remittances are counter-cyclical and less volatile.</w:t>
      </w:r>
    </w:p>
    <w:p w14:paraId="252E1A77" w14:textId="7442EFE5" w:rsidR="00BF5D0F" w:rsidRPr="00BF5D0F" w:rsidRDefault="00BF5D0F" w:rsidP="00BF5D0F">
      <w:pPr>
        <w:jc w:val="both"/>
        <w:rPr>
          <w:rFonts w:cs="Times New Roman"/>
          <w:sz w:val="24"/>
          <w:szCs w:val="24"/>
        </w:rPr>
      </w:pPr>
    </w:p>
    <w:p w14:paraId="74B9FAA1" w14:textId="77777777" w:rsidR="00BF5D0F" w:rsidRPr="00BF5D0F" w:rsidRDefault="00BF5D0F" w:rsidP="00BF5D0F">
      <w:pPr>
        <w:jc w:val="both"/>
        <w:rPr>
          <w:rFonts w:cs="Times New Roman"/>
          <w:sz w:val="24"/>
          <w:szCs w:val="24"/>
        </w:rPr>
      </w:pPr>
      <w:r w:rsidRPr="00BF5D0F">
        <w:rPr>
          <w:rFonts w:cs="Times New Roman"/>
          <w:sz w:val="24"/>
          <w:szCs w:val="24"/>
        </w:rPr>
        <w:t>Fiscal × FDI Interaction (fiscal_fdi)</w:t>
      </w:r>
    </w:p>
    <w:p w14:paraId="1DD0E38F" w14:textId="77777777" w:rsidR="00BF5D0F" w:rsidRPr="00BF5D0F" w:rsidRDefault="00BF5D0F" w:rsidP="00BF5D0F">
      <w:pPr>
        <w:jc w:val="both"/>
        <w:rPr>
          <w:rFonts w:cs="Times New Roman"/>
          <w:sz w:val="24"/>
          <w:szCs w:val="24"/>
        </w:rPr>
      </w:pPr>
      <w:r w:rsidRPr="00BF5D0F">
        <w:rPr>
          <w:rFonts w:cs="Times New Roman"/>
          <w:sz w:val="24"/>
          <w:szCs w:val="24"/>
        </w:rPr>
        <w:t>Coefficient in M5: 0.481** (p&lt;0.05)</w:t>
      </w:r>
    </w:p>
    <w:p w14:paraId="71B69C2B" w14:textId="77777777" w:rsidR="00BF5D0F" w:rsidRPr="00BF5D0F" w:rsidRDefault="00BF5D0F" w:rsidP="00BF5D0F">
      <w:pPr>
        <w:jc w:val="both"/>
        <w:rPr>
          <w:rFonts w:cs="Times New Roman"/>
          <w:sz w:val="24"/>
          <w:szCs w:val="24"/>
        </w:rPr>
      </w:pPr>
      <w:r w:rsidRPr="00BF5D0F">
        <w:rPr>
          <w:rFonts w:cs="Times New Roman"/>
          <w:sz w:val="24"/>
          <w:szCs w:val="24"/>
        </w:rPr>
        <w:t>Interpretation: The interaction between fiscal balance and FDI is positive and significant. This means that as FDI inflows increase, the effect of fiscal balance on current account becomes more positive. In other words, FDI amplifies the fiscal-current account link.</w:t>
      </w:r>
    </w:p>
    <w:p w14:paraId="059218CF" w14:textId="77777777" w:rsidR="00BF5D0F" w:rsidRPr="00BF5D0F" w:rsidRDefault="00BF5D0F" w:rsidP="00BF5D0F">
      <w:pPr>
        <w:jc w:val="both"/>
        <w:rPr>
          <w:rFonts w:cs="Times New Roman"/>
          <w:sz w:val="24"/>
          <w:szCs w:val="24"/>
        </w:rPr>
      </w:pPr>
      <w:r w:rsidRPr="00BF5D0F">
        <w:rPr>
          <w:rFonts w:cs="Times New Roman"/>
          <w:sz w:val="24"/>
          <w:szCs w:val="24"/>
        </w:rPr>
        <w:t>Coefficient in R1 (Pre-COVID): 0.450* (p&lt;0.10)</w:t>
      </w:r>
    </w:p>
    <w:p w14:paraId="50CE61FD" w14:textId="77777777" w:rsidR="00BF5D0F" w:rsidRPr="00BF5D0F" w:rsidRDefault="00BF5D0F" w:rsidP="00BF5D0F">
      <w:pPr>
        <w:jc w:val="both"/>
        <w:rPr>
          <w:rFonts w:cs="Times New Roman"/>
          <w:sz w:val="24"/>
          <w:szCs w:val="24"/>
        </w:rPr>
      </w:pPr>
      <w:r w:rsidRPr="00BF5D0F">
        <w:rPr>
          <w:rFonts w:cs="Times New Roman"/>
          <w:sz w:val="24"/>
          <w:szCs w:val="24"/>
        </w:rPr>
        <w:t>Coefficient in R2 (Post-GFC): 0.275* (p&lt;0.10)</w:t>
      </w:r>
    </w:p>
    <w:p w14:paraId="189207DF" w14:textId="77777777" w:rsidR="00BF5D0F" w:rsidRPr="00BF5D0F" w:rsidRDefault="00BF5D0F" w:rsidP="00BF5D0F">
      <w:pPr>
        <w:jc w:val="both"/>
        <w:rPr>
          <w:rFonts w:cs="Times New Roman"/>
          <w:sz w:val="24"/>
          <w:szCs w:val="24"/>
        </w:rPr>
      </w:pPr>
      <w:r w:rsidRPr="00BF5D0F">
        <w:rPr>
          <w:rFonts w:cs="Times New Roman"/>
          <w:sz w:val="24"/>
          <w:szCs w:val="24"/>
        </w:rPr>
        <w:t>Key Finding: FDI moderates the fiscal-CAB relationship by amplifying the effect. Higher FDI strengthens the positive relationship between fiscal balance and current account.</w:t>
      </w:r>
    </w:p>
    <w:p w14:paraId="3544AB23" w14:textId="77777777" w:rsidR="00BF5D0F" w:rsidRPr="00BF5D0F" w:rsidRDefault="00BF5D0F" w:rsidP="00BF5D0F">
      <w:pPr>
        <w:jc w:val="both"/>
        <w:rPr>
          <w:rFonts w:cs="Times New Roman"/>
          <w:sz w:val="24"/>
          <w:szCs w:val="24"/>
        </w:rPr>
      </w:pPr>
      <w:r w:rsidRPr="00BF5D0F">
        <w:rPr>
          <w:rFonts w:cs="Times New Roman"/>
          <w:sz w:val="24"/>
          <w:szCs w:val="24"/>
        </w:rPr>
        <w:t>Hypothesis Status: H₃ₐ (FDI moderation) is PARTIALLY SUPPORTED.</w:t>
      </w:r>
    </w:p>
    <w:p w14:paraId="26662F3D" w14:textId="77777777" w:rsidR="00BF5D0F" w:rsidRPr="00BF5D0F" w:rsidRDefault="00BF5D0F" w:rsidP="00BF5D0F">
      <w:pPr>
        <w:jc w:val="both"/>
        <w:rPr>
          <w:rFonts w:cs="Times New Roman"/>
          <w:sz w:val="24"/>
          <w:szCs w:val="24"/>
        </w:rPr>
      </w:pPr>
      <w:r w:rsidRPr="00BF5D0F">
        <w:rPr>
          <w:rFonts w:cs="Times New Roman"/>
          <w:sz w:val="24"/>
          <w:szCs w:val="24"/>
        </w:rPr>
        <w:t>Economic Meaning: FDI not only directly improves the current account but also enhances the effectiveness of fiscal policy on external balances. This suggests complementarity between fiscal policy and FDI.</w:t>
      </w:r>
    </w:p>
    <w:p w14:paraId="392F029D" w14:textId="46FA2BE3" w:rsidR="00BF5D0F" w:rsidRPr="00BF5D0F" w:rsidRDefault="00BF5D0F" w:rsidP="00BF5D0F">
      <w:pPr>
        <w:jc w:val="both"/>
        <w:rPr>
          <w:rFonts w:cs="Times New Roman"/>
          <w:sz w:val="24"/>
          <w:szCs w:val="24"/>
        </w:rPr>
      </w:pPr>
    </w:p>
    <w:p w14:paraId="5B841780" w14:textId="77777777" w:rsidR="00BF5D0F" w:rsidRPr="00BF5D0F" w:rsidRDefault="00BF5D0F" w:rsidP="00BF5D0F">
      <w:pPr>
        <w:jc w:val="both"/>
        <w:rPr>
          <w:rFonts w:cs="Times New Roman"/>
          <w:sz w:val="24"/>
          <w:szCs w:val="24"/>
        </w:rPr>
      </w:pPr>
      <w:r w:rsidRPr="00BF5D0F">
        <w:rPr>
          <w:rFonts w:cs="Times New Roman"/>
          <w:sz w:val="24"/>
          <w:szCs w:val="24"/>
        </w:rPr>
        <w:t>Fiscal × Remittance Interaction (fiscal_remit)</w:t>
      </w:r>
    </w:p>
    <w:p w14:paraId="75867ADD" w14:textId="77777777" w:rsidR="00BF5D0F" w:rsidRPr="00BF5D0F" w:rsidRDefault="00BF5D0F" w:rsidP="00BF5D0F">
      <w:pPr>
        <w:jc w:val="both"/>
        <w:rPr>
          <w:rFonts w:cs="Times New Roman"/>
          <w:sz w:val="24"/>
          <w:szCs w:val="24"/>
        </w:rPr>
      </w:pPr>
      <w:r w:rsidRPr="00BF5D0F">
        <w:rPr>
          <w:rFonts w:cs="Times New Roman"/>
          <w:sz w:val="24"/>
          <w:szCs w:val="24"/>
        </w:rPr>
        <w:t>Coefficient in M5: -0.073 (insignificant)</w:t>
      </w:r>
    </w:p>
    <w:p w14:paraId="432469AB" w14:textId="77777777" w:rsidR="00BF5D0F" w:rsidRPr="00BF5D0F" w:rsidRDefault="00BF5D0F" w:rsidP="00BF5D0F">
      <w:pPr>
        <w:jc w:val="both"/>
        <w:rPr>
          <w:rFonts w:cs="Times New Roman"/>
          <w:sz w:val="24"/>
          <w:szCs w:val="24"/>
        </w:rPr>
      </w:pPr>
      <w:r w:rsidRPr="00BF5D0F">
        <w:rPr>
          <w:rFonts w:cs="Times New Roman"/>
          <w:sz w:val="24"/>
          <w:szCs w:val="24"/>
        </w:rPr>
        <w:t>Interpretation: The interaction between fiscal balance and remittances is negative but not statistically significant. This suggests remittances do not systematically moderate the fiscal-current account link.</w:t>
      </w:r>
    </w:p>
    <w:p w14:paraId="66F6A8D9" w14:textId="77777777" w:rsidR="00BF5D0F" w:rsidRPr="00BF5D0F" w:rsidRDefault="00BF5D0F" w:rsidP="00BF5D0F">
      <w:pPr>
        <w:jc w:val="both"/>
        <w:rPr>
          <w:rFonts w:cs="Times New Roman"/>
          <w:sz w:val="24"/>
          <w:szCs w:val="24"/>
        </w:rPr>
      </w:pPr>
      <w:r w:rsidRPr="00BF5D0F">
        <w:rPr>
          <w:rFonts w:cs="Times New Roman"/>
          <w:sz w:val="24"/>
          <w:szCs w:val="24"/>
        </w:rPr>
        <w:t>Hypothesis Status: H₃b (Remittance moderation) is NOT SUPPORTED.</w:t>
      </w:r>
    </w:p>
    <w:p w14:paraId="1FB883F8" w14:textId="77777777" w:rsidR="00BF5D0F" w:rsidRPr="00BF5D0F" w:rsidRDefault="00BF5D0F" w:rsidP="00BF5D0F">
      <w:pPr>
        <w:jc w:val="both"/>
        <w:rPr>
          <w:rFonts w:cs="Times New Roman"/>
          <w:sz w:val="24"/>
          <w:szCs w:val="24"/>
        </w:rPr>
      </w:pPr>
      <w:r w:rsidRPr="00BF5D0F">
        <w:rPr>
          <w:rFonts w:cs="Times New Roman"/>
          <w:sz w:val="24"/>
          <w:szCs w:val="24"/>
        </w:rPr>
        <w:t>Economic Meaning: Remittances directly improve the current account but do not influence how fiscal policy affects the current account. They serve as a direct stabilizer rather than a moderating factor.</w:t>
      </w:r>
    </w:p>
    <w:p w14:paraId="04AB9398" w14:textId="18AD1C05" w:rsidR="00BF5D0F" w:rsidRPr="00BF5D0F" w:rsidRDefault="00BF5D0F" w:rsidP="00BF5D0F">
      <w:pPr>
        <w:jc w:val="both"/>
        <w:rPr>
          <w:rFonts w:cs="Times New Roman"/>
          <w:sz w:val="24"/>
          <w:szCs w:val="24"/>
        </w:rPr>
      </w:pPr>
    </w:p>
    <w:p w14:paraId="4549E12C" w14:textId="77777777" w:rsidR="00BF5D0F" w:rsidRPr="00BF5D0F" w:rsidRDefault="00BF5D0F" w:rsidP="00BF5D0F">
      <w:pPr>
        <w:jc w:val="both"/>
        <w:rPr>
          <w:rFonts w:cs="Times New Roman"/>
          <w:sz w:val="24"/>
          <w:szCs w:val="24"/>
        </w:rPr>
      </w:pPr>
      <w:r w:rsidRPr="00BF5D0F">
        <w:rPr>
          <w:rFonts w:cs="Times New Roman"/>
          <w:sz w:val="24"/>
          <w:szCs w:val="24"/>
        </w:rPr>
        <w:t>Trade Openness (trade_gdp)</w:t>
      </w:r>
    </w:p>
    <w:p w14:paraId="3E501C3E" w14:textId="77777777" w:rsidR="00BF5D0F" w:rsidRPr="00BF5D0F" w:rsidRDefault="00BF5D0F" w:rsidP="00BF5D0F">
      <w:pPr>
        <w:jc w:val="both"/>
        <w:rPr>
          <w:rFonts w:cs="Times New Roman"/>
          <w:sz w:val="24"/>
          <w:szCs w:val="24"/>
        </w:rPr>
      </w:pPr>
      <w:r w:rsidRPr="00BF5D0F">
        <w:rPr>
          <w:rFonts w:cs="Times New Roman"/>
          <w:sz w:val="24"/>
          <w:szCs w:val="24"/>
        </w:rPr>
        <w:t>Coefficient in M5: 0.075 (insignificant)</w:t>
      </w:r>
    </w:p>
    <w:p w14:paraId="22584666" w14:textId="77777777" w:rsidR="00BF5D0F" w:rsidRPr="00BF5D0F" w:rsidRDefault="00BF5D0F" w:rsidP="00BF5D0F">
      <w:pPr>
        <w:jc w:val="both"/>
        <w:rPr>
          <w:rFonts w:cs="Times New Roman"/>
          <w:sz w:val="24"/>
          <w:szCs w:val="24"/>
        </w:rPr>
      </w:pPr>
      <w:r w:rsidRPr="00BF5D0F">
        <w:rPr>
          <w:rFonts w:cs="Times New Roman"/>
          <w:sz w:val="24"/>
          <w:szCs w:val="24"/>
        </w:rPr>
        <w:t>Interpretation: A 1 percentage point increase in trade openness (exports + imports as % of GDP) is associated with a 0.08 percentage point improvement in current account balance. However, this effect is not statistically significant.</w:t>
      </w:r>
    </w:p>
    <w:p w14:paraId="2F9182A9" w14:textId="77777777" w:rsidR="00BF5D0F" w:rsidRPr="00BF5D0F" w:rsidRDefault="00BF5D0F" w:rsidP="00BF5D0F">
      <w:pPr>
        <w:jc w:val="both"/>
        <w:rPr>
          <w:rFonts w:cs="Times New Roman"/>
          <w:sz w:val="24"/>
          <w:szCs w:val="24"/>
        </w:rPr>
      </w:pPr>
      <w:r w:rsidRPr="00BF5D0F">
        <w:rPr>
          <w:rFonts w:cs="Times New Roman"/>
          <w:sz w:val="24"/>
          <w:szCs w:val="24"/>
        </w:rPr>
        <w:t>Correlation with CAB: -0.588*** (strong negative correlation)</w:t>
      </w:r>
    </w:p>
    <w:p w14:paraId="7C4E4B6F" w14:textId="77777777" w:rsidR="00BF5D0F" w:rsidRPr="00BF5D0F" w:rsidRDefault="00BF5D0F" w:rsidP="00BF5D0F">
      <w:pPr>
        <w:jc w:val="both"/>
        <w:rPr>
          <w:rFonts w:cs="Times New Roman"/>
          <w:sz w:val="24"/>
          <w:szCs w:val="24"/>
        </w:rPr>
      </w:pPr>
      <w:r w:rsidRPr="00BF5D0F">
        <w:rPr>
          <w:rFonts w:cs="Times New Roman"/>
          <w:sz w:val="24"/>
          <w:szCs w:val="24"/>
        </w:rPr>
        <w:t>Economic Meaning: More open economies tend to have higher import intensity, which can worsen the current account. The weak coefficient suggests that the positive effects of openness (export growth, competitiveness) may offset the negative import effects.</w:t>
      </w:r>
    </w:p>
    <w:p w14:paraId="62B0CA72" w14:textId="06727B82" w:rsidR="00BF5D0F" w:rsidRPr="00BF5D0F" w:rsidRDefault="00BF5D0F" w:rsidP="00BF5D0F">
      <w:pPr>
        <w:jc w:val="both"/>
        <w:rPr>
          <w:rFonts w:cs="Times New Roman"/>
          <w:sz w:val="24"/>
          <w:szCs w:val="24"/>
        </w:rPr>
      </w:pPr>
    </w:p>
    <w:p w14:paraId="335371A0" w14:textId="77777777" w:rsidR="00BF5D0F" w:rsidRPr="00BF5D0F" w:rsidRDefault="00BF5D0F" w:rsidP="00BF5D0F">
      <w:pPr>
        <w:jc w:val="both"/>
        <w:rPr>
          <w:rFonts w:cs="Times New Roman"/>
          <w:sz w:val="24"/>
          <w:szCs w:val="24"/>
        </w:rPr>
      </w:pPr>
      <w:r w:rsidRPr="00BF5D0F">
        <w:rPr>
          <w:rFonts w:cs="Times New Roman"/>
          <w:sz w:val="24"/>
          <w:szCs w:val="24"/>
        </w:rPr>
        <w:t>GDP per Capita (ln_gdp)</w:t>
      </w:r>
    </w:p>
    <w:p w14:paraId="233AC46B" w14:textId="77777777" w:rsidR="00BF5D0F" w:rsidRPr="00BF5D0F" w:rsidRDefault="00BF5D0F" w:rsidP="00BF5D0F">
      <w:pPr>
        <w:jc w:val="both"/>
        <w:rPr>
          <w:rFonts w:cs="Times New Roman"/>
          <w:sz w:val="24"/>
          <w:szCs w:val="24"/>
        </w:rPr>
      </w:pPr>
      <w:r w:rsidRPr="00BF5D0F">
        <w:rPr>
          <w:rFonts w:cs="Times New Roman"/>
          <w:sz w:val="24"/>
          <w:szCs w:val="24"/>
        </w:rPr>
        <w:t>Coefficient in M5: 0.070 (insignificant)</w:t>
      </w:r>
    </w:p>
    <w:p w14:paraId="208E06AD" w14:textId="77777777" w:rsidR="00BF5D0F" w:rsidRPr="00BF5D0F" w:rsidRDefault="00BF5D0F" w:rsidP="00BF5D0F">
      <w:pPr>
        <w:jc w:val="both"/>
        <w:rPr>
          <w:rFonts w:cs="Times New Roman"/>
          <w:sz w:val="24"/>
          <w:szCs w:val="24"/>
        </w:rPr>
      </w:pPr>
      <w:r w:rsidRPr="00BF5D0F">
        <w:rPr>
          <w:rFonts w:cs="Times New Roman"/>
          <w:sz w:val="24"/>
          <w:szCs w:val="24"/>
        </w:rPr>
        <w:t>Interpretation: A 1% increase in GDP per capita is associated with a 0.07 percentage point improvement in current account balance. However, this effect is not statistically significant.</w:t>
      </w:r>
    </w:p>
    <w:p w14:paraId="03A2F178" w14:textId="77777777" w:rsidR="00BF5D0F" w:rsidRPr="00BF5D0F" w:rsidRDefault="00BF5D0F" w:rsidP="00BF5D0F">
      <w:pPr>
        <w:jc w:val="both"/>
        <w:rPr>
          <w:rFonts w:cs="Times New Roman"/>
          <w:sz w:val="24"/>
          <w:szCs w:val="24"/>
        </w:rPr>
      </w:pPr>
      <w:r w:rsidRPr="00BF5D0F">
        <w:rPr>
          <w:rFonts w:cs="Times New Roman"/>
          <w:sz w:val="24"/>
          <w:szCs w:val="24"/>
        </w:rPr>
        <w:t>Correlation with CAB: -0.412*** (strong negative correlation)</w:t>
      </w:r>
    </w:p>
    <w:p w14:paraId="1D163B2C" w14:textId="77777777" w:rsidR="00BF5D0F" w:rsidRPr="00BF5D0F" w:rsidRDefault="00BF5D0F" w:rsidP="00BF5D0F">
      <w:pPr>
        <w:jc w:val="both"/>
        <w:rPr>
          <w:rFonts w:cs="Times New Roman"/>
          <w:sz w:val="24"/>
          <w:szCs w:val="24"/>
        </w:rPr>
      </w:pPr>
      <w:r w:rsidRPr="00BF5D0F">
        <w:rPr>
          <w:rFonts w:cs="Times New Roman"/>
          <w:sz w:val="24"/>
          <w:szCs w:val="24"/>
        </w:rPr>
        <w:t>Economic Meaning: Richer countries tend to have weaker current account positions in South Asia, possibly due to higher import demand and consumption of foreign goods.</w:t>
      </w:r>
    </w:p>
    <w:p w14:paraId="78E8D1C2" w14:textId="70F8EE1C" w:rsidR="00BF5D0F" w:rsidRPr="00BF5D0F" w:rsidRDefault="00BF5D0F" w:rsidP="00BF5D0F">
      <w:pPr>
        <w:jc w:val="both"/>
        <w:rPr>
          <w:rFonts w:cs="Times New Roman"/>
          <w:sz w:val="24"/>
          <w:szCs w:val="24"/>
        </w:rPr>
      </w:pPr>
    </w:p>
    <w:p w14:paraId="16C40A52" w14:textId="77777777" w:rsidR="00BF5D0F" w:rsidRPr="00BF5D0F" w:rsidRDefault="00BF5D0F" w:rsidP="00BF5D0F">
      <w:pPr>
        <w:jc w:val="both"/>
        <w:rPr>
          <w:rFonts w:cs="Times New Roman"/>
          <w:sz w:val="24"/>
          <w:szCs w:val="24"/>
        </w:rPr>
      </w:pPr>
      <w:r w:rsidRPr="00BF5D0F">
        <w:rPr>
          <w:rFonts w:cs="Times New Roman"/>
          <w:sz w:val="24"/>
          <w:szCs w:val="24"/>
        </w:rPr>
        <w:t>Debt Service (debt_gni)</w:t>
      </w:r>
    </w:p>
    <w:p w14:paraId="79CCB597" w14:textId="77777777" w:rsidR="00BF5D0F" w:rsidRPr="00BF5D0F" w:rsidRDefault="00BF5D0F" w:rsidP="00BF5D0F">
      <w:pPr>
        <w:jc w:val="both"/>
        <w:rPr>
          <w:rFonts w:cs="Times New Roman"/>
          <w:sz w:val="24"/>
          <w:szCs w:val="24"/>
        </w:rPr>
      </w:pPr>
      <w:r w:rsidRPr="00BF5D0F">
        <w:rPr>
          <w:rFonts w:cs="Times New Roman"/>
          <w:sz w:val="24"/>
          <w:szCs w:val="24"/>
        </w:rPr>
        <w:t>Coefficient in M5: -0.368 (insignificant)</w:t>
      </w:r>
    </w:p>
    <w:p w14:paraId="3D5F5ED6" w14:textId="77777777" w:rsidR="00BF5D0F" w:rsidRPr="00BF5D0F" w:rsidRDefault="00BF5D0F" w:rsidP="00BF5D0F">
      <w:pPr>
        <w:jc w:val="both"/>
        <w:rPr>
          <w:rFonts w:cs="Times New Roman"/>
          <w:sz w:val="24"/>
          <w:szCs w:val="24"/>
        </w:rPr>
      </w:pPr>
      <w:r w:rsidRPr="00BF5D0F">
        <w:rPr>
          <w:rFonts w:cs="Times New Roman"/>
          <w:sz w:val="24"/>
          <w:szCs w:val="24"/>
        </w:rPr>
        <w:t>Interpretation: A 1 percentage point increase in debt service as a percentage of GNI is associated with a 0.37 percentage point decrease in current account balance. The negative sign indicates that higher debt service obligations worsen the current account by increasing external payments.</w:t>
      </w:r>
    </w:p>
    <w:p w14:paraId="0EC610AF" w14:textId="77777777" w:rsidR="00BF5D0F" w:rsidRPr="00BF5D0F" w:rsidRDefault="00BF5D0F" w:rsidP="00BF5D0F">
      <w:pPr>
        <w:jc w:val="both"/>
        <w:rPr>
          <w:rFonts w:cs="Times New Roman"/>
          <w:sz w:val="24"/>
          <w:szCs w:val="24"/>
        </w:rPr>
      </w:pPr>
      <w:r w:rsidRPr="00BF5D0F">
        <w:rPr>
          <w:rFonts w:cs="Times New Roman"/>
          <w:sz w:val="24"/>
          <w:szCs w:val="24"/>
        </w:rPr>
        <w:t>Correlation with CAB: -0.471*** (strong negative correlation)</w:t>
      </w:r>
    </w:p>
    <w:p w14:paraId="5F7AD45A" w14:textId="77777777" w:rsidR="00BF5D0F" w:rsidRPr="00BF5D0F" w:rsidRDefault="00BF5D0F" w:rsidP="00BF5D0F">
      <w:pPr>
        <w:jc w:val="both"/>
        <w:rPr>
          <w:rFonts w:cs="Times New Roman"/>
          <w:sz w:val="24"/>
          <w:szCs w:val="24"/>
        </w:rPr>
      </w:pPr>
      <w:r w:rsidRPr="00BF5D0F">
        <w:rPr>
          <w:rFonts w:cs="Times New Roman"/>
          <w:sz w:val="24"/>
          <w:szCs w:val="24"/>
        </w:rPr>
        <w:t>Economic Meaning: Debt service payments represent a drain on foreign currency reserves and worsen the current account. South Asian economies with higher debt burdens face greater external vulnerabilities.</w:t>
      </w:r>
    </w:p>
    <w:p w14:paraId="0631652E" w14:textId="77777777" w:rsidR="00BF5D0F" w:rsidRPr="00BF5D0F" w:rsidRDefault="00BF5D0F" w:rsidP="00BF5D0F">
      <w:pPr>
        <w:jc w:val="both"/>
        <w:rPr>
          <w:rFonts w:cs="Times New Roman"/>
          <w:sz w:val="24"/>
          <w:szCs w:val="24"/>
        </w:rPr>
      </w:pPr>
      <w:r w:rsidRPr="00BF5D0F">
        <w:rPr>
          <w:rFonts w:cs="Times New Roman"/>
          <w:sz w:val="24"/>
          <w:szCs w:val="24"/>
        </w:rPr>
        <w:t>Hypothesis Status: Not explicitly hypothesised but confirms that debt pressure weakens external balances.</w:t>
      </w:r>
    </w:p>
    <w:p w14:paraId="30033914" w14:textId="18D397BE" w:rsidR="00BF5D0F" w:rsidRPr="00BF5D0F" w:rsidRDefault="00BF5D0F" w:rsidP="00BF5D0F">
      <w:pPr>
        <w:jc w:val="both"/>
        <w:rPr>
          <w:rFonts w:cs="Times New Roman"/>
          <w:sz w:val="24"/>
          <w:szCs w:val="24"/>
        </w:rPr>
      </w:pPr>
    </w:p>
    <w:p w14:paraId="06B183EB" w14:textId="77777777" w:rsidR="00BF5D0F" w:rsidRPr="00BF5D0F" w:rsidRDefault="00BF5D0F" w:rsidP="00BF5D0F">
      <w:pPr>
        <w:jc w:val="both"/>
        <w:rPr>
          <w:rFonts w:cs="Times New Roman"/>
          <w:sz w:val="24"/>
          <w:szCs w:val="24"/>
        </w:rPr>
      </w:pPr>
      <w:r w:rsidRPr="00BF5D0F">
        <w:rPr>
          <w:rFonts w:cs="Times New Roman"/>
          <w:sz w:val="24"/>
          <w:szCs w:val="24"/>
        </w:rPr>
        <w:t>COVID Dummy (covid)</w:t>
      </w:r>
    </w:p>
    <w:p w14:paraId="631E8511" w14:textId="77777777" w:rsidR="00BF5D0F" w:rsidRPr="00BF5D0F" w:rsidRDefault="00BF5D0F" w:rsidP="00BF5D0F">
      <w:pPr>
        <w:jc w:val="both"/>
        <w:rPr>
          <w:rFonts w:cs="Times New Roman"/>
          <w:sz w:val="24"/>
          <w:szCs w:val="24"/>
        </w:rPr>
      </w:pPr>
      <w:r w:rsidRPr="00BF5D0F">
        <w:rPr>
          <w:rFonts w:cs="Times New Roman"/>
          <w:sz w:val="24"/>
          <w:szCs w:val="24"/>
        </w:rPr>
        <w:t>Coefficient in M5: 2.887* (p&lt;0.10)</w:t>
      </w:r>
    </w:p>
    <w:p w14:paraId="24E3CDF2" w14:textId="77777777" w:rsidR="00BF5D0F" w:rsidRPr="00BF5D0F" w:rsidRDefault="00BF5D0F" w:rsidP="00BF5D0F">
      <w:pPr>
        <w:jc w:val="both"/>
        <w:rPr>
          <w:rFonts w:cs="Times New Roman"/>
          <w:sz w:val="24"/>
          <w:szCs w:val="24"/>
        </w:rPr>
      </w:pPr>
      <w:r w:rsidRPr="00BF5D0F">
        <w:rPr>
          <w:rFonts w:cs="Times New Roman"/>
          <w:sz w:val="24"/>
          <w:szCs w:val="24"/>
        </w:rPr>
        <w:t>Interpretation: The COVID-19 pandemic (2020-2021) is associated with a 2.89 percentage point improvement in current account balance, marginally significant at the 10% level.</w:t>
      </w:r>
    </w:p>
    <w:p w14:paraId="52607E8D" w14:textId="77777777" w:rsidR="00BF5D0F" w:rsidRPr="00BF5D0F" w:rsidRDefault="00BF5D0F" w:rsidP="00BF5D0F">
      <w:pPr>
        <w:jc w:val="both"/>
        <w:rPr>
          <w:rFonts w:cs="Times New Roman"/>
          <w:sz w:val="24"/>
          <w:szCs w:val="24"/>
        </w:rPr>
      </w:pPr>
      <w:r w:rsidRPr="00BF5D0F">
        <w:rPr>
          <w:rFonts w:cs="Times New Roman"/>
          <w:sz w:val="24"/>
          <w:szCs w:val="24"/>
        </w:rPr>
        <w:t>Economic Meaning: The positive COVID effect likely reflects the sharp decline in imports during lockdowns, combined with resilient remittance inflows. South Asian economies experienced current account improvements during the pandemic despite economic contraction.</w:t>
      </w:r>
    </w:p>
    <w:p w14:paraId="5AE3C58E" w14:textId="77777777" w:rsidR="00BF5D0F" w:rsidRPr="00BF5D0F" w:rsidRDefault="00BF5D0F" w:rsidP="00BF5D0F">
      <w:pPr>
        <w:jc w:val="both"/>
        <w:rPr>
          <w:rFonts w:cs="Times New Roman"/>
          <w:sz w:val="24"/>
          <w:szCs w:val="24"/>
        </w:rPr>
      </w:pPr>
      <w:r w:rsidRPr="00BF5D0F">
        <w:rPr>
          <w:rFonts w:cs="Times New Roman"/>
          <w:sz w:val="24"/>
          <w:szCs w:val="24"/>
        </w:rPr>
        <w:t>Hypothesis Status: Not explicitly hypothesised but captures crisis-period effects.</w:t>
      </w:r>
    </w:p>
    <w:p w14:paraId="6F1ECCB9" w14:textId="23493B2D" w:rsidR="00BF5D0F" w:rsidRPr="00BF5D0F" w:rsidRDefault="00BF5D0F" w:rsidP="00BF5D0F">
      <w:pPr>
        <w:jc w:val="both"/>
        <w:rPr>
          <w:rFonts w:cs="Times New Roman"/>
          <w:sz w:val="24"/>
          <w:szCs w:val="24"/>
        </w:rPr>
      </w:pPr>
    </w:p>
    <w:p w14:paraId="0BA0C3E1" w14:textId="3A686799" w:rsidR="00BF5D0F" w:rsidRPr="00BF5D0F" w:rsidRDefault="00BF5D0F" w:rsidP="00BF5D0F">
      <w:pPr>
        <w:jc w:val="both"/>
        <w:rPr>
          <w:rFonts w:cs="Times New Roman"/>
          <w:sz w:val="24"/>
          <w:szCs w:val="24"/>
        </w:rPr>
      </w:pPr>
      <w:r w:rsidRPr="00BF5D0F">
        <w:rPr>
          <w:rFonts w:cs="Times New Roman"/>
          <w:sz w:val="24"/>
          <w:szCs w:val="24"/>
        </w:rPr>
        <w:t xml:space="preserve"> SUMMARY TABLE</w:t>
      </w:r>
    </w:p>
    <w:tbl>
      <w:tblPr>
        <w:tblStyle w:val="TableGrid"/>
        <w:tblW w:w="0" w:type="auto"/>
        <w:tblLook w:val="04A0" w:firstRow="1" w:lastRow="0" w:firstColumn="1" w:lastColumn="0" w:noHBand="0" w:noVBand="1"/>
      </w:tblPr>
      <w:tblGrid>
        <w:gridCol w:w="1862"/>
        <w:gridCol w:w="1602"/>
        <w:gridCol w:w="1430"/>
        <w:gridCol w:w="1438"/>
        <w:gridCol w:w="2684"/>
      </w:tblGrid>
      <w:tr w:rsidR="00BF5D0F" w:rsidRPr="00BF5D0F" w14:paraId="4EE8CE44" w14:textId="77777777" w:rsidTr="00BF5D0F">
        <w:tc>
          <w:tcPr>
            <w:tcW w:w="0" w:type="auto"/>
            <w:hideMark/>
          </w:tcPr>
          <w:p w14:paraId="31874D28" w14:textId="77777777" w:rsidR="00BF5D0F" w:rsidRPr="00BF5D0F" w:rsidRDefault="00BF5D0F" w:rsidP="00BF5D0F">
            <w:pPr>
              <w:jc w:val="both"/>
              <w:rPr>
                <w:rFonts w:cs="Times New Roman"/>
                <w:sz w:val="24"/>
                <w:szCs w:val="24"/>
              </w:rPr>
            </w:pPr>
            <w:r w:rsidRPr="00BF5D0F">
              <w:rPr>
                <w:rFonts w:cs="Times New Roman"/>
                <w:sz w:val="24"/>
                <w:szCs w:val="24"/>
              </w:rPr>
              <w:t>Variable</w:t>
            </w:r>
          </w:p>
        </w:tc>
        <w:tc>
          <w:tcPr>
            <w:tcW w:w="0" w:type="auto"/>
            <w:hideMark/>
          </w:tcPr>
          <w:p w14:paraId="2EA7B6C6" w14:textId="77777777" w:rsidR="00BF5D0F" w:rsidRPr="00BF5D0F" w:rsidRDefault="00BF5D0F" w:rsidP="00BF5D0F">
            <w:pPr>
              <w:jc w:val="both"/>
              <w:rPr>
                <w:rFonts w:cs="Times New Roman"/>
                <w:sz w:val="24"/>
                <w:szCs w:val="24"/>
              </w:rPr>
            </w:pPr>
            <w:r w:rsidRPr="00BF5D0F">
              <w:rPr>
                <w:rFonts w:cs="Times New Roman"/>
                <w:sz w:val="24"/>
                <w:szCs w:val="24"/>
              </w:rPr>
              <w:t>Coefficient (M5)</w:t>
            </w:r>
          </w:p>
        </w:tc>
        <w:tc>
          <w:tcPr>
            <w:tcW w:w="0" w:type="auto"/>
            <w:hideMark/>
          </w:tcPr>
          <w:p w14:paraId="731B8917" w14:textId="77777777" w:rsidR="00BF5D0F" w:rsidRPr="00BF5D0F" w:rsidRDefault="00BF5D0F" w:rsidP="00BF5D0F">
            <w:pPr>
              <w:jc w:val="both"/>
              <w:rPr>
                <w:rFonts w:cs="Times New Roman"/>
                <w:sz w:val="24"/>
                <w:szCs w:val="24"/>
              </w:rPr>
            </w:pPr>
            <w:r w:rsidRPr="00BF5D0F">
              <w:rPr>
                <w:rFonts w:cs="Times New Roman"/>
                <w:sz w:val="24"/>
                <w:szCs w:val="24"/>
              </w:rPr>
              <w:t>Significance</w:t>
            </w:r>
          </w:p>
        </w:tc>
        <w:tc>
          <w:tcPr>
            <w:tcW w:w="0" w:type="auto"/>
            <w:hideMark/>
          </w:tcPr>
          <w:p w14:paraId="02673C48" w14:textId="77777777" w:rsidR="00BF5D0F" w:rsidRPr="00BF5D0F" w:rsidRDefault="00BF5D0F" w:rsidP="00BF5D0F">
            <w:pPr>
              <w:jc w:val="both"/>
              <w:rPr>
                <w:rFonts w:cs="Times New Roman"/>
                <w:sz w:val="24"/>
                <w:szCs w:val="24"/>
              </w:rPr>
            </w:pPr>
            <w:r w:rsidRPr="00BF5D0F">
              <w:rPr>
                <w:rFonts w:cs="Times New Roman"/>
                <w:sz w:val="24"/>
                <w:szCs w:val="24"/>
              </w:rPr>
              <w:t>Effect</w:t>
            </w:r>
          </w:p>
        </w:tc>
        <w:tc>
          <w:tcPr>
            <w:tcW w:w="0" w:type="auto"/>
            <w:hideMark/>
          </w:tcPr>
          <w:p w14:paraId="4D805279" w14:textId="77777777" w:rsidR="00BF5D0F" w:rsidRPr="00BF5D0F" w:rsidRDefault="00BF5D0F" w:rsidP="00BF5D0F">
            <w:pPr>
              <w:jc w:val="both"/>
              <w:rPr>
                <w:rFonts w:cs="Times New Roman"/>
                <w:sz w:val="24"/>
                <w:szCs w:val="24"/>
              </w:rPr>
            </w:pPr>
            <w:r w:rsidRPr="00BF5D0F">
              <w:rPr>
                <w:rFonts w:cs="Times New Roman"/>
                <w:sz w:val="24"/>
                <w:szCs w:val="24"/>
              </w:rPr>
              <w:t>Hypothesis Status</w:t>
            </w:r>
          </w:p>
        </w:tc>
      </w:tr>
      <w:tr w:rsidR="00BF5D0F" w:rsidRPr="00BF5D0F" w14:paraId="7B0B26E5" w14:textId="77777777" w:rsidTr="00BF5D0F">
        <w:tc>
          <w:tcPr>
            <w:tcW w:w="0" w:type="auto"/>
            <w:hideMark/>
          </w:tcPr>
          <w:p w14:paraId="543DDD2B" w14:textId="77777777" w:rsidR="00BF5D0F" w:rsidRPr="00BF5D0F" w:rsidRDefault="00BF5D0F" w:rsidP="00BF5D0F">
            <w:pPr>
              <w:jc w:val="both"/>
              <w:rPr>
                <w:rFonts w:cs="Times New Roman"/>
                <w:sz w:val="24"/>
                <w:szCs w:val="24"/>
              </w:rPr>
            </w:pPr>
            <w:r w:rsidRPr="00BF5D0F">
              <w:rPr>
                <w:rFonts w:cs="Times New Roman"/>
                <w:sz w:val="24"/>
                <w:szCs w:val="24"/>
              </w:rPr>
              <w:t>Fiscal Balance</w:t>
            </w:r>
          </w:p>
        </w:tc>
        <w:tc>
          <w:tcPr>
            <w:tcW w:w="0" w:type="auto"/>
            <w:hideMark/>
          </w:tcPr>
          <w:p w14:paraId="645AABFC" w14:textId="77777777" w:rsidR="00BF5D0F" w:rsidRPr="00BF5D0F" w:rsidRDefault="00BF5D0F" w:rsidP="00BF5D0F">
            <w:pPr>
              <w:jc w:val="both"/>
              <w:rPr>
                <w:rFonts w:cs="Times New Roman"/>
                <w:sz w:val="24"/>
                <w:szCs w:val="24"/>
              </w:rPr>
            </w:pPr>
            <w:r w:rsidRPr="00BF5D0F">
              <w:rPr>
                <w:rFonts w:cs="Times New Roman"/>
                <w:sz w:val="24"/>
                <w:szCs w:val="24"/>
              </w:rPr>
              <w:t>0.132</w:t>
            </w:r>
          </w:p>
        </w:tc>
        <w:tc>
          <w:tcPr>
            <w:tcW w:w="0" w:type="auto"/>
            <w:hideMark/>
          </w:tcPr>
          <w:p w14:paraId="0584DBEF" w14:textId="77777777" w:rsidR="00BF5D0F" w:rsidRPr="00BF5D0F" w:rsidRDefault="00BF5D0F" w:rsidP="00BF5D0F">
            <w:pPr>
              <w:jc w:val="both"/>
              <w:rPr>
                <w:rFonts w:cs="Times New Roman"/>
                <w:sz w:val="24"/>
                <w:szCs w:val="24"/>
              </w:rPr>
            </w:pPr>
            <w:r w:rsidRPr="00BF5D0F">
              <w:rPr>
                <w:rFonts w:cs="Times New Roman"/>
                <w:sz w:val="24"/>
                <w:szCs w:val="24"/>
              </w:rPr>
              <w:t>Insignificant</w:t>
            </w:r>
          </w:p>
        </w:tc>
        <w:tc>
          <w:tcPr>
            <w:tcW w:w="0" w:type="auto"/>
            <w:hideMark/>
          </w:tcPr>
          <w:p w14:paraId="54F61D31" w14:textId="77777777" w:rsidR="00BF5D0F" w:rsidRPr="00BF5D0F" w:rsidRDefault="00BF5D0F" w:rsidP="00BF5D0F">
            <w:pPr>
              <w:jc w:val="both"/>
              <w:rPr>
                <w:rFonts w:cs="Times New Roman"/>
                <w:sz w:val="24"/>
                <w:szCs w:val="24"/>
              </w:rPr>
            </w:pPr>
            <w:r w:rsidRPr="00BF5D0F">
              <w:rPr>
                <w:rFonts w:cs="Times New Roman"/>
                <w:sz w:val="24"/>
                <w:szCs w:val="24"/>
              </w:rPr>
              <w:t>Weak positive</w:t>
            </w:r>
          </w:p>
        </w:tc>
        <w:tc>
          <w:tcPr>
            <w:tcW w:w="0" w:type="auto"/>
            <w:hideMark/>
          </w:tcPr>
          <w:p w14:paraId="00CAB194" w14:textId="77777777" w:rsidR="00BF5D0F" w:rsidRPr="00BF5D0F" w:rsidRDefault="00BF5D0F" w:rsidP="00BF5D0F">
            <w:pPr>
              <w:jc w:val="both"/>
              <w:rPr>
                <w:rFonts w:cs="Times New Roman"/>
                <w:sz w:val="24"/>
                <w:szCs w:val="24"/>
              </w:rPr>
            </w:pPr>
            <w:r w:rsidRPr="00BF5D0F">
              <w:rPr>
                <w:rFonts w:cs="Times New Roman"/>
                <w:sz w:val="24"/>
                <w:szCs w:val="24"/>
              </w:rPr>
              <w:t>H₁: Weak/Mixed</w:t>
            </w:r>
          </w:p>
        </w:tc>
      </w:tr>
      <w:tr w:rsidR="00BF5D0F" w:rsidRPr="00BF5D0F" w14:paraId="15CF3C32" w14:textId="77777777" w:rsidTr="00BF5D0F">
        <w:tc>
          <w:tcPr>
            <w:tcW w:w="0" w:type="auto"/>
            <w:hideMark/>
          </w:tcPr>
          <w:p w14:paraId="75E01EDE" w14:textId="77777777" w:rsidR="00BF5D0F" w:rsidRPr="00BF5D0F" w:rsidRDefault="00BF5D0F" w:rsidP="00BF5D0F">
            <w:pPr>
              <w:jc w:val="both"/>
              <w:rPr>
                <w:rFonts w:cs="Times New Roman"/>
                <w:sz w:val="24"/>
                <w:szCs w:val="24"/>
              </w:rPr>
            </w:pPr>
            <w:r w:rsidRPr="00BF5D0F">
              <w:rPr>
                <w:rFonts w:cs="Times New Roman"/>
                <w:sz w:val="24"/>
                <w:szCs w:val="24"/>
              </w:rPr>
              <w:t>Private Credit</w:t>
            </w:r>
          </w:p>
        </w:tc>
        <w:tc>
          <w:tcPr>
            <w:tcW w:w="0" w:type="auto"/>
            <w:hideMark/>
          </w:tcPr>
          <w:p w14:paraId="320D23CF" w14:textId="77777777" w:rsidR="00BF5D0F" w:rsidRPr="00BF5D0F" w:rsidRDefault="00BF5D0F" w:rsidP="00BF5D0F">
            <w:pPr>
              <w:jc w:val="both"/>
              <w:rPr>
                <w:rFonts w:cs="Times New Roman"/>
                <w:sz w:val="24"/>
                <w:szCs w:val="24"/>
              </w:rPr>
            </w:pPr>
            <w:r w:rsidRPr="00BF5D0F">
              <w:rPr>
                <w:rFonts w:cs="Times New Roman"/>
                <w:sz w:val="24"/>
                <w:szCs w:val="24"/>
              </w:rPr>
              <w:t>-0.180</w:t>
            </w:r>
          </w:p>
        </w:tc>
        <w:tc>
          <w:tcPr>
            <w:tcW w:w="0" w:type="auto"/>
            <w:hideMark/>
          </w:tcPr>
          <w:p w14:paraId="3D238B19" w14:textId="77777777" w:rsidR="00BF5D0F" w:rsidRPr="00BF5D0F" w:rsidRDefault="00BF5D0F" w:rsidP="00BF5D0F">
            <w:pPr>
              <w:jc w:val="both"/>
              <w:rPr>
                <w:rFonts w:cs="Times New Roman"/>
                <w:sz w:val="24"/>
                <w:szCs w:val="24"/>
              </w:rPr>
            </w:pPr>
            <w:r w:rsidRPr="00BF5D0F">
              <w:rPr>
                <w:rFonts w:cs="Times New Roman"/>
                <w:sz w:val="24"/>
                <w:szCs w:val="24"/>
              </w:rPr>
              <w:t>Insignificant</w:t>
            </w:r>
          </w:p>
        </w:tc>
        <w:tc>
          <w:tcPr>
            <w:tcW w:w="0" w:type="auto"/>
            <w:hideMark/>
          </w:tcPr>
          <w:p w14:paraId="179C2230" w14:textId="77777777" w:rsidR="00BF5D0F" w:rsidRPr="00BF5D0F" w:rsidRDefault="00BF5D0F" w:rsidP="00BF5D0F">
            <w:pPr>
              <w:jc w:val="both"/>
              <w:rPr>
                <w:rFonts w:cs="Times New Roman"/>
                <w:sz w:val="24"/>
                <w:szCs w:val="24"/>
              </w:rPr>
            </w:pPr>
            <w:r w:rsidRPr="00BF5D0F">
              <w:rPr>
                <w:rFonts w:cs="Times New Roman"/>
                <w:sz w:val="24"/>
                <w:szCs w:val="24"/>
              </w:rPr>
              <w:t>Negative</w:t>
            </w:r>
          </w:p>
        </w:tc>
        <w:tc>
          <w:tcPr>
            <w:tcW w:w="0" w:type="auto"/>
            <w:hideMark/>
          </w:tcPr>
          <w:p w14:paraId="5BD858B0" w14:textId="77777777" w:rsidR="00BF5D0F" w:rsidRPr="00BF5D0F" w:rsidRDefault="00BF5D0F" w:rsidP="00BF5D0F">
            <w:pPr>
              <w:jc w:val="both"/>
              <w:rPr>
                <w:rFonts w:cs="Times New Roman"/>
                <w:sz w:val="24"/>
                <w:szCs w:val="24"/>
              </w:rPr>
            </w:pPr>
            <w:r w:rsidRPr="00BF5D0F">
              <w:rPr>
                <w:rFonts w:cs="Times New Roman"/>
                <w:sz w:val="24"/>
                <w:szCs w:val="24"/>
              </w:rPr>
              <w:t>H₂ₐ: Not Supported</w:t>
            </w:r>
          </w:p>
        </w:tc>
      </w:tr>
      <w:tr w:rsidR="00BF5D0F" w:rsidRPr="00BF5D0F" w14:paraId="6A27EA25" w14:textId="77777777" w:rsidTr="00BF5D0F">
        <w:tc>
          <w:tcPr>
            <w:tcW w:w="0" w:type="auto"/>
            <w:hideMark/>
          </w:tcPr>
          <w:p w14:paraId="4A44FEFD" w14:textId="77777777" w:rsidR="00BF5D0F" w:rsidRPr="00BF5D0F" w:rsidRDefault="00BF5D0F" w:rsidP="00BF5D0F">
            <w:pPr>
              <w:jc w:val="both"/>
              <w:rPr>
                <w:rFonts w:cs="Times New Roman"/>
                <w:sz w:val="24"/>
                <w:szCs w:val="24"/>
              </w:rPr>
            </w:pPr>
            <w:r w:rsidRPr="00BF5D0F">
              <w:rPr>
                <w:rFonts w:cs="Times New Roman"/>
                <w:sz w:val="24"/>
                <w:szCs w:val="24"/>
              </w:rPr>
              <w:t>Interest Rate</w:t>
            </w:r>
          </w:p>
        </w:tc>
        <w:tc>
          <w:tcPr>
            <w:tcW w:w="0" w:type="auto"/>
            <w:hideMark/>
          </w:tcPr>
          <w:p w14:paraId="53F70BEC" w14:textId="77777777" w:rsidR="00BF5D0F" w:rsidRPr="00BF5D0F" w:rsidRDefault="00BF5D0F" w:rsidP="00BF5D0F">
            <w:pPr>
              <w:jc w:val="both"/>
              <w:rPr>
                <w:rFonts w:cs="Times New Roman"/>
                <w:sz w:val="24"/>
                <w:szCs w:val="24"/>
              </w:rPr>
            </w:pPr>
            <w:r w:rsidRPr="00BF5D0F">
              <w:rPr>
                <w:rFonts w:cs="Times New Roman"/>
                <w:sz w:val="24"/>
                <w:szCs w:val="24"/>
              </w:rPr>
              <w:t>0.183</w:t>
            </w:r>
          </w:p>
        </w:tc>
        <w:tc>
          <w:tcPr>
            <w:tcW w:w="0" w:type="auto"/>
            <w:hideMark/>
          </w:tcPr>
          <w:p w14:paraId="479138AC" w14:textId="77777777" w:rsidR="00BF5D0F" w:rsidRPr="00BF5D0F" w:rsidRDefault="00BF5D0F" w:rsidP="00BF5D0F">
            <w:pPr>
              <w:jc w:val="both"/>
              <w:rPr>
                <w:rFonts w:cs="Times New Roman"/>
                <w:sz w:val="24"/>
                <w:szCs w:val="24"/>
              </w:rPr>
            </w:pPr>
            <w:r w:rsidRPr="00BF5D0F">
              <w:rPr>
                <w:rFonts w:cs="Times New Roman"/>
                <w:sz w:val="24"/>
                <w:szCs w:val="24"/>
              </w:rPr>
              <w:t>Insignificant</w:t>
            </w:r>
          </w:p>
        </w:tc>
        <w:tc>
          <w:tcPr>
            <w:tcW w:w="0" w:type="auto"/>
            <w:hideMark/>
          </w:tcPr>
          <w:p w14:paraId="2937F374" w14:textId="77777777" w:rsidR="00BF5D0F" w:rsidRPr="00BF5D0F" w:rsidRDefault="00BF5D0F" w:rsidP="00BF5D0F">
            <w:pPr>
              <w:jc w:val="both"/>
              <w:rPr>
                <w:rFonts w:cs="Times New Roman"/>
                <w:sz w:val="24"/>
                <w:szCs w:val="24"/>
              </w:rPr>
            </w:pPr>
            <w:r w:rsidRPr="00BF5D0F">
              <w:rPr>
                <w:rFonts w:cs="Times New Roman"/>
                <w:sz w:val="24"/>
                <w:szCs w:val="24"/>
              </w:rPr>
              <w:t>Positive</w:t>
            </w:r>
          </w:p>
        </w:tc>
        <w:tc>
          <w:tcPr>
            <w:tcW w:w="0" w:type="auto"/>
            <w:hideMark/>
          </w:tcPr>
          <w:p w14:paraId="6283823B" w14:textId="77777777" w:rsidR="00BF5D0F" w:rsidRPr="00BF5D0F" w:rsidRDefault="00BF5D0F" w:rsidP="00BF5D0F">
            <w:pPr>
              <w:jc w:val="both"/>
              <w:rPr>
                <w:rFonts w:cs="Times New Roman"/>
                <w:sz w:val="24"/>
                <w:szCs w:val="24"/>
              </w:rPr>
            </w:pPr>
            <w:r w:rsidRPr="00BF5D0F">
              <w:rPr>
                <w:rFonts w:cs="Times New Roman"/>
                <w:sz w:val="24"/>
                <w:szCs w:val="24"/>
              </w:rPr>
              <w:t>H₂b: Not Supported</w:t>
            </w:r>
          </w:p>
        </w:tc>
      </w:tr>
      <w:tr w:rsidR="00BF5D0F" w:rsidRPr="00BF5D0F" w14:paraId="46089FC4" w14:textId="77777777" w:rsidTr="00BF5D0F">
        <w:tc>
          <w:tcPr>
            <w:tcW w:w="0" w:type="auto"/>
            <w:hideMark/>
          </w:tcPr>
          <w:p w14:paraId="184E900B" w14:textId="77777777" w:rsidR="00BF5D0F" w:rsidRPr="00BF5D0F" w:rsidRDefault="00BF5D0F" w:rsidP="00BF5D0F">
            <w:pPr>
              <w:jc w:val="both"/>
              <w:rPr>
                <w:rFonts w:cs="Times New Roman"/>
                <w:sz w:val="24"/>
                <w:szCs w:val="24"/>
              </w:rPr>
            </w:pPr>
            <w:r w:rsidRPr="00BF5D0F">
              <w:rPr>
                <w:rFonts w:cs="Times New Roman"/>
                <w:sz w:val="24"/>
                <w:szCs w:val="24"/>
              </w:rPr>
              <w:t>FDI</w:t>
            </w:r>
          </w:p>
        </w:tc>
        <w:tc>
          <w:tcPr>
            <w:tcW w:w="0" w:type="auto"/>
            <w:hideMark/>
          </w:tcPr>
          <w:p w14:paraId="18F8C07A" w14:textId="77777777" w:rsidR="00BF5D0F" w:rsidRPr="00BF5D0F" w:rsidRDefault="00BF5D0F" w:rsidP="00BF5D0F">
            <w:pPr>
              <w:jc w:val="both"/>
              <w:rPr>
                <w:rFonts w:cs="Times New Roman"/>
                <w:sz w:val="24"/>
                <w:szCs w:val="24"/>
              </w:rPr>
            </w:pPr>
            <w:r w:rsidRPr="00BF5D0F">
              <w:rPr>
                <w:rFonts w:cs="Times New Roman"/>
                <w:sz w:val="24"/>
                <w:szCs w:val="24"/>
              </w:rPr>
              <w:t>1.141</w:t>
            </w:r>
          </w:p>
        </w:tc>
        <w:tc>
          <w:tcPr>
            <w:tcW w:w="0" w:type="auto"/>
            <w:hideMark/>
          </w:tcPr>
          <w:p w14:paraId="19FCD0EE" w14:textId="77777777" w:rsidR="00BF5D0F" w:rsidRPr="00BF5D0F" w:rsidRDefault="00BF5D0F" w:rsidP="00BF5D0F">
            <w:pPr>
              <w:jc w:val="both"/>
              <w:rPr>
                <w:rFonts w:cs="Times New Roman"/>
                <w:sz w:val="24"/>
                <w:szCs w:val="24"/>
              </w:rPr>
            </w:pPr>
            <w:r w:rsidRPr="00BF5D0F">
              <w:rPr>
                <w:rFonts w:cs="Times New Roman"/>
                <w:sz w:val="24"/>
                <w:szCs w:val="24"/>
              </w:rPr>
              <w:t>Insignificant</w:t>
            </w:r>
          </w:p>
        </w:tc>
        <w:tc>
          <w:tcPr>
            <w:tcW w:w="0" w:type="auto"/>
            <w:hideMark/>
          </w:tcPr>
          <w:p w14:paraId="12E7EE50" w14:textId="77777777" w:rsidR="00BF5D0F" w:rsidRPr="00BF5D0F" w:rsidRDefault="00BF5D0F" w:rsidP="00BF5D0F">
            <w:pPr>
              <w:jc w:val="both"/>
              <w:rPr>
                <w:rFonts w:cs="Times New Roman"/>
                <w:sz w:val="24"/>
                <w:szCs w:val="24"/>
              </w:rPr>
            </w:pPr>
            <w:r w:rsidRPr="00BF5D0F">
              <w:rPr>
                <w:rFonts w:cs="Times New Roman"/>
                <w:sz w:val="24"/>
                <w:szCs w:val="24"/>
              </w:rPr>
              <w:t>Positive</w:t>
            </w:r>
          </w:p>
        </w:tc>
        <w:tc>
          <w:tcPr>
            <w:tcW w:w="0" w:type="auto"/>
            <w:hideMark/>
          </w:tcPr>
          <w:p w14:paraId="66AE4136" w14:textId="77777777" w:rsidR="00BF5D0F" w:rsidRPr="00BF5D0F" w:rsidRDefault="00BF5D0F" w:rsidP="00BF5D0F">
            <w:pPr>
              <w:jc w:val="both"/>
              <w:rPr>
                <w:rFonts w:cs="Times New Roman"/>
                <w:sz w:val="24"/>
                <w:szCs w:val="24"/>
              </w:rPr>
            </w:pPr>
            <w:r w:rsidRPr="00BF5D0F">
              <w:rPr>
                <w:rFonts w:cs="Times New Roman"/>
                <w:sz w:val="24"/>
                <w:szCs w:val="24"/>
              </w:rPr>
              <w:t>H₅: Strongly Supported (in M3, R2)</w:t>
            </w:r>
          </w:p>
        </w:tc>
      </w:tr>
      <w:tr w:rsidR="00BF5D0F" w:rsidRPr="00BF5D0F" w14:paraId="44EA655A" w14:textId="77777777" w:rsidTr="00BF5D0F">
        <w:tc>
          <w:tcPr>
            <w:tcW w:w="0" w:type="auto"/>
            <w:hideMark/>
          </w:tcPr>
          <w:p w14:paraId="53E5F24D" w14:textId="77777777" w:rsidR="00BF5D0F" w:rsidRPr="00BF5D0F" w:rsidRDefault="00BF5D0F" w:rsidP="00BF5D0F">
            <w:pPr>
              <w:jc w:val="both"/>
              <w:rPr>
                <w:rFonts w:cs="Times New Roman"/>
                <w:sz w:val="24"/>
                <w:szCs w:val="24"/>
              </w:rPr>
            </w:pPr>
            <w:r w:rsidRPr="00BF5D0F">
              <w:rPr>
                <w:rFonts w:cs="Times New Roman"/>
                <w:sz w:val="24"/>
                <w:szCs w:val="24"/>
              </w:rPr>
              <w:lastRenderedPageBreak/>
              <w:t>Remittances</w:t>
            </w:r>
          </w:p>
        </w:tc>
        <w:tc>
          <w:tcPr>
            <w:tcW w:w="0" w:type="auto"/>
            <w:hideMark/>
          </w:tcPr>
          <w:p w14:paraId="378D547B" w14:textId="77777777" w:rsidR="00BF5D0F" w:rsidRPr="00BF5D0F" w:rsidRDefault="00BF5D0F" w:rsidP="00BF5D0F">
            <w:pPr>
              <w:jc w:val="both"/>
              <w:rPr>
                <w:rFonts w:cs="Times New Roman"/>
                <w:sz w:val="24"/>
                <w:szCs w:val="24"/>
              </w:rPr>
            </w:pPr>
            <w:r w:rsidRPr="00BF5D0F">
              <w:rPr>
                <w:rFonts w:cs="Times New Roman"/>
                <w:sz w:val="24"/>
                <w:szCs w:val="24"/>
              </w:rPr>
              <w:t>0.544</w:t>
            </w:r>
          </w:p>
        </w:tc>
        <w:tc>
          <w:tcPr>
            <w:tcW w:w="0" w:type="auto"/>
            <w:hideMark/>
          </w:tcPr>
          <w:p w14:paraId="43EECAB9" w14:textId="77777777" w:rsidR="00BF5D0F" w:rsidRPr="00BF5D0F" w:rsidRDefault="00BF5D0F" w:rsidP="00BF5D0F">
            <w:pPr>
              <w:jc w:val="both"/>
              <w:rPr>
                <w:rFonts w:cs="Times New Roman"/>
                <w:sz w:val="24"/>
                <w:szCs w:val="24"/>
              </w:rPr>
            </w:pPr>
            <w:r w:rsidRPr="00BF5D0F">
              <w:rPr>
                <w:rFonts w:cs="Times New Roman"/>
                <w:sz w:val="24"/>
                <w:szCs w:val="24"/>
              </w:rPr>
              <w:t>**</w:t>
            </w:r>
          </w:p>
        </w:tc>
        <w:tc>
          <w:tcPr>
            <w:tcW w:w="0" w:type="auto"/>
            <w:hideMark/>
          </w:tcPr>
          <w:p w14:paraId="3AE40575" w14:textId="77777777" w:rsidR="00BF5D0F" w:rsidRPr="00BF5D0F" w:rsidRDefault="00BF5D0F" w:rsidP="00BF5D0F">
            <w:pPr>
              <w:jc w:val="both"/>
              <w:rPr>
                <w:rFonts w:cs="Times New Roman"/>
                <w:sz w:val="24"/>
                <w:szCs w:val="24"/>
              </w:rPr>
            </w:pPr>
            <w:r w:rsidRPr="00BF5D0F">
              <w:rPr>
                <w:rFonts w:cs="Times New Roman"/>
                <w:sz w:val="24"/>
                <w:szCs w:val="24"/>
              </w:rPr>
              <w:t>Positive</w:t>
            </w:r>
          </w:p>
        </w:tc>
        <w:tc>
          <w:tcPr>
            <w:tcW w:w="0" w:type="auto"/>
            <w:hideMark/>
          </w:tcPr>
          <w:p w14:paraId="58B222B5" w14:textId="77777777" w:rsidR="00BF5D0F" w:rsidRPr="00BF5D0F" w:rsidRDefault="00BF5D0F" w:rsidP="00BF5D0F">
            <w:pPr>
              <w:jc w:val="both"/>
              <w:rPr>
                <w:rFonts w:cs="Times New Roman"/>
                <w:sz w:val="24"/>
                <w:szCs w:val="24"/>
              </w:rPr>
            </w:pPr>
            <w:r w:rsidRPr="00BF5D0F">
              <w:rPr>
                <w:rFonts w:cs="Times New Roman"/>
                <w:sz w:val="24"/>
                <w:szCs w:val="24"/>
              </w:rPr>
              <w:t>H₄: Strongly Supported</w:t>
            </w:r>
          </w:p>
        </w:tc>
      </w:tr>
      <w:tr w:rsidR="00BF5D0F" w:rsidRPr="00BF5D0F" w14:paraId="4ACE96B2" w14:textId="77777777" w:rsidTr="00BF5D0F">
        <w:tc>
          <w:tcPr>
            <w:tcW w:w="0" w:type="auto"/>
            <w:hideMark/>
          </w:tcPr>
          <w:p w14:paraId="6F3F013D" w14:textId="77777777" w:rsidR="00BF5D0F" w:rsidRPr="00BF5D0F" w:rsidRDefault="00BF5D0F" w:rsidP="00BF5D0F">
            <w:pPr>
              <w:jc w:val="both"/>
              <w:rPr>
                <w:rFonts w:cs="Times New Roman"/>
                <w:sz w:val="24"/>
                <w:szCs w:val="24"/>
              </w:rPr>
            </w:pPr>
            <w:r w:rsidRPr="00BF5D0F">
              <w:rPr>
                <w:rFonts w:cs="Times New Roman"/>
                <w:sz w:val="24"/>
                <w:szCs w:val="24"/>
              </w:rPr>
              <w:t>Fiscal × FDI</w:t>
            </w:r>
          </w:p>
        </w:tc>
        <w:tc>
          <w:tcPr>
            <w:tcW w:w="0" w:type="auto"/>
            <w:hideMark/>
          </w:tcPr>
          <w:p w14:paraId="5F1F6F4E" w14:textId="77777777" w:rsidR="00BF5D0F" w:rsidRPr="00BF5D0F" w:rsidRDefault="00BF5D0F" w:rsidP="00BF5D0F">
            <w:pPr>
              <w:jc w:val="both"/>
              <w:rPr>
                <w:rFonts w:cs="Times New Roman"/>
                <w:sz w:val="24"/>
                <w:szCs w:val="24"/>
              </w:rPr>
            </w:pPr>
            <w:r w:rsidRPr="00BF5D0F">
              <w:rPr>
                <w:rFonts w:cs="Times New Roman"/>
                <w:sz w:val="24"/>
                <w:szCs w:val="24"/>
              </w:rPr>
              <w:t>0.481</w:t>
            </w:r>
          </w:p>
        </w:tc>
        <w:tc>
          <w:tcPr>
            <w:tcW w:w="0" w:type="auto"/>
            <w:hideMark/>
          </w:tcPr>
          <w:p w14:paraId="53FDDDA0" w14:textId="77777777" w:rsidR="00BF5D0F" w:rsidRPr="00BF5D0F" w:rsidRDefault="00BF5D0F" w:rsidP="00BF5D0F">
            <w:pPr>
              <w:jc w:val="both"/>
              <w:rPr>
                <w:rFonts w:cs="Times New Roman"/>
                <w:sz w:val="24"/>
                <w:szCs w:val="24"/>
              </w:rPr>
            </w:pPr>
            <w:r w:rsidRPr="00BF5D0F">
              <w:rPr>
                <w:rFonts w:cs="Times New Roman"/>
                <w:sz w:val="24"/>
                <w:szCs w:val="24"/>
              </w:rPr>
              <w:t>**</w:t>
            </w:r>
          </w:p>
        </w:tc>
        <w:tc>
          <w:tcPr>
            <w:tcW w:w="0" w:type="auto"/>
            <w:hideMark/>
          </w:tcPr>
          <w:p w14:paraId="4D2C183E" w14:textId="77777777" w:rsidR="00BF5D0F" w:rsidRPr="00BF5D0F" w:rsidRDefault="00BF5D0F" w:rsidP="00BF5D0F">
            <w:pPr>
              <w:jc w:val="both"/>
              <w:rPr>
                <w:rFonts w:cs="Times New Roman"/>
                <w:sz w:val="24"/>
                <w:szCs w:val="24"/>
              </w:rPr>
            </w:pPr>
            <w:r w:rsidRPr="00BF5D0F">
              <w:rPr>
                <w:rFonts w:cs="Times New Roman"/>
                <w:sz w:val="24"/>
                <w:szCs w:val="24"/>
              </w:rPr>
              <w:t>Amplifies</w:t>
            </w:r>
          </w:p>
        </w:tc>
        <w:tc>
          <w:tcPr>
            <w:tcW w:w="0" w:type="auto"/>
            <w:hideMark/>
          </w:tcPr>
          <w:p w14:paraId="2FAAE98D" w14:textId="77777777" w:rsidR="00BF5D0F" w:rsidRPr="00BF5D0F" w:rsidRDefault="00BF5D0F" w:rsidP="00BF5D0F">
            <w:pPr>
              <w:jc w:val="both"/>
              <w:rPr>
                <w:rFonts w:cs="Times New Roman"/>
                <w:sz w:val="24"/>
                <w:szCs w:val="24"/>
              </w:rPr>
            </w:pPr>
            <w:r w:rsidRPr="00BF5D0F">
              <w:rPr>
                <w:rFonts w:cs="Times New Roman"/>
                <w:sz w:val="24"/>
                <w:szCs w:val="24"/>
              </w:rPr>
              <w:t>H₃ₐ: Partially Supported</w:t>
            </w:r>
          </w:p>
        </w:tc>
      </w:tr>
      <w:tr w:rsidR="00BF5D0F" w:rsidRPr="00BF5D0F" w14:paraId="2EAE4ECD" w14:textId="77777777" w:rsidTr="00BF5D0F">
        <w:tc>
          <w:tcPr>
            <w:tcW w:w="0" w:type="auto"/>
            <w:hideMark/>
          </w:tcPr>
          <w:p w14:paraId="727807A6" w14:textId="77777777" w:rsidR="00BF5D0F" w:rsidRPr="00BF5D0F" w:rsidRDefault="00BF5D0F" w:rsidP="00BF5D0F">
            <w:pPr>
              <w:jc w:val="both"/>
              <w:rPr>
                <w:rFonts w:cs="Times New Roman"/>
                <w:sz w:val="24"/>
                <w:szCs w:val="24"/>
              </w:rPr>
            </w:pPr>
            <w:r w:rsidRPr="00BF5D0F">
              <w:rPr>
                <w:rFonts w:cs="Times New Roman"/>
                <w:sz w:val="24"/>
                <w:szCs w:val="24"/>
              </w:rPr>
              <w:t>Fiscal × Remittances</w:t>
            </w:r>
          </w:p>
        </w:tc>
        <w:tc>
          <w:tcPr>
            <w:tcW w:w="0" w:type="auto"/>
            <w:hideMark/>
          </w:tcPr>
          <w:p w14:paraId="01CA551C" w14:textId="77777777" w:rsidR="00BF5D0F" w:rsidRPr="00BF5D0F" w:rsidRDefault="00BF5D0F" w:rsidP="00BF5D0F">
            <w:pPr>
              <w:jc w:val="both"/>
              <w:rPr>
                <w:rFonts w:cs="Times New Roman"/>
                <w:sz w:val="24"/>
                <w:szCs w:val="24"/>
              </w:rPr>
            </w:pPr>
            <w:r w:rsidRPr="00BF5D0F">
              <w:rPr>
                <w:rFonts w:cs="Times New Roman"/>
                <w:sz w:val="24"/>
                <w:szCs w:val="24"/>
              </w:rPr>
              <w:t>-0.073</w:t>
            </w:r>
          </w:p>
        </w:tc>
        <w:tc>
          <w:tcPr>
            <w:tcW w:w="0" w:type="auto"/>
            <w:hideMark/>
          </w:tcPr>
          <w:p w14:paraId="4A2FB291" w14:textId="77777777" w:rsidR="00BF5D0F" w:rsidRPr="00BF5D0F" w:rsidRDefault="00BF5D0F" w:rsidP="00BF5D0F">
            <w:pPr>
              <w:jc w:val="both"/>
              <w:rPr>
                <w:rFonts w:cs="Times New Roman"/>
                <w:sz w:val="24"/>
                <w:szCs w:val="24"/>
              </w:rPr>
            </w:pPr>
            <w:r w:rsidRPr="00BF5D0F">
              <w:rPr>
                <w:rFonts w:cs="Times New Roman"/>
                <w:sz w:val="24"/>
                <w:szCs w:val="24"/>
              </w:rPr>
              <w:t>Insignificant</w:t>
            </w:r>
          </w:p>
        </w:tc>
        <w:tc>
          <w:tcPr>
            <w:tcW w:w="0" w:type="auto"/>
            <w:hideMark/>
          </w:tcPr>
          <w:p w14:paraId="22E242A4" w14:textId="77777777" w:rsidR="00BF5D0F" w:rsidRPr="00BF5D0F" w:rsidRDefault="00BF5D0F" w:rsidP="00BF5D0F">
            <w:pPr>
              <w:jc w:val="both"/>
              <w:rPr>
                <w:rFonts w:cs="Times New Roman"/>
                <w:sz w:val="24"/>
                <w:szCs w:val="24"/>
              </w:rPr>
            </w:pPr>
            <w:r w:rsidRPr="00BF5D0F">
              <w:rPr>
                <w:rFonts w:cs="Times New Roman"/>
                <w:sz w:val="24"/>
                <w:szCs w:val="24"/>
              </w:rPr>
              <w:t>Weak negative</w:t>
            </w:r>
          </w:p>
        </w:tc>
        <w:tc>
          <w:tcPr>
            <w:tcW w:w="0" w:type="auto"/>
            <w:hideMark/>
          </w:tcPr>
          <w:p w14:paraId="5D234F83" w14:textId="77777777" w:rsidR="00BF5D0F" w:rsidRPr="00BF5D0F" w:rsidRDefault="00BF5D0F" w:rsidP="00BF5D0F">
            <w:pPr>
              <w:jc w:val="both"/>
              <w:rPr>
                <w:rFonts w:cs="Times New Roman"/>
                <w:sz w:val="24"/>
                <w:szCs w:val="24"/>
              </w:rPr>
            </w:pPr>
            <w:r w:rsidRPr="00BF5D0F">
              <w:rPr>
                <w:rFonts w:cs="Times New Roman"/>
                <w:sz w:val="24"/>
                <w:szCs w:val="24"/>
              </w:rPr>
              <w:t>H₃b: Not Supported</w:t>
            </w:r>
          </w:p>
        </w:tc>
      </w:tr>
      <w:tr w:rsidR="00BF5D0F" w:rsidRPr="00BF5D0F" w14:paraId="2C4BEDCF" w14:textId="77777777" w:rsidTr="00BF5D0F">
        <w:tc>
          <w:tcPr>
            <w:tcW w:w="0" w:type="auto"/>
            <w:hideMark/>
          </w:tcPr>
          <w:p w14:paraId="7011CBC3" w14:textId="77777777" w:rsidR="00BF5D0F" w:rsidRPr="00BF5D0F" w:rsidRDefault="00BF5D0F" w:rsidP="00BF5D0F">
            <w:pPr>
              <w:jc w:val="both"/>
              <w:rPr>
                <w:rFonts w:cs="Times New Roman"/>
                <w:sz w:val="24"/>
                <w:szCs w:val="24"/>
              </w:rPr>
            </w:pPr>
            <w:r w:rsidRPr="00BF5D0F">
              <w:rPr>
                <w:rFonts w:cs="Times New Roman"/>
                <w:sz w:val="24"/>
                <w:szCs w:val="24"/>
              </w:rPr>
              <w:t>Trade Openness</w:t>
            </w:r>
          </w:p>
        </w:tc>
        <w:tc>
          <w:tcPr>
            <w:tcW w:w="0" w:type="auto"/>
            <w:hideMark/>
          </w:tcPr>
          <w:p w14:paraId="75C2E801" w14:textId="77777777" w:rsidR="00BF5D0F" w:rsidRPr="00BF5D0F" w:rsidRDefault="00BF5D0F" w:rsidP="00BF5D0F">
            <w:pPr>
              <w:jc w:val="both"/>
              <w:rPr>
                <w:rFonts w:cs="Times New Roman"/>
                <w:sz w:val="24"/>
                <w:szCs w:val="24"/>
              </w:rPr>
            </w:pPr>
            <w:r w:rsidRPr="00BF5D0F">
              <w:rPr>
                <w:rFonts w:cs="Times New Roman"/>
                <w:sz w:val="24"/>
                <w:szCs w:val="24"/>
              </w:rPr>
              <w:t>0.075</w:t>
            </w:r>
          </w:p>
        </w:tc>
        <w:tc>
          <w:tcPr>
            <w:tcW w:w="0" w:type="auto"/>
            <w:hideMark/>
          </w:tcPr>
          <w:p w14:paraId="514B6B6B" w14:textId="77777777" w:rsidR="00BF5D0F" w:rsidRPr="00BF5D0F" w:rsidRDefault="00BF5D0F" w:rsidP="00BF5D0F">
            <w:pPr>
              <w:jc w:val="both"/>
              <w:rPr>
                <w:rFonts w:cs="Times New Roman"/>
                <w:sz w:val="24"/>
                <w:szCs w:val="24"/>
              </w:rPr>
            </w:pPr>
            <w:r w:rsidRPr="00BF5D0F">
              <w:rPr>
                <w:rFonts w:cs="Times New Roman"/>
                <w:sz w:val="24"/>
                <w:szCs w:val="24"/>
              </w:rPr>
              <w:t>Insignificant</w:t>
            </w:r>
          </w:p>
        </w:tc>
        <w:tc>
          <w:tcPr>
            <w:tcW w:w="0" w:type="auto"/>
            <w:hideMark/>
          </w:tcPr>
          <w:p w14:paraId="5564C7DA" w14:textId="77777777" w:rsidR="00BF5D0F" w:rsidRPr="00BF5D0F" w:rsidRDefault="00BF5D0F" w:rsidP="00BF5D0F">
            <w:pPr>
              <w:jc w:val="both"/>
              <w:rPr>
                <w:rFonts w:cs="Times New Roman"/>
                <w:sz w:val="24"/>
                <w:szCs w:val="24"/>
              </w:rPr>
            </w:pPr>
            <w:r w:rsidRPr="00BF5D0F">
              <w:rPr>
                <w:rFonts w:cs="Times New Roman"/>
                <w:sz w:val="24"/>
                <w:szCs w:val="24"/>
              </w:rPr>
              <w:t>Positive</w:t>
            </w:r>
          </w:p>
        </w:tc>
        <w:tc>
          <w:tcPr>
            <w:tcW w:w="0" w:type="auto"/>
            <w:hideMark/>
          </w:tcPr>
          <w:p w14:paraId="1653EA30" w14:textId="77777777" w:rsidR="00BF5D0F" w:rsidRPr="00BF5D0F" w:rsidRDefault="00BF5D0F" w:rsidP="00BF5D0F">
            <w:pPr>
              <w:jc w:val="both"/>
              <w:rPr>
                <w:rFonts w:cs="Times New Roman"/>
                <w:sz w:val="24"/>
                <w:szCs w:val="24"/>
              </w:rPr>
            </w:pPr>
            <w:r w:rsidRPr="00BF5D0F">
              <w:rPr>
                <w:rFonts w:cs="Times New Roman"/>
                <w:sz w:val="24"/>
                <w:szCs w:val="24"/>
              </w:rPr>
              <w:t>Control</w:t>
            </w:r>
          </w:p>
        </w:tc>
      </w:tr>
      <w:tr w:rsidR="00BF5D0F" w:rsidRPr="00BF5D0F" w14:paraId="592E1395" w14:textId="77777777" w:rsidTr="00BF5D0F">
        <w:tc>
          <w:tcPr>
            <w:tcW w:w="0" w:type="auto"/>
            <w:hideMark/>
          </w:tcPr>
          <w:p w14:paraId="77EEE4C7" w14:textId="77777777" w:rsidR="00BF5D0F" w:rsidRPr="00BF5D0F" w:rsidRDefault="00BF5D0F" w:rsidP="00BF5D0F">
            <w:pPr>
              <w:jc w:val="both"/>
              <w:rPr>
                <w:rFonts w:cs="Times New Roman"/>
                <w:sz w:val="24"/>
                <w:szCs w:val="24"/>
              </w:rPr>
            </w:pPr>
            <w:r w:rsidRPr="00BF5D0F">
              <w:rPr>
                <w:rFonts w:cs="Times New Roman"/>
                <w:sz w:val="24"/>
                <w:szCs w:val="24"/>
              </w:rPr>
              <w:t>ln GDP</w:t>
            </w:r>
          </w:p>
        </w:tc>
        <w:tc>
          <w:tcPr>
            <w:tcW w:w="0" w:type="auto"/>
            <w:hideMark/>
          </w:tcPr>
          <w:p w14:paraId="22CBAA8B" w14:textId="77777777" w:rsidR="00BF5D0F" w:rsidRPr="00BF5D0F" w:rsidRDefault="00BF5D0F" w:rsidP="00BF5D0F">
            <w:pPr>
              <w:jc w:val="both"/>
              <w:rPr>
                <w:rFonts w:cs="Times New Roman"/>
                <w:sz w:val="24"/>
                <w:szCs w:val="24"/>
              </w:rPr>
            </w:pPr>
            <w:r w:rsidRPr="00BF5D0F">
              <w:rPr>
                <w:rFonts w:cs="Times New Roman"/>
                <w:sz w:val="24"/>
                <w:szCs w:val="24"/>
              </w:rPr>
              <w:t>0.070</w:t>
            </w:r>
          </w:p>
        </w:tc>
        <w:tc>
          <w:tcPr>
            <w:tcW w:w="0" w:type="auto"/>
            <w:hideMark/>
          </w:tcPr>
          <w:p w14:paraId="7A5A60E6" w14:textId="77777777" w:rsidR="00BF5D0F" w:rsidRPr="00BF5D0F" w:rsidRDefault="00BF5D0F" w:rsidP="00BF5D0F">
            <w:pPr>
              <w:jc w:val="both"/>
              <w:rPr>
                <w:rFonts w:cs="Times New Roman"/>
                <w:sz w:val="24"/>
                <w:szCs w:val="24"/>
              </w:rPr>
            </w:pPr>
            <w:r w:rsidRPr="00BF5D0F">
              <w:rPr>
                <w:rFonts w:cs="Times New Roman"/>
                <w:sz w:val="24"/>
                <w:szCs w:val="24"/>
              </w:rPr>
              <w:t>Insignificant</w:t>
            </w:r>
          </w:p>
        </w:tc>
        <w:tc>
          <w:tcPr>
            <w:tcW w:w="0" w:type="auto"/>
            <w:hideMark/>
          </w:tcPr>
          <w:p w14:paraId="78443F8D" w14:textId="77777777" w:rsidR="00BF5D0F" w:rsidRPr="00BF5D0F" w:rsidRDefault="00BF5D0F" w:rsidP="00BF5D0F">
            <w:pPr>
              <w:jc w:val="both"/>
              <w:rPr>
                <w:rFonts w:cs="Times New Roman"/>
                <w:sz w:val="24"/>
                <w:szCs w:val="24"/>
              </w:rPr>
            </w:pPr>
            <w:r w:rsidRPr="00BF5D0F">
              <w:rPr>
                <w:rFonts w:cs="Times New Roman"/>
                <w:sz w:val="24"/>
                <w:szCs w:val="24"/>
              </w:rPr>
              <w:t>Positive</w:t>
            </w:r>
          </w:p>
        </w:tc>
        <w:tc>
          <w:tcPr>
            <w:tcW w:w="0" w:type="auto"/>
            <w:hideMark/>
          </w:tcPr>
          <w:p w14:paraId="6D4708EB" w14:textId="77777777" w:rsidR="00BF5D0F" w:rsidRPr="00BF5D0F" w:rsidRDefault="00BF5D0F" w:rsidP="00BF5D0F">
            <w:pPr>
              <w:jc w:val="both"/>
              <w:rPr>
                <w:rFonts w:cs="Times New Roman"/>
                <w:sz w:val="24"/>
                <w:szCs w:val="24"/>
              </w:rPr>
            </w:pPr>
            <w:r w:rsidRPr="00BF5D0F">
              <w:rPr>
                <w:rFonts w:cs="Times New Roman"/>
                <w:sz w:val="24"/>
                <w:szCs w:val="24"/>
              </w:rPr>
              <w:t>Control</w:t>
            </w:r>
          </w:p>
        </w:tc>
      </w:tr>
      <w:tr w:rsidR="00BF5D0F" w:rsidRPr="00BF5D0F" w14:paraId="41C8B7CB" w14:textId="77777777" w:rsidTr="00BF5D0F">
        <w:tc>
          <w:tcPr>
            <w:tcW w:w="0" w:type="auto"/>
            <w:hideMark/>
          </w:tcPr>
          <w:p w14:paraId="57B230D7" w14:textId="77777777" w:rsidR="00BF5D0F" w:rsidRPr="00BF5D0F" w:rsidRDefault="00BF5D0F" w:rsidP="00BF5D0F">
            <w:pPr>
              <w:jc w:val="both"/>
              <w:rPr>
                <w:rFonts w:cs="Times New Roman"/>
                <w:sz w:val="24"/>
                <w:szCs w:val="24"/>
              </w:rPr>
            </w:pPr>
            <w:r w:rsidRPr="00BF5D0F">
              <w:rPr>
                <w:rFonts w:cs="Times New Roman"/>
                <w:sz w:val="24"/>
                <w:szCs w:val="24"/>
              </w:rPr>
              <w:t>Debt Service</w:t>
            </w:r>
          </w:p>
        </w:tc>
        <w:tc>
          <w:tcPr>
            <w:tcW w:w="0" w:type="auto"/>
            <w:hideMark/>
          </w:tcPr>
          <w:p w14:paraId="6A088FA7" w14:textId="77777777" w:rsidR="00BF5D0F" w:rsidRPr="00BF5D0F" w:rsidRDefault="00BF5D0F" w:rsidP="00BF5D0F">
            <w:pPr>
              <w:jc w:val="both"/>
              <w:rPr>
                <w:rFonts w:cs="Times New Roman"/>
                <w:sz w:val="24"/>
                <w:szCs w:val="24"/>
              </w:rPr>
            </w:pPr>
            <w:r w:rsidRPr="00BF5D0F">
              <w:rPr>
                <w:rFonts w:cs="Times New Roman"/>
                <w:sz w:val="24"/>
                <w:szCs w:val="24"/>
              </w:rPr>
              <w:t>-0.368</w:t>
            </w:r>
          </w:p>
        </w:tc>
        <w:tc>
          <w:tcPr>
            <w:tcW w:w="0" w:type="auto"/>
            <w:hideMark/>
          </w:tcPr>
          <w:p w14:paraId="657BFAEB" w14:textId="77777777" w:rsidR="00BF5D0F" w:rsidRPr="00BF5D0F" w:rsidRDefault="00BF5D0F" w:rsidP="00BF5D0F">
            <w:pPr>
              <w:jc w:val="both"/>
              <w:rPr>
                <w:rFonts w:cs="Times New Roman"/>
                <w:sz w:val="24"/>
                <w:szCs w:val="24"/>
              </w:rPr>
            </w:pPr>
            <w:r w:rsidRPr="00BF5D0F">
              <w:rPr>
                <w:rFonts w:cs="Times New Roman"/>
                <w:sz w:val="24"/>
                <w:szCs w:val="24"/>
              </w:rPr>
              <w:t>Insignificant</w:t>
            </w:r>
          </w:p>
        </w:tc>
        <w:tc>
          <w:tcPr>
            <w:tcW w:w="0" w:type="auto"/>
            <w:hideMark/>
          </w:tcPr>
          <w:p w14:paraId="6055EFDF" w14:textId="77777777" w:rsidR="00BF5D0F" w:rsidRPr="00BF5D0F" w:rsidRDefault="00BF5D0F" w:rsidP="00BF5D0F">
            <w:pPr>
              <w:jc w:val="both"/>
              <w:rPr>
                <w:rFonts w:cs="Times New Roman"/>
                <w:sz w:val="24"/>
                <w:szCs w:val="24"/>
              </w:rPr>
            </w:pPr>
            <w:r w:rsidRPr="00BF5D0F">
              <w:rPr>
                <w:rFonts w:cs="Times New Roman"/>
                <w:sz w:val="24"/>
                <w:szCs w:val="24"/>
              </w:rPr>
              <w:t>Negative</w:t>
            </w:r>
          </w:p>
        </w:tc>
        <w:tc>
          <w:tcPr>
            <w:tcW w:w="0" w:type="auto"/>
            <w:hideMark/>
          </w:tcPr>
          <w:p w14:paraId="5BE02A6E" w14:textId="77777777" w:rsidR="00BF5D0F" w:rsidRPr="00BF5D0F" w:rsidRDefault="00BF5D0F" w:rsidP="00BF5D0F">
            <w:pPr>
              <w:jc w:val="both"/>
              <w:rPr>
                <w:rFonts w:cs="Times New Roman"/>
                <w:sz w:val="24"/>
                <w:szCs w:val="24"/>
              </w:rPr>
            </w:pPr>
            <w:r w:rsidRPr="00BF5D0F">
              <w:rPr>
                <w:rFonts w:cs="Times New Roman"/>
                <w:sz w:val="24"/>
                <w:szCs w:val="24"/>
              </w:rPr>
              <w:t>Control</w:t>
            </w:r>
          </w:p>
        </w:tc>
      </w:tr>
      <w:tr w:rsidR="00BF5D0F" w:rsidRPr="00BF5D0F" w14:paraId="18DDED39" w14:textId="77777777" w:rsidTr="00BF5D0F">
        <w:tc>
          <w:tcPr>
            <w:tcW w:w="0" w:type="auto"/>
            <w:hideMark/>
          </w:tcPr>
          <w:p w14:paraId="4C3FCDEC" w14:textId="77777777" w:rsidR="00BF5D0F" w:rsidRPr="00BF5D0F" w:rsidRDefault="00BF5D0F" w:rsidP="00BF5D0F">
            <w:pPr>
              <w:jc w:val="both"/>
              <w:rPr>
                <w:rFonts w:cs="Times New Roman"/>
                <w:sz w:val="24"/>
                <w:szCs w:val="24"/>
              </w:rPr>
            </w:pPr>
            <w:r w:rsidRPr="00BF5D0F">
              <w:rPr>
                <w:rFonts w:cs="Times New Roman"/>
                <w:sz w:val="24"/>
                <w:szCs w:val="24"/>
              </w:rPr>
              <w:t>COVID</w:t>
            </w:r>
          </w:p>
        </w:tc>
        <w:tc>
          <w:tcPr>
            <w:tcW w:w="0" w:type="auto"/>
            <w:hideMark/>
          </w:tcPr>
          <w:p w14:paraId="46CBB525" w14:textId="77777777" w:rsidR="00BF5D0F" w:rsidRPr="00BF5D0F" w:rsidRDefault="00BF5D0F" w:rsidP="00BF5D0F">
            <w:pPr>
              <w:jc w:val="both"/>
              <w:rPr>
                <w:rFonts w:cs="Times New Roman"/>
                <w:sz w:val="24"/>
                <w:szCs w:val="24"/>
              </w:rPr>
            </w:pPr>
            <w:r w:rsidRPr="00BF5D0F">
              <w:rPr>
                <w:rFonts w:cs="Times New Roman"/>
                <w:sz w:val="24"/>
                <w:szCs w:val="24"/>
              </w:rPr>
              <w:t>2.887</w:t>
            </w:r>
          </w:p>
        </w:tc>
        <w:tc>
          <w:tcPr>
            <w:tcW w:w="0" w:type="auto"/>
            <w:hideMark/>
          </w:tcPr>
          <w:p w14:paraId="0FF12130" w14:textId="77777777" w:rsidR="00BF5D0F" w:rsidRPr="00BF5D0F" w:rsidRDefault="00BF5D0F" w:rsidP="00BF5D0F">
            <w:pPr>
              <w:jc w:val="both"/>
              <w:rPr>
                <w:rFonts w:cs="Times New Roman"/>
                <w:sz w:val="24"/>
                <w:szCs w:val="24"/>
              </w:rPr>
            </w:pPr>
            <w:r w:rsidRPr="00BF5D0F">
              <w:rPr>
                <w:rFonts w:cs="Times New Roman"/>
                <w:sz w:val="24"/>
                <w:szCs w:val="24"/>
              </w:rPr>
              <w:t>*</w:t>
            </w:r>
          </w:p>
        </w:tc>
        <w:tc>
          <w:tcPr>
            <w:tcW w:w="0" w:type="auto"/>
            <w:hideMark/>
          </w:tcPr>
          <w:p w14:paraId="3092F2A0" w14:textId="77777777" w:rsidR="00BF5D0F" w:rsidRPr="00BF5D0F" w:rsidRDefault="00BF5D0F" w:rsidP="00BF5D0F">
            <w:pPr>
              <w:jc w:val="both"/>
              <w:rPr>
                <w:rFonts w:cs="Times New Roman"/>
                <w:sz w:val="24"/>
                <w:szCs w:val="24"/>
              </w:rPr>
            </w:pPr>
            <w:r w:rsidRPr="00BF5D0F">
              <w:rPr>
                <w:rFonts w:cs="Times New Roman"/>
                <w:sz w:val="24"/>
                <w:szCs w:val="24"/>
              </w:rPr>
              <w:t>Positive</w:t>
            </w:r>
          </w:p>
        </w:tc>
        <w:tc>
          <w:tcPr>
            <w:tcW w:w="0" w:type="auto"/>
            <w:hideMark/>
          </w:tcPr>
          <w:p w14:paraId="1072A2D8" w14:textId="77777777" w:rsidR="00BF5D0F" w:rsidRPr="00BF5D0F" w:rsidRDefault="00BF5D0F" w:rsidP="00BF5D0F">
            <w:pPr>
              <w:jc w:val="both"/>
              <w:rPr>
                <w:rFonts w:cs="Times New Roman"/>
                <w:sz w:val="24"/>
                <w:szCs w:val="24"/>
              </w:rPr>
            </w:pPr>
            <w:r w:rsidRPr="00BF5D0F">
              <w:rPr>
                <w:rFonts w:cs="Times New Roman"/>
                <w:sz w:val="24"/>
                <w:szCs w:val="24"/>
              </w:rPr>
              <w:t>Crisis effect</w:t>
            </w:r>
          </w:p>
        </w:tc>
      </w:tr>
    </w:tbl>
    <w:p w14:paraId="14E25264" w14:textId="2988B60D" w:rsidR="00BF5D0F" w:rsidRPr="00BF5D0F" w:rsidRDefault="00BF5D0F" w:rsidP="00BF5D0F">
      <w:pPr>
        <w:jc w:val="both"/>
        <w:rPr>
          <w:rFonts w:cs="Times New Roman"/>
          <w:sz w:val="24"/>
          <w:szCs w:val="24"/>
        </w:rPr>
      </w:pPr>
    </w:p>
    <w:p w14:paraId="442A034F" w14:textId="77777777" w:rsidR="00BF5D0F" w:rsidRPr="00BF5D0F" w:rsidRDefault="00BF5D0F" w:rsidP="00BF5D0F">
      <w:pPr>
        <w:jc w:val="both"/>
        <w:rPr>
          <w:rFonts w:ascii="Apple Color Emoji" w:hAnsi="Apple Color Emoji" w:cs="Apple Color Emoji"/>
          <w:sz w:val="24"/>
          <w:szCs w:val="24"/>
        </w:rPr>
      </w:pPr>
    </w:p>
    <w:p w14:paraId="497F8006" w14:textId="7554756E" w:rsidR="00BF5D0F" w:rsidRPr="00BF5D0F" w:rsidRDefault="00BF5D0F" w:rsidP="00BF5D0F">
      <w:pPr>
        <w:jc w:val="both"/>
        <w:rPr>
          <w:rFonts w:cs="Times New Roman"/>
          <w:sz w:val="24"/>
          <w:szCs w:val="24"/>
        </w:rPr>
      </w:pPr>
      <w:r w:rsidRPr="00BF5D0F">
        <w:rPr>
          <w:rFonts w:cs="Times New Roman"/>
          <w:sz w:val="24"/>
          <w:szCs w:val="24"/>
        </w:rPr>
        <w:t>KEY INSIGHTS FOR PAPER</w:t>
      </w:r>
    </w:p>
    <w:p w14:paraId="3B5F3AC6" w14:textId="77777777" w:rsidR="00BF5D0F" w:rsidRPr="00BF5D0F" w:rsidRDefault="00BF5D0F" w:rsidP="00BF5D0F">
      <w:pPr>
        <w:numPr>
          <w:ilvl w:val="0"/>
          <w:numId w:val="3"/>
        </w:numPr>
        <w:jc w:val="both"/>
        <w:rPr>
          <w:rFonts w:cs="Times New Roman"/>
          <w:sz w:val="24"/>
          <w:szCs w:val="24"/>
        </w:rPr>
      </w:pPr>
      <w:r w:rsidRPr="00BF5D0F">
        <w:rPr>
          <w:rFonts w:cs="Times New Roman"/>
          <w:sz w:val="24"/>
          <w:szCs w:val="24"/>
        </w:rPr>
        <w:t>Capital flows dominate external balance adjustment. Remittances and FDI are the most robust drivers of current account improvement.</w:t>
      </w:r>
    </w:p>
    <w:p w14:paraId="4F5E9A8A" w14:textId="77777777" w:rsidR="00BF5D0F" w:rsidRPr="00BF5D0F" w:rsidRDefault="00BF5D0F" w:rsidP="00BF5D0F">
      <w:pPr>
        <w:numPr>
          <w:ilvl w:val="0"/>
          <w:numId w:val="3"/>
        </w:numPr>
        <w:jc w:val="both"/>
        <w:rPr>
          <w:rFonts w:cs="Times New Roman"/>
          <w:sz w:val="24"/>
          <w:szCs w:val="24"/>
        </w:rPr>
      </w:pPr>
      <w:r w:rsidRPr="00BF5D0F">
        <w:rPr>
          <w:rFonts w:cs="Times New Roman"/>
          <w:sz w:val="24"/>
          <w:szCs w:val="24"/>
        </w:rPr>
        <w:t>The crowding-out channel is not confirmed. Fiscal deficits do not significantly affect private credit or interest rates in South Asia.</w:t>
      </w:r>
    </w:p>
    <w:p w14:paraId="7B5B8D73" w14:textId="77777777" w:rsidR="00BF5D0F" w:rsidRPr="00BF5D0F" w:rsidRDefault="00BF5D0F" w:rsidP="00BF5D0F">
      <w:pPr>
        <w:numPr>
          <w:ilvl w:val="0"/>
          <w:numId w:val="3"/>
        </w:numPr>
        <w:jc w:val="both"/>
        <w:rPr>
          <w:rFonts w:cs="Times New Roman"/>
          <w:sz w:val="24"/>
          <w:szCs w:val="24"/>
        </w:rPr>
      </w:pPr>
      <w:r w:rsidRPr="00BF5D0F">
        <w:rPr>
          <w:rFonts w:cs="Times New Roman"/>
          <w:sz w:val="24"/>
          <w:szCs w:val="24"/>
        </w:rPr>
        <w:t>The TDH is period-dependent. It holds only in the post-GFC period, not in the full sample.</w:t>
      </w:r>
    </w:p>
    <w:p w14:paraId="024E7582" w14:textId="77777777" w:rsidR="00BF5D0F" w:rsidRPr="00BF5D0F" w:rsidRDefault="00BF5D0F" w:rsidP="00BF5D0F">
      <w:pPr>
        <w:numPr>
          <w:ilvl w:val="0"/>
          <w:numId w:val="3"/>
        </w:numPr>
        <w:jc w:val="both"/>
        <w:rPr>
          <w:rFonts w:cs="Times New Roman"/>
          <w:sz w:val="24"/>
          <w:szCs w:val="24"/>
        </w:rPr>
      </w:pPr>
      <w:r w:rsidRPr="00BF5D0F">
        <w:rPr>
          <w:rFonts w:cs="Times New Roman"/>
          <w:sz w:val="24"/>
          <w:szCs w:val="24"/>
        </w:rPr>
        <w:t>FDI amplifies the fiscal-CAB link. Higher FDI strengthens the positive effect of fiscal balance on current account.</w:t>
      </w:r>
    </w:p>
    <w:p w14:paraId="16FEB1F4" w14:textId="77777777" w:rsidR="00BF5D0F" w:rsidRPr="00BF5D0F" w:rsidRDefault="00BF5D0F" w:rsidP="00BF5D0F">
      <w:pPr>
        <w:numPr>
          <w:ilvl w:val="0"/>
          <w:numId w:val="3"/>
        </w:numPr>
        <w:jc w:val="both"/>
        <w:rPr>
          <w:rFonts w:cs="Times New Roman"/>
          <w:sz w:val="24"/>
          <w:szCs w:val="24"/>
        </w:rPr>
      </w:pPr>
      <w:r w:rsidRPr="00BF5D0F">
        <w:rPr>
          <w:rFonts w:cs="Times New Roman"/>
          <w:sz w:val="24"/>
          <w:szCs w:val="24"/>
        </w:rPr>
        <w:t>Remittances are the most stable stabiliser. They directly improve CAB without moderating the fiscal effect.</w:t>
      </w:r>
    </w:p>
    <w:p w14:paraId="43FD9A2F" w14:textId="77777777" w:rsidR="00BF5D0F" w:rsidRPr="00BF5D0F" w:rsidRDefault="00BF5D0F" w:rsidP="00BF5D0F">
      <w:pPr>
        <w:numPr>
          <w:ilvl w:val="0"/>
          <w:numId w:val="3"/>
        </w:numPr>
        <w:jc w:val="both"/>
        <w:rPr>
          <w:rFonts w:cs="Times New Roman"/>
          <w:sz w:val="24"/>
          <w:szCs w:val="24"/>
        </w:rPr>
      </w:pPr>
      <w:r w:rsidRPr="00BF5D0F">
        <w:rPr>
          <w:rFonts w:cs="Times New Roman"/>
          <w:sz w:val="24"/>
          <w:szCs w:val="24"/>
        </w:rPr>
        <w:t>COVID improved CAB. The pandemic paradoxically improved current accounts through reduced imports and resilient remittances.</w:t>
      </w:r>
    </w:p>
    <w:p w14:paraId="7310E4EC" w14:textId="77777777" w:rsidR="00BF5D0F" w:rsidRPr="00BF5D0F" w:rsidRDefault="00BF5D0F" w:rsidP="00BF5D0F">
      <w:pPr>
        <w:jc w:val="both"/>
        <w:rPr>
          <w:rFonts w:cs="Times New Roman"/>
          <w:sz w:val="24"/>
          <w:szCs w:val="24"/>
        </w:rPr>
      </w:pPr>
    </w:p>
    <w:p w14:paraId="16B29AFE" w14:textId="4FB68D56" w:rsidR="001366BB" w:rsidRPr="00BF5D0F" w:rsidRDefault="001366BB" w:rsidP="00BF5D0F">
      <w:pPr>
        <w:jc w:val="both"/>
        <w:rPr>
          <w:rFonts w:cs="Times New Roman"/>
          <w:sz w:val="24"/>
          <w:szCs w:val="24"/>
        </w:rPr>
      </w:pPr>
    </w:p>
    <w:sectPr w:rsidR="001366BB" w:rsidRPr="00BF5D0F">
      <w:type w:val="continuous"/>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2040503050203030202"/>
    <w:charset w:val="01"/>
    <w:family w:val="roman"/>
    <w:pitch w:val="variable"/>
    <w:sig w:usb0="0000A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9E1810"/>
    <w:multiLevelType w:val="multilevel"/>
    <w:tmpl w:val="99561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812A12"/>
    <w:multiLevelType w:val="hybridMultilevel"/>
    <w:tmpl w:val="434638B2"/>
    <w:lvl w:ilvl="0" w:tplc="8F3804DE">
      <w:start w:val="1"/>
      <w:numFmt w:val="bullet"/>
      <w:lvlText w:val="●"/>
      <w:lvlJc w:val="left"/>
      <w:pPr>
        <w:ind w:left="720" w:hanging="360"/>
      </w:pPr>
    </w:lvl>
    <w:lvl w:ilvl="1" w:tplc="0528090A">
      <w:start w:val="1"/>
      <w:numFmt w:val="bullet"/>
      <w:lvlText w:val="○"/>
      <w:lvlJc w:val="left"/>
      <w:pPr>
        <w:ind w:left="1440" w:hanging="360"/>
      </w:pPr>
    </w:lvl>
    <w:lvl w:ilvl="2" w:tplc="219A70CE">
      <w:start w:val="1"/>
      <w:numFmt w:val="bullet"/>
      <w:lvlText w:val="■"/>
      <w:lvlJc w:val="left"/>
      <w:pPr>
        <w:ind w:left="2160" w:hanging="360"/>
      </w:pPr>
    </w:lvl>
    <w:lvl w:ilvl="3" w:tplc="1E784342">
      <w:start w:val="1"/>
      <w:numFmt w:val="bullet"/>
      <w:lvlText w:val="●"/>
      <w:lvlJc w:val="left"/>
      <w:pPr>
        <w:ind w:left="2880" w:hanging="360"/>
      </w:pPr>
    </w:lvl>
    <w:lvl w:ilvl="4" w:tplc="C0CCC52A">
      <w:start w:val="1"/>
      <w:numFmt w:val="bullet"/>
      <w:lvlText w:val="○"/>
      <w:lvlJc w:val="left"/>
      <w:pPr>
        <w:ind w:left="3600" w:hanging="360"/>
      </w:pPr>
    </w:lvl>
    <w:lvl w:ilvl="5" w:tplc="807A3B6E">
      <w:start w:val="1"/>
      <w:numFmt w:val="bullet"/>
      <w:lvlText w:val="■"/>
      <w:lvlJc w:val="left"/>
      <w:pPr>
        <w:ind w:left="4320" w:hanging="360"/>
      </w:pPr>
    </w:lvl>
    <w:lvl w:ilvl="6" w:tplc="3AE0F512">
      <w:start w:val="1"/>
      <w:numFmt w:val="bullet"/>
      <w:lvlText w:val="●"/>
      <w:lvlJc w:val="left"/>
      <w:pPr>
        <w:ind w:left="5040" w:hanging="360"/>
      </w:pPr>
    </w:lvl>
    <w:lvl w:ilvl="7" w:tplc="3A76402C">
      <w:start w:val="1"/>
      <w:numFmt w:val="bullet"/>
      <w:lvlText w:val="●"/>
      <w:lvlJc w:val="left"/>
      <w:pPr>
        <w:ind w:left="5760" w:hanging="360"/>
      </w:pPr>
    </w:lvl>
    <w:lvl w:ilvl="8" w:tplc="5E3CB88A">
      <w:start w:val="1"/>
      <w:numFmt w:val="bullet"/>
      <w:lvlText w:val="●"/>
      <w:lvlJc w:val="left"/>
      <w:pPr>
        <w:ind w:left="6480" w:hanging="360"/>
      </w:pPr>
    </w:lvl>
  </w:abstractNum>
  <w:abstractNum w:abstractNumId="2" w15:restartNumberingAfterBreak="0">
    <w:nsid w:val="57575A94"/>
    <w:multiLevelType w:val="hybridMultilevel"/>
    <w:tmpl w:val="302C89BE"/>
    <w:lvl w:ilvl="0" w:tplc="B964DBBA">
      <w:start w:val="1"/>
      <w:numFmt w:val="decimal"/>
      <w:lvlText w:val="%1."/>
      <w:lvlJc w:val="left"/>
      <w:pPr>
        <w:ind w:left="720" w:hanging="259"/>
      </w:pPr>
    </w:lvl>
    <w:lvl w:ilvl="1" w:tplc="ED545D74">
      <w:start w:val="1"/>
      <w:numFmt w:val="lowerLetter"/>
      <w:lvlText w:val="%2."/>
      <w:lvlJc w:val="left"/>
      <w:pPr>
        <w:ind w:left="1440" w:hanging="259"/>
      </w:pPr>
    </w:lvl>
    <w:lvl w:ilvl="2" w:tplc="8A544696">
      <w:start w:val="1"/>
      <w:numFmt w:val="lowerRoman"/>
      <w:lvlText w:val="%3."/>
      <w:lvlJc w:val="left"/>
      <w:pPr>
        <w:ind w:left="2160" w:hanging="259"/>
      </w:pPr>
    </w:lvl>
    <w:lvl w:ilvl="3" w:tplc="4E822A0E">
      <w:start w:val="1"/>
      <w:numFmt w:val="decimal"/>
      <w:lvlText w:val="%4."/>
      <w:lvlJc w:val="left"/>
      <w:pPr>
        <w:ind w:left="2880" w:hanging="259"/>
      </w:pPr>
    </w:lvl>
    <w:lvl w:ilvl="4" w:tplc="E1EA5A3C">
      <w:start w:val="1"/>
      <w:numFmt w:val="lowerLetter"/>
      <w:lvlText w:val="%5."/>
      <w:lvlJc w:val="left"/>
      <w:pPr>
        <w:ind w:left="3600" w:hanging="259"/>
      </w:pPr>
    </w:lvl>
    <w:lvl w:ilvl="5" w:tplc="09A2ED08">
      <w:start w:val="1"/>
      <w:numFmt w:val="lowerRoman"/>
      <w:lvlText w:val="%6."/>
      <w:lvlJc w:val="left"/>
      <w:pPr>
        <w:ind w:left="4320" w:hanging="259"/>
      </w:pPr>
    </w:lvl>
    <w:lvl w:ilvl="6" w:tplc="DD6291FA">
      <w:start w:val="1"/>
      <w:numFmt w:val="decimal"/>
      <w:lvlText w:val="%7."/>
      <w:lvlJc w:val="left"/>
      <w:pPr>
        <w:ind w:left="5040" w:hanging="259"/>
      </w:pPr>
    </w:lvl>
    <w:lvl w:ilvl="7" w:tplc="B146478A">
      <w:start w:val="1"/>
      <w:numFmt w:val="lowerLetter"/>
      <w:lvlText w:val="%8."/>
      <w:lvlJc w:val="left"/>
      <w:pPr>
        <w:ind w:left="5760" w:hanging="259"/>
      </w:pPr>
    </w:lvl>
    <w:lvl w:ilvl="8" w:tplc="E200C50A">
      <w:start w:val="1"/>
      <w:numFmt w:val="lowerRoman"/>
      <w:lvlText w:val="%9."/>
      <w:lvlJc w:val="left"/>
      <w:pPr>
        <w:ind w:left="6480" w:hanging="259"/>
      </w:pPr>
    </w:lvl>
  </w:abstractNum>
  <w:num w:numId="1" w16cid:durableId="1609973006">
    <w:abstractNumId w:val="1"/>
    <w:lvlOverride w:ilvl="0">
      <w:startOverride w:val="1"/>
    </w:lvlOverride>
  </w:num>
  <w:num w:numId="2" w16cid:durableId="1854954068">
    <w:abstractNumId w:val="2"/>
    <w:lvlOverride w:ilvl="0">
      <w:startOverride w:val="1"/>
    </w:lvlOverride>
  </w:num>
  <w:num w:numId="3" w16cid:durableId="16163309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6BB"/>
    <w:rsid w:val="001366BB"/>
    <w:rsid w:val="00150456"/>
    <w:rsid w:val="00B57A4C"/>
    <w:rsid w:val="00BF5D0F"/>
    <w:rsid w:val="00C157AB"/>
  </w:rsids>
  <m:mathPr>
    <m:mathFont m:val="Cambria Math"/>
    <m:brkBin m:val="before"/>
    <m:brkBinSub m:val="--"/>
    <m:smallFrac m:val="0"/>
    <m:dispDef/>
    <m:lMargin m:val="0"/>
    <m:rMargin m:val="0"/>
    <m:defJc m:val="centerGroup"/>
    <m:wrapIndent m:val="1440"/>
    <m:intLim m:val="subSup"/>
    <m:naryLim m:val="undOvr"/>
  </m:mathPr>
  <w:themeFontLang w:val="en-BD"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24EDF"/>
  <w15:docId w15:val="{B4DAB5F7-781E-0344-8022-371C72F7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BD"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table" w:styleId="TableGrid">
    <w:name w:val="Table Grid"/>
    <w:basedOn w:val="TableNormal"/>
    <w:uiPriority w:val="39"/>
    <w:rsid w:val="00BF5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1469</Words>
  <Characters>8375</Characters>
  <Application>Microsoft Office Word</Application>
  <DocSecurity>0</DocSecurity>
  <Lines>69</Lines>
  <Paragraphs>19</Paragraphs>
  <ScaleCrop>false</ScaleCrop>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Rony Masud</cp:lastModifiedBy>
  <cp:revision>3</cp:revision>
  <dcterms:created xsi:type="dcterms:W3CDTF">2026-07-02T19:09:00Z</dcterms:created>
  <dcterms:modified xsi:type="dcterms:W3CDTF">2026-08-23T16:14:00Z</dcterms:modified>
</cp:coreProperties>
</file>