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5CCBA" w14:textId="77777777" w:rsidR="003807EC" w:rsidRPr="001E5AB8" w:rsidRDefault="003807EC" w:rsidP="003807EC">
      <w:pPr>
        <w:spacing w:line="360" w:lineRule="auto"/>
        <w:rPr>
          <w:spacing w:val="-2"/>
          <w:w w:val="90"/>
          <w:lang w:val="en-IN"/>
        </w:rPr>
      </w:pPr>
      <w:r w:rsidRPr="001E5AB8">
        <w:rPr>
          <w:b/>
          <w:bCs/>
          <w:spacing w:val="-2"/>
          <w:w w:val="90"/>
          <w:u w:val="single"/>
          <w:lang w:val="en-IN"/>
        </w:rPr>
        <w:t>IONM TRANSIENT ALERT</w:t>
      </w:r>
    </w:p>
    <w:p w14:paraId="5EDBC0E1" w14:textId="77777777" w:rsidR="003807EC" w:rsidRPr="001E5AB8" w:rsidRDefault="003807EC" w:rsidP="003807EC">
      <w:pPr>
        <w:spacing w:line="360" w:lineRule="auto"/>
        <w:rPr>
          <w:spacing w:val="-2"/>
          <w:w w:val="90"/>
          <w:lang w:val="en-IN"/>
        </w:rPr>
      </w:pPr>
      <w:r w:rsidRPr="001E5AB8">
        <w:rPr>
          <w:b/>
          <w:bCs/>
          <w:spacing w:val="-2"/>
          <w:w w:val="90"/>
          <w:lang w:val="en-IN"/>
        </w:rPr>
        <w:t>CASE - 1 (L5 – S1 Lipomyelomeningocele with tethered cord)</w:t>
      </w:r>
    </w:p>
    <w:p w14:paraId="2F835241" w14:textId="77777777" w:rsidR="003807EC" w:rsidRPr="009473F2" w:rsidRDefault="003807EC" w:rsidP="003807EC">
      <w:pPr>
        <w:spacing w:line="360" w:lineRule="auto"/>
        <w:rPr>
          <w:spacing w:val="-2"/>
          <w:w w:val="90"/>
          <w:sz w:val="2"/>
          <w:szCs w:val="2"/>
          <w:lang w:val="en-IN"/>
        </w:rPr>
      </w:pPr>
    </w:p>
    <w:p w14:paraId="5BF74B46" w14:textId="77777777" w:rsidR="003807EC" w:rsidRPr="001E5AB8" w:rsidRDefault="003807EC" w:rsidP="003807EC">
      <w:pPr>
        <w:spacing w:line="360" w:lineRule="auto"/>
        <w:rPr>
          <w:spacing w:val="-2"/>
          <w:w w:val="90"/>
          <w:lang w:val="en-IN"/>
        </w:rPr>
      </w:pPr>
      <w:r w:rsidRPr="001E5AB8">
        <w:rPr>
          <w:b/>
          <w:bCs/>
          <w:spacing w:val="-2"/>
          <w:w w:val="90"/>
          <w:lang w:val="en-IN"/>
        </w:rPr>
        <w:t>Intraoperative IONM findings :</w:t>
      </w:r>
    </w:p>
    <w:p w14:paraId="390F9718" w14:textId="77777777" w:rsidR="003807EC" w:rsidRPr="001E5AB8" w:rsidRDefault="003807EC" w:rsidP="003807EC">
      <w:pPr>
        <w:numPr>
          <w:ilvl w:val="0"/>
          <w:numId w:val="1"/>
        </w:numPr>
        <w:spacing w:after="200" w:line="360" w:lineRule="auto"/>
        <w:rPr>
          <w:spacing w:val="-2"/>
          <w:w w:val="90"/>
          <w:lang w:val="en-IN"/>
        </w:rPr>
      </w:pPr>
      <w:r w:rsidRPr="001E5AB8">
        <w:rPr>
          <w:spacing w:val="-2"/>
          <w:w w:val="90"/>
          <w:lang w:val="en-IN"/>
        </w:rPr>
        <w:t>Modalities used: TcMEPs, SSEPs, EMG.</w:t>
      </w:r>
    </w:p>
    <w:p w14:paraId="26244551" w14:textId="77777777" w:rsidR="003807EC" w:rsidRPr="001E5AB8" w:rsidRDefault="003807EC" w:rsidP="003807EC">
      <w:pPr>
        <w:numPr>
          <w:ilvl w:val="0"/>
          <w:numId w:val="1"/>
        </w:numPr>
        <w:spacing w:after="200" w:line="360" w:lineRule="auto"/>
        <w:rPr>
          <w:spacing w:val="-2"/>
          <w:w w:val="90"/>
          <w:lang w:val="en-IN"/>
        </w:rPr>
      </w:pPr>
      <w:r w:rsidRPr="001E5AB8">
        <w:rPr>
          <w:spacing w:val="-2"/>
          <w:w w:val="90"/>
          <w:lang w:val="en-IN"/>
        </w:rPr>
        <w:t>Intra-operative findings:</w:t>
      </w:r>
    </w:p>
    <w:p w14:paraId="588406D9" w14:textId="77777777" w:rsidR="003807EC" w:rsidRPr="001E5AB8" w:rsidRDefault="003807EC" w:rsidP="003807EC">
      <w:pPr>
        <w:numPr>
          <w:ilvl w:val="0"/>
          <w:numId w:val="1"/>
        </w:numPr>
        <w:spacing w:after="200" w:line="360" w:lineRule="auto"/>
        <w:rPr>
          <w:spacing w:val="-2"/>
          <w:w w:val="90"/>
          <w:lang w:val="en-IN"/>
        </w:rPr>
      </w:pPr>
      <w:r w:rsidRPr="001E5AB8">
        <w:rPr>
          <w:spacing w:val="-2"/>
          <w:w w:val="90"/>
          <w:lang w:val="en-IN"/>
        </w:rPr>
        <w:t>Baseline signals were intact at the start of surgery.</w:t>
      </w:r>
    </w:p>
    <w:p w14:paraId="5C07852D" w14:textId="77777777" w:rsidR="003807EC" w:rsidRPr="001E5AB8" w:rsidRDefault="003807EC" w:rsidP="003807EC">
      <w:pPr>
        <w:numPr>
          <w:ilvl w:val="0"/>
          <w:numId w:val="1"/>
        </w:numPr>
        <w:spacing w:after="200" w:line="360" w:lineRule="auto"/>
        <w:rPr>
          <w:spacing w:val="-2"/>
          <w:w w:val="90"/>
          <w:lang w:val="en-IN"/>
        </w:rPr>
      </w:pPr>
      <w:r w:rsidRPr="001E5AB8">
        <w:rPr>
          <w:spacing w:val="-2"/>
          <w:w w:val="90"/>
          <w:lang w:val="en-IN"/>
        </w:rPr>
        <w:t>Intraoperatively, a transient decrease in MEP amplitude of more than 50% in the right vastus lateralis was seen during decompression of lipommc.</w:t>
      </w:r>
    </w:p>
    <w:p w14:paraId="278D0117" w14:textId="77777777" w:rsidR="003807EC" w:rsidRPr="001E5AB8" w:rsidRDefault="003807EC" w:rsidP="003807EC">
      <w:pPr>
        <w:numPr>
          <w:ilvl w:val="0"/>
          <w:numId w:val="1"/>
        </w:numPr>
        <w:spacing w:after="200" w:line="360" w:lineRule="auto"/>
        <w:rPr>
          <w:spacing w:val="-2"/>
          <w:w w:val="90"/>
          <w:lang w:val="en-IN"/>
        </w:rPr>
      </w:pPr>
      <w:r w:rsidRPr="001E5AB8">
        <w:rPr>
          <w:spacing w:val="-2"/>
          <w:w w:val="90"/>
          <w:lang w:val="en-IN"/>
        </w:rPr>
        <w:t>At the time of dural closure, Recovery in MEP amplitude was seen completely.</w:t>
      </w:r>
    </w:p>
    <w:p w14:paraId="676F9EDA" w14:textId="77777777" w:rsidR="003807EC" w:rsidRDefault="003807EC" w:rsidP="003807EC">
      <w:pPr>
        <w:numPr>
          <w:ilvl w:val="0"/>
          <w:numId w:val="1"/>
        </w:numPr>
        <w:spacing w:after="200" w:line="360" w:lineRule="auto"/>
        <w:rPr>
          <w:spacing w:val="-2"/>
          <w:w w:val="90"/>
          <w:lang w:val="en-IN"/>
        </w:rPr>
      </w:pPr>
      <w:r w:rsidRPr="001E5AB8">
        <w:rPr>
          <w:b/>
          <w:bCs/>
          <w:spacing w:val="-2"/>
          <w:w w:val="90"/>
          <w:lang w:val="en-IN"/>
        </w:rPr>
        <w:t>Interpretation:</w:t>
      </w:r>
      <w:r w:rsidRPr="001E5AB8">
        <w:rPr>
          <w:spacing w:val="-2"/>
          <w:w w:val="90"/>
          <w:lang w:val="en-IN"/>
        </w:rPr>
        <w:t xml:space="preserve"> Safe detethering with preserved cord function.</w:t>
      </w:r>
    </w:p>
    <w:p w14:paraId="402E06AF" w14:textId="77777777" w:rsidR="003807EC" w:rsidRPr="001E5AB8" w:rsidRDefault="003807EC" w:rsidP="003807EC">
      <w:pPr>
        <w:numPr>
          <w:ilvl w:val="0"/>
          <w:numId w:val="1"/>
        </w:numPr>
        <w:spacing w:after="200" w:line="360" w:lineRule="auto"/>
        <w:rPr>
          <w:spacing w:val="-2"/>
          <w:w w:val="90"/>
          <w:lang w:val="en-IN"/>
        </w:rPr>
      </w:pPr>
      <w:r>
        <w:rPr>
          <w:noProof/>
          <w:spacing w:val="-2"/>
          <w:w w:val="90"/>
          <w:lang w:val="en-IN"/>
          <w14:ligatures w14:val="standardContextual"/>
        </w:rPr>
        <w:drawing>
          <wp:inline distT="0" distB="0" distL="0" distR="0" wp14:anchorId="5E4CE56D" wp14:editId="740481C2">
            <wp:extent cx="5943600" cy="3638550"/>
            <wp:effectExtent l="0" t="0" r="0" b="0"/>
            <wp:docPr id="111775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54819" name="Picture 111775481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638550"/>
                    </a:xfrm>
                    <a:prstGeom prst="rect">
                      <a:avLst/>
                    </a:prstGeom>
                  </pic:spPr>
                </pic:pic>
              </a:graphicData>
            </a:graphic>
          </wp:inline>
        </w:drawing>
      </w:r>
    </w:p>
    <w:p w14:paraId="40C33A38" w14:textId="77777777" w:rsidR="003807EC" w:rsidRPr="001E5AB8" w:rsidRDefault="003807EC" w:rsidP="003807EC">
      <w:pPr>
        <w:spacing w:line="360" w:lineRule="auto"/>
        <w:rPr>
          <w:spacing w:val="-2"/>
          <w:w w:val="90"/>
          <w:lang w:val="en-IN"/>
        </w:rPr>
      </w:pPr>
      <w:r>
        <w:rPr>
          <w:noProof/>
          <w:spacing w:val="-2"/>
          <w:w w:val="90"/>
          <w:lang w:val="en-IN"/>
          <w14:ligatures w14:val="standardContextual"/>
        </w:rPr>
        <w:lastRenderedPageBreak/>
        <w:drawing>
          <wp:inline distT="0" distB="0" distL="0" distR="0" wp14:anchorId="7447D8AD" wp14:editId="032D1829">
            <wp:extent cx="5943600" cy="4457700"/>
            <wp:effectExtent l="0" t="0" r="0" b="0"/>
            <wp:docPr id="1097354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354045" name="Picture 10973540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C9D5D99" w14:textId="77777777" w:rsidR="003807EC" w:rsidRPr="001E5AB8" w:rsidRDefault="003807EC" w:rsidP="003807EC">
      <w:pPr>
        <w:spacing w:line="360" w:lineRule="auto"/>
        <w:rPr>
          <w:spacing w:val="-2"/>
          <w:w w:val="90"/>
          <w:lang w:val="en-IN"/>
        </w:rPr>
      </w:pPr>
    </w:p>
    <w:p w14:paraId="5C1C7598" w14:textId="77777777" w:rsidR="003807EC" w:rsidRPr="001E5AB8" w:rsidRDefault="003807EC" w:rsidP="003807EC">
      <w:pPr>
        <w:spacing w:line="360" w:lineRule="auto"/>
        <w:rPr>
          <w:spacing w:val="-2"/>
          <w:w w:val="90"/>
          <w:lang w:val="en-IN"/>
        </w:rPr>
      </w:pPr>
    </w:p>
    <w:p w14:paraId="4AD83F34" w14:textId="77777777" w:rsidR="003807EC" w:rsidRPr="001E5AB8" w:rsidRDefault="003807EC" w:rsidP="003807EC">
      <w:pPr>
        <w:spacing w:line="360" w:lineRule="auto"/>
        <w:rPr>
          <w:spacing w:val="-2"/>
          <w:w w:val="90"/>
          <w:lang w:val="en-IN"/>
        </w:rPr>
      </w:pPr>
    </w:p>
    <w:p w14:paraId="64FD98D0" w14:textId="77777777" w:rsidR="003807EC" w:rsidRPr="001E5AB8" w:rsidRDefault="003807EC" w:rsidP="003807EC">
      <w:pPr>
        <w:spacing w:line="360" w:lineRule="auto"/>
        <w:rPr>
          <w:spacing w:val="-2"/>
          <w:w w:val="90"/>
          <w:lang w:val="en-IN"/>
        </w:rPr>
      </w:pPr>
    </w:p>
    <w:p w14:paraId="6FDC451E" w14:textId="77777777" w:rsidR="003807EC" w:rsidRPr="001E5AB8" w:rsidRDefault="003807EC" w:rsidP="003807EC">
      <w:pPr>
        <w:spacing w:line="360" w:lineRule="auto"/>
        <w:rPr>
          <w:spacing w:val="-2"/>
          <w:w w:val="90"/>
          <w:lang w:val="en-IN"/>
        </w:rPr>
      </w:pPr>
    </w:p>
    <w:p w14:paraId="70547CC4" w14:textId="77777777" w:rsidR="003807EC" w:rsidRPr="001E5AB8" w:rsidRDefault="003807EC" w:rsidP="003807EC">
      <w:pPr>
        <w:spacing w:line="360" w:lineRule="auto"/>
        <w:rPr>
          <w:spacing w:val="-2"/>
          <w:w w:val="90"/>
          <w:lang w:val="en-IN"/>
        </w:rPr>
      </w:pPr>
    </w:p>
    <w:p w14:paraId="7443688E" w14:textId="77777777" w:rsidR="003807EC" w:rsidRPr="001E5AB8" w:rsidRDefault="003807EC" w:rsidP="003807EC">
      <w:pPr>
        <w:spacing w:line="360" w:lineRule="auto"/>
        <w:rPr>
          <w:spacing w:val="-2"/>
          <w:w w:val="90"/>
          <w:lang w:val="en-IN"/>
        </w:rPr>
      </w:pPr>
    </w:p>
    <w:p w14:paraId="590F0B71" w14:textId="77777777" w:rsidR="003807EC" w:rsidRPr="001E5AB8" w:rsidRDefault="003807EC" w:rsidP="003807EC">
      <w:pPr>
        <w:spacing w:line="360" w:lineRule="auto"/>
        <w:rPr>
          <w:spacing w:val="-2"/>
          <w:w w:val="90"/>
          <w:lang w:val="en-IN"/>
        </w:rPr>
      </w:pPr>
    </w:p>
    <w:p w14:paraId="3136D1A2" w14:textId="77777777" w:rsidR="003807EC" w:rsidRPr="001E5AB8" w:rsidRDefault="003807EC" w:rsidP="003807EC">
      <w:pPr>
        <w:spacing w:line="360" w:lineRule="auto"/>
        <w:rPr>
          <w:spacing w:val="-2"/>
          <w:w w:val="90"/>
          <w:lang w:val="en-IN"/>
        </w:rPr>
      </w:pPr>
    </w:p>
    <w:p w14:paraId="1F14F6B1" w14:textId="77777777" w:rsidR="003807EC" w:rsidRPr="001E5AB8" w:rsidRDefault="003807EC" w:rsidP="003807EC">
      <w:pPr>
        <w:spacing w:line="360" w:lineRule="auto"/>
        <w:rPr>
          <w:spacing w:val="-2"/>
          <w:w w:val="90"/>
          <w:lang w:val="en-IN"/>
        </w:rPr>
      </w:pPr>
    </w:p>
    <w:p w14:paraId="024898AE" w14:textId="77777777" w:rsidR="003807EC" w:rsidRPr="001E5AB8" w:rsidRDefault="003807EC" w:rsidP="003807EC">
      <w:pPr>
        <w:spacing w:line="360" w:lineRule="auto"/>
        <w:rPr>
          <w:spacing w:val="-2"/>
          <w:w w:val="90"/>
          <w:lang w:val="en-IN"/>
        </w:rPr>
      </w:pPr>
    </w:p>
    <w:p w14:paraId="3615FD6A" w14:textId="77777777" w:rsidR="003807EC" w:rsidRPr="001E5AB8" w:rsidRDefault="003807EC" w:rsidP="003807EC">
      <w:pPr>
        <w:spacing w:line="360" w:lineRule="auto"/>
        <w:rPr>
          <w:spacing w:val="-2"/>
          <w:w w:val="90"/>
          <w:lang w:val="en-IN"/>
        </w:rPr>
      </w:pPr>
    </w:p>
    <w:p w14:paraId="04A799D0" w14:textId="77777777" w:rsidR="003807EC" w:rsidRPr="001E5AB8" w:rsidRDefault="003807EC" w:rsidP="003807EC">
      <w:pPr>
        <w:spacing w:line="360" w:lineRule="auto"/>
        <w:rPr>
          <w:spacing w:val="-2"/>
          <w:w w:val="90"/>
          <w:lang w:val="en-IN"/>
        </w:rPr>
      </w:pPr>
      <w:r w:rsidRPr="001E5AB8">
        <w:rPr>
          <w:b/>
          <w:bCs/>
          <w:spacing w:val="-2"/>
          <w:w w:val="90"/>
          <w:lang w:val="en-IN"/>
        </w:rPr>
        <w:t>MEP WAVE - FORM AT BASELINE</w:t>
      </w:r>
      <w:r w:rsidRPr="001E5AB8">
        <w:rPr>
          <w:spacing w:val="-2"/>
          <w:w w:val="90"/>
          <w:lang w:val="en-IN"/>
        </w:rPr>
        <w:t>:</w:t>
      </w:r>
    </w:p>
    <w:p w14:paraId="2CC483ED" w14:textId="77777777" w:rsidR="003807EC" w:rsidRPr="001E5AB8" w:rsidRDefault="003807EC" w:rsidP="003807EC">
      <w:pPr>
        <w:spacing w:line="360" w:lineRule="auto"/>
        <w:rPr>
          <w:spacing w:val="-2"/>
          <w:w w:val="90"/>
          <w:lang w:val="en-IN"/>
        </w:rPr>
      </w:pPr>
      <w:r w:rsidRPr="00CC7FDE">
        <w:rPr>
          <w:noProof/>
          <w:lang w:val="en-IN" w:eastAsia="en-IN"/>
        </w:rPr>
        <w:lastRenderedPageBreak/>
        <w:drawing>
          <wp:inline distT="0" distB="0" distL="0" distR="0" wp14:anchorId="3BE8B093" wp14:editId="68CAC9AC">
            <wp:extent cx="5276215" cy="3149424"/>
            <wp:effectExtent l="0" t="0" r="635" b="0"/>
            <wp:docPr id="165" name="Content Placeholder 4">
              <a:extLst xmlns:a="http://schemas.openxmlformats.org/drawingml/2006/main">
                <a:ext uri="{FF2B5EF4-FFF2-40B4-BE49-F238E27FC236}">
                  <a16:creationId xmlns:a16="http://schemas.microsoft.com/office/drawing/2014/main" id="{A9B1AD60-3CD6-4C29-B453-2E882368BE1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A9B1AD60-3CD6-4C29-B453-2E882368BE10}"/>
                        </a:ext>
                      </a:extLst>
                    </pic:cNvPr>
                    <pic:cNvPicPr>
                      <a:picLocks noGrp="1" noChangeAspect="1"/>
                    </pic:cNvPicPr>
                  </pic:nvPicPr>
                  <pic:blipFill rotWithShape="1">
                    <a:blip r:embed="rId7">
                      <a:extLst>
                        <a:ext uri="{28A0092B-C50C-407E-A947-70E740481C1C}">
                          <a14:useLocalDpi xmlns:a14="http://schemas.microsoft.com/office/drawing/2010/main" val="0"/>
                        </a:ext>
                      </a:extLst>
                    </a:blip>
                    <a:srcRect l="14504" t="26407" r="18701" b="25744"/>
                    <a:stretch/>
                  </pic:blipFill>
                  <pic:spPr>
                    <a:xfrm>
                      <a:off x="0" y="0"/>
                      <a:ext cx="5276215" cy="3149424"/>
                    </a:xfrm>
                    <a:prstGeom prst="rect">
                      <a:avLst/>
                    </a:prstGeom>
                  </pic:spPr>
                </pic:pic>
              </a:graphicData>
            </a:graphic>
          </wp:inline>
        </w:drawing>
      </w:r>
    </w:p>
    <w:p w14:paraId="0A05D9E4" w14:textId="77777777" w:rsidR="003807EC" w:rsidRPr="001E5AB8" w:rsidRDefault="003807EC" w:rsidP="003807EC">
      <w:pPr>
        <w:spacing w:line="360" w:lineRule="auto"/>
        <w:jc w:val="both"/>
        <w:rPr>
          <w:spacing w:val="-2"/>
          <w:w w:val="90"/>
          <w:lang w:val="en-IN"/>
        </w:rPr>
      </w:pPr>
      <w:r w:rsidRPr="001E5AB8">
        <w:rPr>
          <w:b/>
          <w:bCs/>
          <w:spacing w:val="-2"/>
          <w:w w:val="90"/>
          <w:lang w:val="en-IN"/>
        </w:rPr>
        <w:t>Figure:</w:t>
      </w:r>
      <w:r w:rsidRPr="001E5AB8">
        <w:rPr>
          <w:spacing w:val="-2"/>
          <w:w w:val="90"/>
          <w:lang w:val="en-IN"/>
        </w:rPr>
        <w:t xml:space="preserve"> Baseline transcranial motor evoked potentials (TcMEPs) demonstrating stable and reproducible responses from bilateral vastus lateralis, tibialis anterior, abductor hallucis, and anal sphincter muscles prior to surgical intervention.</w:t>
      </w:r>
    </w:p>
    <w:p w14:paraId="1D84BB8C" w14:textId="77777777" w:rsidR="003807EC" w:rsidRPr="001E5AB8" w:rsidRDefault="003807EC" w:rsidP="003807EC">
      <w:pPr>
        <w:spacing w:line="360" w:lineRule="auto"/>
        <w:rPr>
          <w:spacing w:val="-2"/>
          <w:w w:val="90"/>
          <w:lang w:val="en-IN"/>
        </w:rPr>
      </w:pPr>
      <w:r w:rsidRPr="001E5AB8">
        <w:rPr>
          <w:b/>
          <w:bCs/>
          <w:spacing w:val="-2"/>
          <w:w w:val="90"/>
          <w:lang w:val="en-IN"/>
        </w:rPr>
        <w:t>MEP Waveforms in right vastus lateralis at detethering:</w:t>
      </w:r>
    </w:p>
    <w:p w14:paraId="081BBAC9" w14:textId="77777777" w:rsidR="003807EC" w:rsidRPr="001E5AB8" w:rsidRDefault="003807EC" w:rsidP="003807EC">
      <w:pPr>
        <w:spacing w:line="360" w:lineRule="auto"/>
        <w:rPr>
          <w:spacing w:val="-2"/>
          <w:w w:val="90"/>
          <w:lang w:val="en-IN"/>
        </w:rPr>
      </w:pPr>
      <w:r>
        <w:rPr>
          <w:b/>
          <w:noProof/>
          <w:lang w:val="en-IN" w:eastAsia="en-IN"/>
        </w:rPr>
        <w:drawing>
          <wp:inline distT="0" distB="0" distL="0" distR="0" wp14:anchorId="46A7CD43" wp14:editId="2E7A4DE5">
            <wp:extent cx="5276215" cy="3174381"/>
            <wp:effectExtent l="0" t="0" r="63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5-28 at 2.20.14 AM.jpeg"/>
                    <pic:cNvPicPr/>
                  </pic:nvPicPr>
                  <pic:blipFill>
                    <a:blip r:embed="rId8">
                      <a:extLst>
                        <a:ext uri="{28A0092B-C50C-407E-A947-70E740481C1C}">
                          <a14:useLocalDpi xmlns:a14="http://schemas.microsoft.com/office/drawing/2010/main" val="0"/>
                        </a:ext>
                      </a:extLst>
                    </a:blip>
                    <a:stretch>
                      <a:fillRect/>
                    </a:stretch>
                  </pic:blipFill>
                  <pic:spPr>
                    <a:xfrm>
                      <a:off x="0" y="0"/>
                      <a:ext cx="5276215" cy="3174381"/>
                    </a:xfrm>
                    <a:prstGeom prst="rect">
                      <a:avLst/>
                    </a:prstGeom>
                  </pic:spPr>
                </pic:pic>
              </a:graphicData>
            </a:graphic>
          </wp:inline>
        </w:drawing>
      </w:r>
    </w:p>
    <w:p w14:paraId="2AD96B17" w14:textId="77777777" w:rsidR="003807EC" w:rsidRPr="001E5AB8" w:rsidRDefault="003807EC" w:rsidP="003807EC">
      <w:pPr>
        <w:spacing w:line="360" w:lineRule="auto"/>
        <w:rPr>
          <w:spacing w:val="-2"/>
          <w:w w:val="90"/>
          <w:lang w:val="en-IN"/>
        </w:rPr>
      </w:pPr>
    </w:p>
    <w:p w14:paraId="71EE226D" w14:textId="77777777" w:rsidR="003807EC" w:rsidRDefault="003807EC" w:rsidP="003807EC">
      <w:pPr>
        <w:spacing w:line="360" w:lineRule="auto"/>
        <w:jc w:val="both"/>
        <w:rPr>
          <w:spacing w:val="-2"/>
          <w:w w:val="90"/>
          <w:lang w:val="en-IN"/>
        </w:rPr>
      </w:pPr>
      <w:r w:rsidRPr="001E5AB8">
        <w:rPr>
          <w:spacing w:val="-2"/>
          <w:w w:val="90"/>
          <w:lang w:val="en-IN"/>
        </w:rPr>
        <w:lastRenderedPageBreak/>
        <w:t xml:space="preserve">Fig: Intraoperative neuromonitoring showing a critical event during detethering, a significant acute reduction in transcranial motor evoked potential (TcMEPs) amplitudes is observed, most notably in the </w:t>
      </w:r>
      <w:r w:rsidRPr="001E5AB8">
        <w:rPr>
          <w:b/>
          <w:bCs/>
          <w:spacing w:val="-2"/>
          <w:w w:val="90"/>
          <w:lang w:val="en-IN"/>
        </w:rPr>
        <w:t>bilateral abductor hallucis (AH)</w:t>
      </w:r>
      <w:r w:rsidRPr="001E5AB8">
        <w:rPr>
          <w:spacing w:val="-2"/>
          <w:w w:val="90"/>
          <w:lang w:val="en-IN"/>
        </w:rPr>
        <w:t xml:space="preserve"> and </w:t>
      </w:r>
      <w:r w:rsidRPr="001E5AB8">
        <w:rPr>
          <w:b/>
          <w:bCs/>
          <w:spacing w:val="-2"/>
          <w:w w:val="90"/>
          <w:lang w:val="en-IN"/>
        </w:rPr>
        <w:t>right tibialis anterior (TA)</w:t>
      </w:r>
      <w:r w:rsidRPr="001E5AB8">
        <w:rPr>
          <w:spacing w:val="-2"/>
          <w:w w:val="90"/>
          <w:lang w:val="en-IN"/>
        </w:rPr>
        <w:t xml:space="preserve"> muscle groups (red circled area). The morphology shows a &gt;80% drop in peak-to-peak amplitude compared with baseline polyphasic waveforms, suggesting potential mechanical or ischemic compromise of the corticospinal tract. This profound loss of voltage in the distal myotomes necessitates an immediate surgical pause, irrigation with warm saline, and mean arterial pressure (MAP) optimization to prevent permanent postoperative motor deficit.</w:t>
      </w:r>
    </w:p>
    <w:p w14:paraId="57AB9DF7" w14:textId="77777777" w:rsidR="003807EC" w:rsidRPr="001E5AB8" w:rsidRDefault="003807EC" w:rsidP="003807EC">
      <w:pPr>
        <w:spacing w:line="360" w:lineRule="auto"/>
        <w:jc w:val="both"/>
        <w:rPr>
          <w:spacing w:val="-2"/>
          <w:w w:val="90"/>
          <w:lang w:val="en-IN"/>
        </w:rPr>
      </w:pPr>
      <w:r>
        <w:rPr>
          <w:b/>
          <w:noProof/>
          <w:lang w:val="en-IN" w:eastAsia="en-IN"/>
        </w:rPr>
        <w:drawing>
          <wp:inline distT="0" distB="0" distL="0" distR="0" wp14:anchorId="250B19C4" wp14:editId="35E84A4C">
            <wp:extent cx="5276215" cy="279017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5-28 at 2.33.06 AM.jpeg"/>
                    <pic:cNvPicPr/>
                  </pic:nvPicPr>
                  <pic:blipFill>
                    <a:blip r:embed="rId9">
                      <a:extLst>
                        <a:ext uri="{28A0092B-C50C-407E-A947-70E740481C1C}">
                          <a14:useLocalDpi xmlns:a14="http://schemas.microsoft.com/office/drawing/2010/main" val="0"/>
                        </a:ext>
                      </a:extLst>
                    </a:blip>
                    <a:stretch>
                      <a:fillRect/>
                    </a:stretch>
                  </pic:blipFill>
                  <pic:spPr>
                    <a:xfrm>
                      <a:off x="0" y="0"/>
                      <a:ext cx="5276215" cy="2790170"/>
                    </a:xfrm>
                    <a:prstGeom prst="rect">
                      <a:avLst/>
                    </a:prstGeom>
                  </pic:spPr>
                </pic:pic>
              </a:graphicData>
            </a:graphic>
          </wp:inline>
        </w:drawing>
      </w:r>
    </w:p>
    <w:p w14:paraId="6DD7FBFF" w14:textId="77777777" w:rsidR="003807EC" w:rsidRPr="001E5AB8" w:rsidRDefault="003807EC" w:rsidP="003807EC">
      <w:pPr>
        <w:spacing w:line="360" w:lineRule="auto"/>
        <w:rPr>
          <w:spacing w:val="-2"/>
          <w:w w:val="90"/>
          <w:lang w:val="en-IN"/>
        </w:rPr>
      </w:pPr>
      <w:r w:rsidRPr="001E5AB8">
        <w:rPr>
          <w:b/>
          <w:bCs/>
          <w:spacing w:val="-2"/>
          <w:w w:val="90"/>
          <w:lang w:val="en-IN"/>
        </w:rPr>
        <w:t>MEP WAVEFORM AT TIME OF SKIN CLOSURE:</w:t>
      </w:r>
    </w:p>
    <w:p w14:paraId="11EB5BBA" w14:textId="77777777" w:rsidR="003807EC" w:rsidRPr="001E5AB8" w:rsidRDefault="003807EC" w:rsidP="003807EC">
      <w:pPr>
        <w:spacing w:line="360" w:lineRule="auto"/>
        <w:rPr>
          <w:spacing w:val="-2"/>
          <w:w w:val="90"/>
          <w:lang w:val="en-IN"/>
        </w:rPr>
      </w:pPr>
      <w:r w:rsidRPr="001E5AB8">
        <w:rPr>
          <w:spacing w:val="-2"/>
          <w:w w:val="90"/>
          <w:lang w:val="en-IN"/>
        </w:rPr>
        <w:t>Fig: Intraoperative</w:t>
      </w:r>
      <w:r>
        <w:rPr>
          <w:spacing w:val="-2"/>
          <w:w w:val="90"/>
          <w:lang w:val="en-IN"/>
        </w:rPr>
        <w:t xml:space="preserve"> </w:t>
      </w:r>
      <w:r w:rsidRPr="001E5AB8">
        <w:rPr>
          <w:spacing w:val="-2"/>
          <w:w w:val="90"/>
          <w:lang w:val="en-IN"/>
        </w:rPr>
        <w:t xml:space="preserve">neuromonitoring demonstrating </w:t>
      </w:r>
      <w:r w:rsidRPr="001E5AB8">
        <w:rPr>
          <w:b/>
          <w:bCs/>
          <w:spacing w:val="-2"/>
          <w:w w:val="90"/>
          <w:lang w:val="en-IN"/>
        </w:rPr>
        <w:t>reversal of the TcMEPs amplitude drop</w:t>
      </w:r>
      <w:r w:rsidRPr="001E5AB8">
        <w:rPr>
          <w:spacing w:val="-2"/>
          <w:w w:val="90"/>
          <w:lang w:val="en-IN"/>
        </w:rPr>
        <w:t xml:space="preserve"> following corrective surgical manoeuvres. The polyphasic waveforms show a significant recovery in voltage, specifically in the </w:t>
      </w:r>
      <w:r w:rsidRPr="001E5AB8">
        <w:rPr>
          <w:b/>
          <w:bCs/>
          <w:spacing w:val="-2"/>
          <w:w w:val="90"/>
          <w:lang w:val="en-IN"/>
        </w:rPr>
        <w:t>bilateral abductor hallucis (AH)</w:t>
      </w:r>
      <w:r w:rsidRPr="001E5AB8">
        <w:rPr>
          <w:spacing w:val="-2"/>
          <w:w w:val="90"/>
          <w:lang w:val="en-IN"/>
        </w:rPr>
        <w:t xml:space="preserve"> and </w:t>
      </w:r>
      <w:r w:rsidRPr="001E5AB8">
        <w:rPr>
          <w:b/>
          <w:bCs/>
          <w:spacing w:val="-2"/>
          <w:w w:val="90"/>
          <w:lang w:val="en-IN"/>
        </w:rPr>
        <w:t>tibialis anterior (TA)</w:t>
      </w:r>
      <w:r w:rsidRPr="001E5AB8">
        <w:rPr>
          <w:spacing w:val="-2"/>
          <w:w w:val="90"/>
          <w:lang w:val="en-IN"/>
        </w:rPr>
        <w:t xml:space="preserve"> muscle groups (red circled area). The return to &gt;80% of the baseline peak-to-peak amplitude indicates successful restoration of corticospinal tract perfusion and neural conduction, confirming that the preceding event was transient and potentially mitigating a permanent postoperative motor deficit.</w:t>
      </w:r>
    </w:p>
    <w:p w14:paraId="0D2AAC3D" w14:textId="77777777" w:rsidR="003807EC" w:rsidRPr="004932B4" w:rsidRDefault="003807EC" w:rsidP="003807EC">
      <w:pPr>
        <w:rPr>
          <w:color w:val="000000"/>
        </w:rPr>
      </w:pPr>
    </w:p>
    <w:p w14:paraId="391E6672" w14:textId="77777777" w:rsidR="003807EC" w:rsidRPr="000B6A81" w:rsidRDefault="003807EC" w:rsidP="003807EC">
      <w:pPr>
        <w:pStyle w:val="ListParagraph"/>
        <w:spacing w:line="360" w:lineRule="auto"/>
        <w:jc w:val="both"/>
        <w:rPr>
          <w:b/>
          <w:bCs/>
        </w:rPr>
      </w:pPr>
    </w:p>
    <w:p w14:paraId="2A7E7DF2" w14:textId="77777777" w:rsidR="00DC2479" w:rsidRDefault="00DC2479"/>
    <w:sectPr w:rsidR="00DC2479" w:rsidSect="00380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01D08"/>
    <w:multiLevelType w:val="multilevel"/>
    <w:tmpl w:val="E360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241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EC"/>
    <w:rsid w:val="003807EC"/>
    <w:rsid w:val="005B6877"/>
    <w:rsid w:val="00AA0C39"/>
    <w:rsid w:val="00DC2479"/>
    <w:rsid w:val="00E97D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F7BA"/>
  <w15:chartTrackingRefBased/>
  <w15:docId w15:val="{B7989A51-7BE6-4866-9B96-4310686B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7EC"/>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380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7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7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7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7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7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7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7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7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7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7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7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7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7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7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7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7EC"/>
    <w:rPr>
      <w:rFonts w:eastAsiaTheme="majorEastAsia" w:cstheme="majorBidi"/>
      <w:color w:val="272727" w:themeColor="text1" w:themeTint="D8"/>
    </w:rPr>
  </w:style>
  <w:style w:type="paragraph" w:styleId="Title">
    <w:name w:val="Title"/>
    <w:basedOn w:val="Normal"/>
    <w:next w:val="Normal"/>
    <w:link w:val="TitleChar"/>
    <w:uiPriority w:val="10"/>
    <w:qFormat/>
    <w:rsid w:val="003807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7EC"/>
    <w:pPr>
      <w:spacing w:before="160"/>
      <w:jc w:val="center"/>
    </w:pPr>
    <w:rPr>
      <w:i/>
      <w:iCs/>
      <w:color w:val="404040" w:themeColor="text1" w:themeTint="BF"/>
    </w:rPr>
  </w:style>
  <w:style w:type="character" w:customStyle="1" w:styleId="QuoteChar">
    <w:name w:val="Quote Char"/>
    <w:basedOn w:val="DefaultParagraphFont"/>
    <w:link w:val="Quote"/>
    <w:uiPriority w:val="29"/>
    <w:rsid w:val="003807EC"/>
    <w:rPr>
      <w:i/>
      <w:iCs/>
      <w:color w:val="404040" w:themeColor="text1" w:themeTint="BF"/>
    </w:rPr>
  </w:style>
  <w:style w:type="paragraph" w:styleId="ListParagraph">
    <w:name w:val="List Paragraph"/>
    <w:basedOn w:val="Normal"/>
    <w:uiPriority w:val="1"/>
    <w:qFormat/>
    <w:rsid w:val="003807EC"/>
    <w:pPr>
      <w:ind w:left="720"/>
      <w:contextualSpacing/>
    </w:pPr>
  </w:style>
  <w:style w:type="character" w:styleId="IntenseEmphasis">
    <w:name w:val="Intense Emphasis"/>
    <w:basedOn w:val="DefaultParagraphFont"/>
    <w:uiPriority w:val="21"/>
    <w:qFormat/>
    <w:rsid w:val="003807EC"/>
    <w:rPr>
      <w:i/>
      <w:iCs/>
      <w:color w:val="0F4761" w:themeColor="accent1" w:themeShade="BF"/>
    </w:rPr>
  </w:style>
  <w:style w:type="paragraph" w:styleId="IntenseQuote">
    <w:name w:val="Intense Quote"/>
    <w:basedOn w:val="Normal"/>
    <w:next w:val="Normal"/>
    <w:link w:val="IntenseQuoteChar"/>
    <w:uiPriority w:val="30"/>
    <w:qFormat/>
    <w:rsid w:val="00380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7EC"/>
    <w:rPr>
      <w:i/>
      <w:iCs/>
      <w:color w:val="0F4761" w:themeColor="accent1" w:themeShade="BF"/>
    </w:rPr>
  </w:style>
  <w:style w:type="character" w:styleId="IntenseReference">
    <w:name w:val="Intense Reference"/>
    <w:basedOn w:val="DefaultParagraphFont"/>
    <w:uiPriority w:val="32"/>
    <w:qFormat/>
    <w:rsid w:val="003807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2026-09-24T18:08:00Z</dcterms:created>
  <dcterms:modified xsi:type="dcterms:W3CDTF">2026-09-24T18:08:00Z</dcterms:modified>
</cp:coreProperties>
</file>