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299CAF" w14:textId="474A8B48" w:rsidR="00B03AB3" w:rsidRDefault="00915440" w:rsidP="00915440">
      <w:pPr>
        <w:rPr>
          <w:rFonts w:ascii="Times New Roman" w:eastAsia="Times New Roman" w:hAnsi="Times New Roman" w:cs="Times New Roman"/>
          <w:lang w:val="en-GB"/>
        </w:rPr>
      </w:pPr>
      <w:r>
        <w:rPr>
          <w:rFonts w:ascii="Times New Roman" w:eastAsia="Times New Roman" w:hAnsi="Times New Roman" w:cs="Times New Roman"/>
          <w:b/>
          <w:bCs/>
          <w:lang w:val="en-GB"/>
        </w:rPr>
        <w:t>SUPPLEMENTARY MATERIAL</w:t>
      </w:r>
    </w:p>
    <w:p w14:paraId="1B4FC582" w14:textId="77777777" w:rsidR="00915440" w:rsidRPr="00915440" w:rsidRDefault="00915440" w:rsidP="00915440">
      <w:pPr>
        <w:rPr>
          <w:rFonts w:ascii="Times New Roman" w:eastAsia="Times New Roman" w:hAnsi="Times New Roman" w:cs="Times New Roman"/>
          <w:lang w:val="en-GB"/>
        </w:rPr>
      </w:pPr>
    </w:p>
    <w:p w14:paraId="672A6659" w14:textId="26323A6C" w:rsidR="00B03AB3" w:rsidRPr="00DB3937" w:rsidRDefault="00124FF7" w:rsidP="00915440">
      <w:pPr>
        <w:pStyle w:val="BodyText"/>
        <w:spacing w:after="0" w:line="240" w:lineRule="auto"/>
        <w:jc w:val="center"/>
        <w:rPr>
          <w:rFonts w:ascii="Times New Roman" w:eastAsia="Times New Roman" w:hAnsi="Times New Roman" w:cs="Times New Roman"/>
          <w:b/>
          <w:bCs/>
          <w:sz w:val="28"/>
          <w:szCs w:val="28"/>
        </w:rPr>
      </w:pPr>
      <w:r w:rsidRPr="00DB3937">
        <w:rPr>
          <w:rFonts w:ascii="Times New Roman" w:hAnsi="Times New Roman" w:cs="Times New Roman"/>
          <w:b/>
          <w:sz w:val="28"/>
          <w:szCs w:val="28"/>
        </w:rPr>
        <w:t>Mapping climate-change research on Brazilian biodiversity: Biases, gaps, and trends</w:t>
      </w:r>
    </w:p>
    <w:p w14:paraId="0B39D2C6" w14:textId="77777777" w:rsidR="00754E6B" w:rsidRDefault="00754E6B" w:rsidP="00915440">
      <w:pPr>
        <w:widowControl w:val="0"/>
        <w:jc w:val="center"/>
        <w:rPr>
          <w:rFonts w:ascii="Times New Roman" w:eastAsia="Times New Roman" w:hAnsi="Times New Roman" w:cs="Times New Roman"/>
        </w:rPr>
      </w:pPr>
    </w:p>
    <w:p w14:paraId="3894D868" w14:textId="0A842987" w:rsidR="3F92B0F1" w:rsidRPr="00124FF7" w:rsidRDefault="3F92B0F1" w:rsidP="00915440">
      <w:pPr>
        <w:widowControl w:val="0"/>
        <w:jc w:val="center"/>
        <w:rPr>
          <w:rFonts w:ascii="Times New Roman" w:eastAsia="Times New Roman" w:hAnsi="Times New Roman" w:cs="Times New Roman"/>
          <w:sz w:val="19"/>
          <w:szCs w:val="19"/>
          <w:lang w:val="pt-BR"/>
        </w:rPr>
      </w:pPr>
      <w:r w:rsidRPr="00124FF7">
        <w:rPr>
          <w:rFonts w:ascii="Times New Roman" w:eastAsia="Times New Roman" w:hAnsi="Times New Roman" w:cs="Times New Roman"/>
          <w:lang w:val="pt-BR"/>
        </w:rPr>
        <w:t>Abreu, T.L.S.</w:t>
      </w:r>
      <w:r w:rsidRPr="00124FF7">
        <w:rPr>
          <w:rFonts w:ascii="Times New Roman" w:eastAsia="Times New Roman" w:hAnsi="Times New Roman" w:cs="Times New Roman"/>
          <w:vertAlign w:val="superscript"/>
          <w:lang w:val="pt-BR"/>
        </w:rPr>
        <w:t>1, 2, *</w:t>
      </w:r>
      <w:r w:rsidRPr="00124FF7">
        <w:rPr>
          <w:rFonts w:ascii="Times New Roman" w:eastAsia="Times New Roman" w:hAnsi="Times New Roman" w:cs="Times New Roman"/>
          <w:lang w:val="pt-BR"/>
        </w:rPr>
        <w:t>; Cavalcante, V. H. G. L.</w:t>
      </w:r>
      <w:r w:rsidRPr="00124FF7">
        <w:rPr>
          <w:rFonts w:ascii="Times New Roman" w:eastAsia="Times New Roman" w:hAnsi="Times New Roman" w:cs="Times New Roman"/>
          <w:vertAlign w:val="superscript"/>
          <w:lang w:val="pt-BR"/>
        </w:rPr>
        <w:t>1, 2, 3</w:t>
      </w:r>
      <w:r w:rsidRPr="00124FF7">
        <w:rPr>
          <w:rFonts w:ascii="Times New Roman" w:eastAsia="Times New Roman" w:hAnsi="Times New Roman" w:cs="Times New Roman"/>
          <w:lang w:val="pt-BR"/>
        </w:rPr>
        <w:t>; Ferreira, A. L. A.</w:t>
      </w:r>
      <w:r w:rsidRPr="00124FF7">
        <w:rPr>
          <w:rFonts w:ascii="Times New Roman" w:eastAsia="Times New Roman" w:hAnsi="Times New Roman" w:cs="Times New Roman"/>
          <w:vertAlign w:val="superscript"/>
          <w:lang w:val="pt-BR"/>
        </w:rPr>
        <w:t>1</w:t>
      </w:r>
      <w:r w:rsidRPr="00124FF7">
        <w:rPr>
          <w:rFonts w:ascii="Times New Roman" w:eastAsia="Times New Roman" w:hAnsi="Times New Roman" w:cs="Times New Roman"/>
          <w:lang w:val="pt-BR"/>
        </w:rPr>
        <w:t>; Nacif, J. W. R.</w:t>
      </w:r>
      <w:r w:rsidRPr="00124FF7">
        <w:rPr>
          <w:rFonts w:ascii="Times New Roman" w:eastAsia="Times New Roman" w:hAnsi="Times New Roman" w:cs="Times New Roman"/>
          <w:vertAlign w:val="superscript"/>
          <w:lang w:val="pt-BR"/>
        </w:rPr>
        <w:t>1</w:t>
      </w:r>
      <w:r w:rsidRPr="00124FF7">
        <w:rPr>
          <w:rFonts w:ascii="Times New Roman" w:eastAsia="Times New Roman" w:hAnsi="Times New Roman" w:cs="Times New Roman"/>
          <w:lang w:val="pt-BR"/>
        </w:rPr>
        <w:t>; De Paula, A.</w:t>
      </w:r>
      <w:r w:rsidRPr="00124FF7">
        <w:rPr>
          <w:rFonts w:ascii="Times New Roman" w:eastAsia="Times New Roman" w:hAnsi="Times New Roman" w:cs="Times New Roman"/>
          <w:vertAlign w:val="superscript"/>
          <w:lang w:val="pt-BR"/>
        </w:rPr>
        <w:t>1, 2</w:t>
      </w:r>
      <w:r w:rsidRPr="00124FF7">
        <w:rPr>
          <w:rFonts w:ascii="Times New Roman" w:eastAsia="Times New Roman" w:hAnsi="Times New Roman" w:cs="Times New Roman"/>
          <w:lang w:val="pt-BR"/>
        </w:rPr>
        <w:t>; Oliveira, H. F. M.</w:t>
      </w:r>
      <w:r w:rsidRPr="00124FF7">
        <w:rPr>
          <w:rFonts w:ascii="Times New Roman" w:eastAsia="Times New Roman" w:hAnsi="Times New Roman" w:cs="Times New Roman"/>
          <w:vertAlign w:val="superscript"/>
          <w:lang w:val="pt-BR"/>
        </w:rPr>
        <w:t>2, 4</w:t>
      </w:r>
      <w:r w:rsidRPr="00124FF7">
        <w:rPr>
          <w:rFonts w:ascii="Times New Roman" w:eastAsia="Times New Roman" w:hAnsi="Times New Roman" w:cs="Times New Roman"/>
          <w:lang w:val="pt-BR"/>
        </w:rPr>
        <w:t>; Colli, G. R.</w:t>
      </w:r>
      <w:r w:rsidRPr="00124FF7">
        <w:rPr>
          <w:rFonts w:ascii="Times New Roman" w:eastAsia="Times New Roman" w:hAnsi="Times New Roman" w:cs="Times New Roman"/>
          <w:vertAlign w:val="superscript"/>
          <w:lang w:val="pt-BR"/>
        </w:rPr>
        <w:t>1, 2</w:t>
      </w:r>
    </w:p>
    <w:p w14:paraId="02EB378F" w14:textId="77777777" w:rsidR="00B03AB3" w:rsidRPr="00124FF7" w:rsidRDefault="00B03AB3" w:rsidP="00915440">
      <w:pPr>
        <w:rPr>
          <w:rFonts w:ascii="Times New Roman" w:eastAsia="Times New Roman" w:hAnsi="Times New Roman" w:cs="Times New Roman"/>
          <w:b/>
          <w:bCs/>
          <w:lang w:val="pt-BR"/>
        </w:rPr>
      </w:pPr>
    </w:p>
    <w:p w14:paraId="4672D1F1" w14:textId="77777777" w:rsidR="00B62052" w:rsidRPr="00124FF7" w:rsidRDefault="00B62052" w:rsidP="00915440">
      <w:pPr>
        <w:rPr>
          <w:rFonts w:ascii="Times New Roman" w:eastAsia="Times New Roman" w:hAnsi="Times New Roman" w:cs="Times New Roman"/>
          <w:b/>
          <w:bCs/>
          <w:lang w:val="pt-BR"/>
        </w:rPr>
      </w:pPr>
    </w:p>
    <w:p w14:paraId="0C6EFF13" w14:textId="4B7276B6" w:rsidR="00B03AB3" w:rsidRDefault="7E02834B" w:rsidP="00915440">
      <w:pPr>
        <w:rPr>
          <w:rFonts w:ascii="Times New Roman" w:eastAsia="Times New Roman" w:hAnsi="Times New Roman" w:cs="Times New Roman"/>
        </w:rPr>
      </w:pPr>
      <w:r w:rsidRPr="7E02834B">
        <w:rPr>
          <w:rFonts w:ascii="Times New Roman" w:eastAsia="Times New Roman" w:hAnsi="Times New Roman" w:cs="Times New Roman"/>
          <w:b/>
          <w:bCs/>
        </w:rPr>
        <w:t xml:space="preserve">Table S1. </w:t>
      </w:r>
      <w:r w:rsidR="001D66F9" w:rsidRPr="001D66F9">
        <w:rPr>
          <w:rFonts w:ascii="Times New Roman" w:eastAsia="Times New Roman" w:hAnsi="Times New Roman" w:cs="Times New Roman"/>
        </w:rPr>
        <w:t>List of the 111 scientific publications included in the evidence-mapping and bibliometric analyses of climate change impacts on Brazilian biodiversity</w:t>
      </w:r>
      <w:r w:rsidRPr="7E02834B">
        <w:rPr>
          <w:rFonts w:ascii="Times New Roman" w:eastAsia="Times New Roman" w:hAnsi="Times New Roman" w:cs="Times New Roman"/>
        </w:rPr>
        <w:t>.</w:t>
      </w:r>
    </w:p>
    <w:p w14:paraId="2908A49B" w14:textId="77777777" w:rsidR="00B62052" w:rsidRDefault="00B62052" w:rsidP="00915440">
      <w:pPr>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9350"/>
      </w:tblGrid>
      <w:tr w:rsidR="00B03AB3" w14:paraId="1EFE0942" w14:textId="77777777" w:rsidTr="008F1F56">
        <w:tc>
          <w:tcPr>
            <w:tcW w:w="5000" w:type="pct"/>
          </w:tcPr>
          <w:p w14:paraId="1556EE2A"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Almeida, A. C., Tourinho, L., Ramalho, Q., Jenkins, C. N., &amp; Almeida-Gomes, M. (2022). </w:t>
            </w:r>
            <w:r>
              <w:rPr>
                <w:rFonts w:ascii="Times New Roman" w:eastAsia="Times New Roman" w:hAnsi="Times New Roman" w:cs="Times New Roman"/>
              </w:rPr>
              <w:t xml:space="preserve">Regional variation in responses of a vulnerable bird species to land-use and climate change. </w:t>
            </w:r>
            <w:r>
              <w:rPr>
                <w:rFonts w:ascii="Times New Roman" w:eastAsia="Times New Roman" w:hAnsi="Times New Roman" w:cs="Times New Roman"/>
                <w:i/>
                <w:iCs/>
              </w:rPr>
              <w:t>BIOTROPICA</w:t>
            </w:r>
            <w:r>
              <w:rPr>
                <w:rFonts w:ascii="Times New Roman" w:eastAsia="Times New Roman" w:hAnsi="Times New Roman" w:cs="Times New Roman"/>
              </w:rPr>
              <w:t xml:space="preserve">, </w:t>
            </w:r>
            <w:r>
              <w:rPr>
                <w:rFonts w:ascii="Times New Roman" w:eastAsia="Times New Roman" w:hAnsi="Times New Roman" w:cs="Times New Roman"/>
                <w:i/>
                <w:iCs/>
              </w:rPr>
              <w:t>54</w:t>
            </w:r>
            <w:r>
              <w:rPr>
                <w:rFonts w:ascii="Times New Roman" w:eastAsia="Times New Roman" w:hAnsi="Times New Roman" w:cs="Times New Roman"/>
              </w:rPr>
              <w:t>(5), 1190–1204. https://doi.org/10.1111/btp.13142</w:t>
            </w:r>
          </w:p>
        </w:tc>
      </w:tr>
      <w:tr w:rsidR="00B03AB3" w14:paraId="72BDB2B9" w14:textId="77777777" w:rsidTr="008F1F56">
        <w:tc>
          <w:tcPr>
            <w:tcW w:w="5000" w:type="pct"/>
          </w:tcPr>
          <w:p w14:paraId="3B82E8B1"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Araújo-Silva, C. L., Sarmento, V. C., &amp; Santos, P. J. P. (2022). </w:t>
            </w:r>
            <w:r>
              <w:rPr>
                <w:rFonts w:ascii="Times New Roman" w:eastAsia="Times New Roman" w:hAnsi="Times New Roman" w:cs="Times New Roman"/>
              </w:rPr>
              <w:t>Climate change scenarios of increased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temperature affect a coral reef peracarid (Crustacea) community. </w:t>
            </w:r>
            <w:r>
              <w:rPr>
                <w:rFonts w:ascii="Times New Roman" w:eastAsia="Times New Roman" w:hAnsi="Times New Roman" w:cs="Times New Roman"/>
                <w:i/>
                <w:iCs/>
              </w:rPr>
              <w:t>MARINE ENVIRONMENTAL RESEARCH</w:t>
            </w:r>
            <w:r>
              <w:rPr>
                <w:rFonts w:ascii="Times New Roman" w:eastAsia="Times New Roman" w:hAnsi="Times New Roman" w:cs="Times New Roman"/>
              </w:rPr>
              <w:t xml:space="preserve">, </w:t>
            </w:r>
            <w:r>
              <w:rPr>
                <w:rFonts w:ascii="Times New Roman" w:eastAsia="Times New Roman" w:hAnsi="Times New Roman" w:cs="Times New Roman"/>
                <w:i/>
                <w:iCs/>
              </w:rPr>
              <w:t>173</w:t>
            </w:r>
            <w:r>
              <w:rPr>
                <w:rFonts w:ascii="Times New Roman" w:eastAsia="Times New Roman" w:hAnsi="Times New Roman" w:cs="Times New Roman"/>
              </w:rPr>
              <w:t>. https://doi.org/10.1016/j.marenvres.2021.105518</w:t>
            </w:r>
          </w:p>
        </w:tc>
      </w:tr>
      <w:tr w:rsidR="00B03AB3" w14:paraId="0B7EBE9E" w14:textId="77777777" w:rsidTr="008F1F56">
        <w:tc>
          <w:tcPr>
            <w:tcW w:w="5000" w:type="pct"/>
          </w:tcPr>
          <w:p w14:paraId="07493FAD"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Arruda, D. M., Schaefer, C., Fonseca, R. S., Fernandes, E. I., Veloso, G. V, Gomes, L. C., Oliveira, F. S., Corrêa, G. R., Espírito-Santo, M. M., Oliveira, G. C., &amp; Solar, R. R. C. (2024). </w:t>
            </w:r>
            <w:r>
              <w:rPr>
                <w:rFonts w:ascii="Times New Roman" w:eastAsia="Times New Roman" w:hAnsi="Times New Roman" w:cs="Times New Roman"/>
              </w:rPr>
              <w:t xml:space="preserve">Amazonian vegetation types and indigenous lands threatened by upcoming climate change: Forecast impact for Brazilian biomes. </w:t>
            </w:r>
            <w:r>
              <w:rPr>
                <w:rFonts w:ascii="Times New Roman" w:eastAsia="Times New Roman" w:hAnsi="Times New Roman" w:cs="Times New Roman"/>
                <w:i/>
                <w:iCs/>
              </w:rPr>
              <w:t>AUSTRAL ECOLOGY</w:t>
            </w:r>
            <w:r>
              <w:rPr>
                <w:rFonts w:ascii="Times New Roman" w:eastAsia="Times New Roman" w:hAnsi="Times New Roman" w:cs="Times New Roman"/>
              </w:rPr>
              <w:t xml:space="preserve">, </w:t>
            </w:r>
            <w:r>
              <w:rPr>
                <w:rFonts w:ascii="Times New Roman" w:eastAsia="Times New Roman" w:hAnsi="Times New Roman" w:cs="Times New Roman"/>
                <w:i/>
                <w:iCs/>
              </w:rPr>
              <w:t>49</w:t>
            </w:r>
            <w:r>
              <w:rPr>
                <w:rFonts w:ascii="Times New Roman" w:eastAsia="Times New Roman" w:hAnsi="Times New Roman" w:cs="Times New Roman"/>
              </w:rPr>
              <w:t>(1). https://doi.org/10.1111/aec.13369</w:t>
            </w:r>
          </w:p>
        </w:tc>
      </w:tr>
      <w:tr w:rsidR="00B03AB3" w14:paraId="46DFA12A" w14:textId="77777777" w:rsidTr="008F1F56">
        <w:tc>
          <w:tcPr>
            <w:tcW w:w="5000" w:type="pct"/>
          </w:tcPr>
          <w:p w14:paraId="05EA6E24"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Barbosa, C., Pugnaire, F. I., Peroni, N., &amp; Castellani, T. T. (2018). </w:t>
            </w:r>
            <w:r>
              <w:rPr>
                <w:rFonts w:ascii="Times New Roman" w:eastAsia="Times New Roman" w:hAnsi="Times New Roman" w:cs="Times New Roman"/>
              </w:rPr>
              <w:t xml:space="preserve">Warming effects on the colonization of a coastal ecosystem by </w:t>
            </w:r>
            <w:r>
              <w:rPr>
                <w:rFonts w:ascii="Times New Roman" w:eastAsia="Times New Roman" w:hAnsi="Times New Roman" w:cs="Times New Roman"/>
                <w:i/>
                <w:iCs/>
              </w:rPr>
              <w:t>Furcraea foetida</w:t>
            </w:r>
            <w:r>
              <w:rPr>
                <w:rFonts w:ascii="Times New Roman" w:eastAsia="Times New Roman" w:hAnsi="Times New Roman" w:cs="Times New Roman"/>
              </w:rPr>
              <w:t xml:space="preserve"> (Asparagaceae), a clonal invasive species. </w:t>
            </w:r>
            <w:r>
              <w:rPr>
                <w:rFonts w:ascii="Times New Roman" w:eastAsia="Times New Roman" w:hAnsi="Times New Roman" w:cs="Times New Roman"/>
                <w:i/>
                <w:iCs/>
              </w:rPr>
              <w:t>PLANT ECOLOGY</w:t>
            </w:r>
            <w:r>
              <w:rPr>
                <w:rFonts w:ascii="Times New Roman" w:eastAsia="Times New Roman" w:hAnsi="Times New Roman" w:cs="Times New Roman"/>
              </w:rPr>
              <w:t xml:space="preserve">, </w:t>
            </w:r>
            <w:r>
              <w:rPr>
                <w:rFonts w:ascii="Times New Roman" w:eastAsia="Times New Roman" w:hAnsi="Times New Roman" w:cs="Times New Roman"/>
                <w:i/>
                <w:iCs/>
              </w:rPr>
              <w:t>219</w:t>
            </w:r>
            <w:r>
              <w:rPr>
                <w:rFonts w:ascii="Times New Roman" w:eastAsia="Times New Roman" w:hAnsi="Times New Roman" w:cs="Times New Roman"/>
              </w:rPr>
              <w:t>(7), 813–821. https://doi.org/10.1007/s11258-018-0836-0</w:t>
            </w:r>
          </w:p>
        </w:tc>
      </w:tr>
      <w:tr w:rsidR="00B03AB3" w14:paraId="36A7E7E1" w14:textId="77777777" w:rsidTr="008F1F56">
        <w:tc>
          <w:tcPr>
            <w:tcW w:w="5000" w:type="pct"/>
          </w:tcPr>
          <w:p w14:paraId="4F05659B"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Barrios-Leal, D. Y., Neves-da-Rocha, J., &amp; Manfrin, M. H. (2019). </w:t>
            </w:r>
            <w:r>
              <w:rPr>
                <w:rFonts w:ascii="Times New Roman" w:eastAsia="Times New Roman" w:hAnsi="Times New Roman" w:cs="Times New Roman"/>
              </w:rPr>
              <w:t xml:space="preserve">Genetics and Distribution Modeling: The Demographic History of the Cactophilic </w:t>
            </w:r>
            <w:r>
              <w:rPr>
                <w:rFonts w:ascii="Times New Roman" w:eastAsia="Times New Roman" w:hAnsi="Times New Roman" w:cs="Times New Roman"/>
                <w:i/>
                <w:iCs/>
              </w:rPr>
              <w:t>Drosophila buzzatii</w:t>
            </w:r>
            <w:r>
              <w:rPr>
                <w:rFonts w:ascii="Times New Roman" w:eastAsia="Times New Roman" w:hAnsi="Times New Roman" w:cs="Times New Roman"/>
              </w:rPr>
              <w:t xml:space="preserve"> Species Cluster in Open Areas of South America. </w:t>
            </w:r>
            <w:r>
              <w:rPr>
                <w:rFonts w:ascii="Times New Roman" w:eastAsia="Times New Roman" w:hAnsi="Times New Roman" w:cs="Times New Roman"/>
                <w:i/>
                <w:iCs/>
              </w:rPr>
              <w:t>JOURNAL OF HEREDITY</w:t>
            </w:r>
            <w:r>
              <w:rPr>
                <w:rFonts w:ascii="Times New Roman" w:eastAsia="Times New Roman" w:hAnsi="Times New Roman" w:cs="Times New Roman"/>
              </w:rPr>
              <w:t xml:space="preserve">, </w:t>
            </w:r>
            <w:r>
              <w:rPr>
                <w:rFonts w:ascii="Times New Roman" w:eastAsia="Times New Roman" w:hAnsi="Times New Roman" w:cs="Times New Roman"/>
                <w:i/>
                <w:iCs/>
              </w:rPr>
              <w:t>110</w:t>
            </w:r>
            <w:r>
              <w:rPr>
                <w:rFonts w:ascii="Times New Roman" w:eastAsia="Times New Roman" w:hAnsi="Times New Roman" w:cs="Times New Roman"/>
              </w:rPr>
              <w:t>(1), 22–33. https://doi.org/10.1093/jhered/esy042</w:t>
            </w:r>
          </w:p>
        </w:tc>
      </w:tr>
      <w:tr w:rsidR="00B03AB3" w14:paraId="2A5EA7C9" w14:textId="77777777" w:rsidTr="008F1F56">
        <w:tc>
          <w:tcPr>
            <w:tcW w:w="5000" w:type="pct"/>
          </w:tcPr>
          <w:p w14:paraId="26FBDF4F"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Bedoya-Roqueme, E., &amp; Tizo-Pedroso, E. (2023). </w:t>
            </w:r>
            <w:r>
              <w:rPr>
                <w:rFonts w:ascii="Times New Roman" w:eastAsia="Times New Roman" w:hAnsi="Times New Roman" w:cs="Times New Roman"/>
              </w:rPr>
              <w:t xml:space="preserve">How Can Climate Change Limit the Distribution of Cooperative Pseudoscorpions in Brazil? </w:t>
            </w:r>
            <w:r>
              <w:rPr>
                <w:rFonts w:ascii="Times New Roman" w:eastAsia="Times New Roman" w:hAnsi="Times New Roman" w:cs="Times New Roman"/>
                <w:i/>
                <w:iCs/>
              </w:rPr>
              <w:t>NEOTROPICAL ENTOMOLOGY</w:t>
            </w:r>
            <w:r>
              <w:rPr>
                <w:rFonts w:ascii="Times New Roman" w:eastAsia="Times New Roman" w:hAnsi="Times New Roman" w:cs="Times New Roman"/>
              </w:rPr>
              <w:t xml:space="preserve">, </w:t>
            </w:r>
            <w:r>
              <w:rPr>
                <w:rFonts w:ascii="Times New Roman" w:eastAsia="Times New Roman" w:hAnsi="Times New Roman" w:cs="Times New Roman"/>
                <w:i/>
                <w:iCs/>
              </w:rPr>
              <w:t>52</w:t>
            </w:r>
            <w:r>
              <w:rPr>
                <w:rFonts w:ascii="Times New Roman" w:eastAsia="Times New Roman" w:hAnsi="Times New Roman" w:cs="Times New Roman"/>
              </w:rPr>
              <w:t>(1), 24–35. https://doi.org/10.1007/s13744-022-01006-0</w:t>
            </w:r>
          </w:p>
        </w:tc>
      </w:tr>
      <w:tr w:rsidR="00B03AB3" w14:paraId="6A49D61C" w14:textId="77777777" w:rsidTr="008F1F56">
        <w:tc>
          <w:tcPr>
            <w:tcW w:w="5000" w:type="pct"/>
          </w:tcPr>
          <w:p w14:paraId="1F3ECD5E"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Beltramino, A. A., Vogler, R. E., Gregoric, D. E. G., &amp; Rumi, A. (2015). </w:t>
            </w:r>
            <w:r>
              <w:rPr>
                <w:rFonts w:ascii="Times New Roman" w:eastAsia="Times New Roman" w:hAnsi="Times New Roman" w:cs="Times New Roman"/>
              </w:rPr>
              <w:t xml:space="preserve">Impact of climate change on the distribution of a giant land snail from South America: predicting future trends for setting conservation priorities on native malacofauna. </w:t>
            </w:r>
            <w:r>
              <w:rPr>
                <w:rFonts w:ascii="Times New Roman" w:eastAsia="Times New Roman" w:hAnsi="Times New Roman" w:cs="Times New Roman"/>
                <w:i/>
                <w:iCs/>
              </w:rPr>
              <w:t>CLIMATIC CHANGE</w:t>
            </w:r>
            <w:r>
              <w:rPr>
                <w:rFonts w:ascii="Times New Roman" w:eastAsia="Times New Roman" w:hAnsi="Times New Roman" w:cs="Times New Roman"/>
              </w:rPr>
              <w:t xml:space="preserve">, </w:t>
            </w:r>
            <w:r>
              <w:rPr>
                <w:rFonts w:ascii="Times New Roman" w:eastAsia="Times New Roman" w:hAnsi="Times New Roman" w:cs="Times New Roman"/>
                <w:i/>
                <w:iCs/>
              </w:rPr>
              <w:t>131</w:t>
            </w:r>
            <w:r>
              <w:rPr>
                <w:rFonts w:ascii="Times New Roman" w:eastAsia="Times New Roman" w:hAnsi="Times New Roman" w:cs="Times New Roman"/>
              </w:rPr>
              <w:t>(4), 621–633. https://doi.org/10.1007/s10584-015-1405-3</w:t>
            </w:r>
          </w:p>
        </w:tc>
      </w:tr>
      <w:tr w:rsidR="00B03AB3" w14:paraId="420FD6F8" w14:textId="77777777" w:rsidTr="008F1F56">
        <w:tc>
          <w:tcPr>
            <w:tcW w:w="5000" w:type="pct"/>
          </w:tcPr>
          <w:p w14:paraId="223B7EC3"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Biber, M. F., Voskamp, A., &amp; Hof, C. (2023). Potential effects of future climate change on global reptile distributions and diversity. </w:t>
            </w:r>
            <w:r>
              <w:rPr>
                <w:rFonts w:ascii="Times New Roman" w:eastAsia="Times New Roman" w:hAnsi="Times New Roman" w:cs="Times New Roman"/>
                <w:i/>
                <w:iCs/>
              </w:rPr>
              <w:t>GLOBAL ECOLOGY AND BIOGEOGRAPHY</w:t>
            </w:r>
            <w:r>
              <w:rPr>
                <w:rFonts w:ascii="Times New Roman" w:eastAsia="Times New Roman" w:hAnsi="Times New Roman" w:cs="Times New Roman"/>
              </w:rPr>
              <w:t xml:space="preserve">, </w:t>
            </w:r>
            <w:r>
              <w:rPr>
                <w:rFonts w:ascii="Times New Roman" w:eastAsia="Times New Roman" w:hAnsi="Times New Roman" w:cs="Times New Roman"/>
                <w:i/>
                <w:iCs/>
              </w:rPr>
              <w:t>32</w:t>
            </w:r>
            <w:r>
              <w:rPr>
                <w:rFonts w:ascii="Times New Roman" w:eastAsia="Times New Roman" w:hAnsi="Times New Roman" w:cs="Times New Roman"/>
              </w:rPr>
              <w:t>(4), 519–534. https://doi.org/10.1111/geb.13646</w:t>
            </w:r>
          </w:p>
        </w:tc>
      </w:tr>
      <w:tr w:rsidR="00B03AB3" w14:paraId="1BC6CD22" w14:textId="77777777" w:rsidTr="008F1F56">
        <w:tc>
          <w:tcPr>
            <w:tcW w:w="5000" w:type="pct"/>
          </w:tcPr>
          <w:p w14:paraId="5B20EE66"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Bitencourt, C., Rapini, A., Damascena, L. S., &amp; De Marco, P. (2016). </w:t>
            </w:r>
            <w:r>
              <w:rPr>
                <w:rFonts w:ascii="Times New Roman" w:eastAsia="Times New Roman" w:hAnsi="Times New Roman" w:cs="Times New Roman"/>
              </w:rPr>
              <w:t xml:space="preserve">The worrying future of the endemic flora of a tropical mountain range under climate change. </w:t>
            </w:r>
            <w:r>
              <w:rPr>
                <w:rFonts w:ascii="Times New Roman" w:eastAsia="Times New Roman" w:hAnsi="Times New Roman" w:cs="Times New Roman"/>
                <w:i/>
                <w:iCs/>
              </w:rPr>
              <w:t>FLORA</w:t>
            </w:r>
            <w:r>
              <w:rPr>
                <w:rFonts w:ascii="Times New Roman" w:eastAsia="Times New Roman" w:hAnsi="Times New Roman" w:cs="Times New Roman"/>
              </w:rPr>
              <w:t xml:space="preserve">, </w:t>
            </w:r>
            <w:r>
              <w:rPr>
                <w:rFonts w:ascii="Times New Roman" w:eastAsia="Times New Roman" w:hAnsi="Times New Roman" w:cs="Times New Roman"/>
                <w:i/>
                <w:iCs/>
              </w:rPr>
              <w:t>218</w:t>
            </w:r>
            <w:r>
              <w:rPr>
                <w:rFonts w:ascii="Times New Roman" w:eastAsia="Times New Roman" w:hAnsi="Times New Roman" w:cs="Times New Roman"/>
              </w:rPr>
              <w:t>, 1–10. https://doi.org/10.1016/j.flora.2015.11.001</w:t>
            </w:r>
          </w:p>
        </w:tc>
      </w:tr>
      <w:tr w:rsidR="00B03AB3" w14:paraId="140E643C" w14:textId="77777777" w:rsidTr="008F1F56">
        <w:tc>
          <w:tcPr>
            <w:tcW w:w="5000" w:type="pct"/>
          </w:tcPr>
          <w:p w14:paraId="4A222B80"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lastRenderedPageBreak/>
              <w:t xml:space="preserve">Borges, F. J. A., Ribeiro, B. R., Lopes, L. E., &amp; Loyola, R. (2019). </w:t>
            </w:r>
            <w:r>
              <w:rPr>
                <w:rFonts w:ascii="Times New Roman" w:eastAsia="Times New Roman" w:hAnsi="Times New Roman" w:cs="Times New Roman"/>
              </w:rPr>
              <w:t xml:space="preserve">Bird vulnerability to climate and land use changes in the Brazilian Cerrado. </w:t>
            </w:r>
            <w:r>
              <w:rPr>
                <w:rFonts w:ascii="Times New Roman" w:eastAsia="Times New Roman" w:hAnsi="Times New Roman" w:cs="Times New Roman"/>
                <w:i/>
                <w:iCs/>
              </w:rPr>
              <w:t>BIOLOGICAL CONSERVATION</w:t>
            </w:r>
            <w:r>
              <w:rPr>
                <w:rFonts w:ascii="Times New Roman" w:eastAsia="Times New Roman" w:hAnsi="Times New Roman" w:cs="Times New Roman"/>
              </w:rPr>
              <w:t xml:space="preserve">, </w:t>
            </w:r>
            <w:r>
              <w:rPr>
                <w:rFonts w:ascii="Times New Roman" w:eastAsia="Times New Roman" w:hAnsi="Times New Roman" w:cs="Times New Roman"/>
                <w:i/>
                <w:iCs/>
              </w:rPr>
              <w:t>236</w:t>
            </w:r>
            <w:r>
              <w:rPr>
                <w:rFonts w:ascii="Times New Roman" w:eastAsia="Times New Roman" w:hAnsi="Times New Roman" w:cs="Times New Roman"/>
              </w:rPr>
              <w:t>, 347–355. https://doi.org/10.1016/j.biocon.2019.05.055</w:t>
            </w:r>
          </w:p>
        </w:tc>
      </w:tr>
      <w:tr w:rsidR="00B03AB3" w14:paraId="574B0257" w14:textId="77777777" w:rsidTr="008F1F56">
        <w:tc>
          <w:tcPr>
            <w:tcW w:w="5000" w:type="pct"/>
          </w:tcPr>
          <w:p w14:paraId="3682DDDE"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Carvalho, C. E., Sfair, J. C., Eller, C. B., Menezes, B. S., Menezes, M. O. T., &amp; Araújo, F. S. (2023). </w:t>
            </w:r>
            <w:r>
              <w:rPr>
                <w:rFonts w:ascii="Times New Roman" w:eastAsia="Times New Roman" w:hAnsi="Times New Roman" w:cs="Times New Roman"/>
              </w:rPr>
              <w:t xml:space="preserve">Tree height, leaf thickness and seed size drive Caatinga plants’ sensitivity to climate change. </w:t>
            </w:r>
            <w:r>
              <w:rPr>
                <w:rFonts w:ascii="Times New Roman" w:eastAsia="Times New Roman" w:hAnsi="Times New Roman" w:cs="Times New Roman"/>
                <w:i/>
                <w:iCs/>
              </w:rPr>
              <w:t>JOURNAL OF BIOGEOGRAPHY</w:t>
            </w:r>
            <w:r>
              <w:rPr>
                <w:rFonts w:ascii="Times New Roman" w:eastAsia="Times New Roman" w:hAnsi="Times New Roman" w:cs="Times New Roman"/>
              </w:rPr>
              <w:t xml:space="preserve">, </w:t>
            </w:r>
            <w:r>
              <w:rPr>
                <w:rFonts w:ascii="Times New Roman" w:eastAsia="Times New Roman" w:hAnsi="Times New Roman" w:cs="Times New Roman"/>
                <w:i/>
                <w:iCs/>
              </w:rPr>
              <w:t>50</w:t>
            </w:r>
            <w:r>
              <w:rPr>
                <w:rFonts w:ascii="Times New Roman" w:eastAsia="Times New Roman" w:hAnsi="Times New Roman" w:cs="Times New Roman"/>
              </w:rPr>
              <w:t>(12), 2057–2068. https://doi.org/10.1111/jbi.14717</w:t>
            </w:r>
          </w:p>
        </w:tc>
      </w:tr>
      <w:tr w:rsidR="00B03AB3" w14:paraId="3DD5BAB3" w14:textId="77777777" w:rsidTr="008F1F56">
        <w:tc>
          <w:tcPr>
            <w:tcW w:w="5000" w:type="pct"/>
          </w:tcPr>
          <w:p w14:paraId="6CC1A667"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Castro, M. B., Barbosa, A., Pompeu, P. V, Eisenlohr, P. V, Pereira, G. D., Apgaua, D. M. G., Pires-Oliveira, J. C., Barbosa, J., Fontes, M. A. L., dos Santos, R. M., &amp; Tng, D. Y. P. (2020). </w:t>
            </w:r>
            <w:r>
              <w:rPr>
                <w:rFonts w:ascii="Times New Roman" w:eastAsia="Times New Roman" w:hAnsi="Times New Roman" w:cs="Times New Roman"/>
              </w:rPr>
              <w:t xml:space="preserve">Will the emblematic southern conifer </w:t>
            </w:r>
            <w:r>
              <w:rPr>
                <w:rFonts w:ascii="Times New Roman" w:eastAsia="Times New Roman" w:hAnsi="Times New Roman" w:cs="Times New Roman"/>
                <w:i/>
                <w:iCs/>
              </w:rPr>
              <w:t>Araucaria angustifolia</w:t>
            </w:r>
            <w:r>
              <w:rPr>
                <w:rFonts w:ascii="Times New Roman" w:eastAsia="Times New Roman" w:hAnsi="Times New Roman" w:cs="Times New Roman"/>
              </w:rPr>
              <w:t xml:space="preserve"> survive to climate change in Brazil? </w:t>
            </w:r>
            <w:r>
              <w:rPr>
                <w:rFonts w:ascii="Times New Roman" w:eastAsia="Times New Roman" w:hAnsi="Times New Roman" w:cs="Times New Roman"/>
                <w:i/>
                <w:iCs/>
              </w:rPr>
              <w:t>BIODIVERSITY AND CONSERVATION</w:t>
            </w:r>
            <w:r>
              <w:rPr>
                <w:rFonts w:ascii="Times New Roman" w:eastAsia="Times New Roman" w:hAnsi="Times New Roman" w:cs="Times New Roman"/>
              </w:rPr>
              <w:t xml:space="preserve">, </w:t>
            </w:r>
            <w:r>
              <w:rPr>
                <w:rFonts w:ascii="Times New Roman" w:eastAsia="Times New Roman" w:hAnsi="Times New Roman" w:cs="Times New Roman"/>
                <w:i/>
                <w:iCs/>
              </w:rPr>
              <w:t>29</w:t>
            </w:r>
            <w:r>
              <w:rPr>
                <w:rFonts w:ascii="Times New Roman" w:eastAsia="Times New Roman" w:hAnsi="Times New Roman" w:cs="Times New Roman"/>
              </w:rPr>
              <w:t>(2), 591–607. https://doi.org/10.1007/s10531-019-01900-x</w:t>
            </w:r>
          </w:p>
        </w:tc>
      </w:tr>
      <w:tr w:rsidR="00B03AB3" w14:paraId="09CC449A" w14:textId="77777777" w:rsidTr="008F1F56">
        <w:tc>
          <w:tcPr>
            <w:tcW w:w="5000" w:type="pct"/>
          </w:tcPr>
          <w:p w14:paraId="49E1139C"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Cavalcante, A. D. B., &amp; Sampaio, A. C. P. (2022). </w:t>
            </w:r>
            <w:r>
              <w:rPr>
                <w:rFonts w:ascii="Times New Roman" w:eastAsia="Times New Roman" w:hAnsi="Times New Roman" w:cs="Times New Roman"/>
              </w:rPr>
              <w:t xml:space="preserve">Modeling the potential distribution of cacti under climate change scenarios in the largest tropical dry forest region in South America. </w:t>
            </w:r>
            <w:r>
              <w:rPr>
                <w:rFonts w:ascii="Times New Roman" w:eastAsia="Times New Roman" w:hAnsi="Times New Roman" w:cs="Times New Roman"/>
                <w:i/>
                <w:iCs/>
              </w:rPr>
              <w:t>JOURNAL OF ARID ENVIRONMENTS</w:t>
            </w:r>
            <w:r>
              <w:rPr>
                <w:rFonts w:ascii="Times New Roman" w:eastAsia="Times New Roman" w:hAnsi="Times New Roman" w:cs="Times New Roman"/>
              </w:rPr>
              <w:t xml:space="preserve">, </w:t>
            </w:r>
            <w:r>
              <w:rPr>
                <w:rFonts w:ascii="Times New Roman" w:eastAsia="Times New Roman" w:hAnsi="Times New Roman" w:cs="Times New Roman"/>
                <w:i/>
                <w:iCs/>
              </w:rPr>
              <w:t>200</w:t>
            </w:r>
            <w:r>
              <w:rPr>
                <w:rFonts w:ascii="Times New Roman" w:eastAsia="Times New Roman" w:hAnsi="Times New Roman" w:cs="Times New Roman"/>
              </w:rPr>
              <w:t>. https://doi.org/10.1016/j.jaridenv.2022.104725</w:t>
            </w:r>
          </w:p>
        </w:tc>
      </w:tr>
      <w:tr w:rsidR="00B03AB3" w14:paraId="3A08007C" w14:textId="77777777" w:rsidTr="008F1F56">
        <w:tc>
          <w:tcPr>
            <w:tcW w:w="5000" w:type="pct"/>
          </w:tcPr>
          <w:p w14:paraId="5CB0EFFD"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Colombo, A. F., &amp; Joly, C. A. (2010). </w:t>
            </w:r>
            <w:r>
              <w:rPr>
                <w:rFonts w:ascii="Times New Roman" w:eastAsia="Times New Roman" w:hAnsi="Times New Roman" w:cs="Times New Roman"/>
              </w:rPr>
              <w:t xml:space="preserve">Brazilian Atlantic Forest lato sensu: the most ancient Brazilian forest, and a biodiversity hotspot, is highly threatened by climate change. </w:t>
            </w:r>
            <w:r>
              <w:rPr>
                <w:rFonts w:ascii="Times New Roman" w:eastAsia="Times New Roman" w:hAnsi="Times New Roman" w:cs="Times New Roman"/>
                <w:i/>
                <w:iCs/>
              </w:rPr>
              <w:t>BRAZILIAN JOURNAL OF BIOLOGY</w:t>
            </w:r>
            <w:r>
              <w:rPr>
                <w:rFonts w:ascii="Times New Roman" w:eastAsia="Times New Roman" w:hAnsi="Times New Roman" w:cs="Times New Roman"/>
              </w:rPr>
              <w:t xml:space="preserve">, </w:t>
            </w:r>
            <w:r>
              <w:rPr>
                <w:rFonts w:ascii="Times New Roman" w:eastAsia="Times New Roman" w:hAnsi="Times New Roman" w:cs="Times New Roman"/>
                <w:i/>
                <w:iCs/>
              </w:rPr>
              <w:t>70</w:t>
            </w:r>
            <w:r>
              <w:rPr>
                <w:rFonts w:ascii="Times New Roman" w:eastAsia="Times New Roman" w:hAnsi="Times New Roman" w:cs="Times New Roman"/>
              </w:rPr>
              <w:t>(3), 697–708. https://doi.org/10.1590/S1519-69842010000400002</w:t>
            </w:r>
          </w:p>
        </w:tc>
      </w:tr>
      <w:tr w:rsidR="00B03AB3" w14:paraId="5E10CFDD" w14:textId="77777777" w:rsidTr="008F1F56">
        <w:tc>
          <w:tcPr>
            <w:tcW w:w="5000" w:type="pct"/>
          </w:tcPr>
          <w:p w14:paraId="6E73C164"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Costa, J., Dornak, L. L., Almeida, C. E., &amp; Peterson, A. T. (2014). </w:t>
            </w:r>
            <w:r>
              <w:rPr>
                <w:rFonts w:ascii="Times New Roman" w:eastAsia="Times New Roman" w:hAnsi="Times New Roman" w:cs="Times New Roman"/>
              </w:rPr>
              <w:t xml:space="preserve">Distributional potential of the </w:t>
            </w:r>
            <w:r>
              <w:rPr>
                <w:rFonts w:ascii="Times New Roman" w:eastAsia="Times New Roman" w:hAnsi="Times New Roman" w:cs="Times New Roman"/>
                <w:i/>
                <w:iCs/>
              </w:rPr>
              <w:t>Triatoma brasiliensis</w:t>
            </w:r>
            <w:r>
              <w:rPr>
                <w:rFonts w:ascii="Times New Roman" w:eastAsia="Times New Roman" w:hAnsi="Times New Roman" w:cs="Times New Roman"/>
              </w:rPr>
              <w:t xml:space="preserve"> species complex at present and under scenarios of future climate conditions. </w:t>
            </w:r>
            <w:r>
              <w:rPr>
                <w:rFonts w:ascii="Times New Roman" w:eastAsia="Times New Roman" w:hAnsi="Times New Roman" w:cs="Times New Roman"/>
                <w:i/>
                <w:iCs/>
              </w:rPr>
              <w:t>PARASITES &amp; VECTORS</w:t>
            </w:r>
            <w:r>
              <w:rPr>
                <w:rFonts w:ascii="Times New Roman" w:eastAsia="Times New Roman" w:hAnsi="Times New Roman" w:cs="Times New Roman"/>
              </w:rPr>
              <w:t xml:space="preserve">, </w:t>
            </w:r>
            <w:r>
              <w:rPr>
                <w:rFonts w:ascii="Times New Roman" w:eastAsia="Times New Roman" w:hAnsi="Times New Roman" w:cs="Times New Roman"/>
                <w:i/>
                <w:iCs/>
              </w:rPr>
              <w:t>7</w:t>
            </w:r>
            <w:r>
              <w:rPr>
                <w:rFonts w:ascii="Times New Roman" w:eastAsia="Times New Roman" w:hAnsi="Times New Roman" w:cs="Times New Roman"/>
              </w:rPr>
              <w:t>. https://doi.org/10.1186/1756-3305-7-238</w:t>
            </w:r>
          </w:p>
        </w:tc>
      </w:tr>
      <w:tr w:rsidR="00B03AB3" w14:paraId="60B2C8FB" w14:textId="77777777" w:rsidTr="008F1F56">
        <w:tc>
          <w:tcPr>
            <w:tcW w:w="5000" w:type="pct"/>
          </w:tcPr>
          <w:p w14:paraId="0743F443"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Costa, T. R., da Silva, L. A., de Moura, C. C., Azevedo, C. H. D., Bueno, M. L., Mucida, D. P., Santos, T., &amp; Gonzaga, A. P. D. (2023). </w:t>
            </w:r>
            <w:r>
              <w:rPr>
                <w:rFonts w:ascii="Times New Roman" w:eastAsia="Times New Roman" w:hAnsi="Times New Roman" w:cs="Times New Roman"/>
              </w:rPr>
              <w:t xml:space="preserve">Vulnerability of the Cerrado-Atlantic Forest ecotone in the Espinhaco Range Biosphere Reserve to climate change. </w:t>
            </w:r>
            <w:r>
              <w:rPr>
                <w:rFonts w:ascii="Times New Roman" w:eastAsia="Times New Roman" w:hAnsi="Times New Roman" w:cs="Times New Roman"/>
                <w:i/>
                <w:iCs/>
              </w:rPr>
              <w:t>THEORETICAL AND APPLIED CLIMATOLOGY</w:t>
            </w:r>
            <w:r>
              <w:rPr>
                <w:rFonts w:ascii="Times New Roman" w:eastAsia="Times New Roman" w:hAnsi="Times New Roman" w:cs="Times New Roman"/>
              </w:rPr>
              <w:t xml:space="preserve">, </w:t>
            </w:r>
            <w:r>
              <w:rPr>
                <w:rFonts w:ascii="Times New Roman" w:eastAsia="Times New Roman" w:hAnsi="Times New Roman" w:cs="Times New Roman"/>
                <w:i/>
                <w:iCs/>
              </w:rPr>
              <w:t>151</w:t>
            </w:r>
            <w:r>
              <w:rPr>
                <w:rFonts w:ascii="Times New Roman" w:eastAsia="Times New Roman" w:hAnsi="Times New Roman" w:cs="Times New Roman"/>
              </w:rPr>
              <w:t>(3–4), 1151–1170. https://doi.org/10.1007/s00704-022-04321-z</w:t>
            </w:r>
          </w:p>
        </w:tc>
      </w:tr>
      <w:tr w:rsidR="00B03AB3" w14:paraId="570C07B9" w14:textId="77777777" w:rsidTr="008F1F56">
        <w:tc>
          <w:tcPr>
            <w:tcW w:w="5000" w:type="pct"/>
          </w:tcPr>
          <w:p w14:paraId="41117C4C"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Costa, T. R., de MOURA, C. C., Machado, E. L. M., &amp; Bueno, M. L. (2018). Modelagem preditiva da espécie Lychnophora pohlii SCH. BIP., no estado de Minas Gerais. </w:t>
            </w:r>
            <w:r>
              <w:rPr>
                <w:rFonts w:ascii="Times New Roman" w:eastAsia="Times New Roman" w:hAnsi="Times New Roman" w:cs="Times New Roman"/>
                <w:i/>
                <w:iCs/>
              </w:rPr>
              <w:t>Nativa</w:t>
            </w:r>
            <w:r>
              <w:rPr>
                <w:rFonts w:ascii="Times New Roman" w:eastAsia="Times New Roman" w:hAnsi="Times New Roman" w:cs="Times New Roman"/>
              </w:rPr>
              <w:t xml:space="preserve">, </w:t>
            </w:r>
            <w:r>
              <w:rPr>
                <w:rFonts w:ascii="Times New Roman" w:eastAsia="Times New Roman" w:hAnsi="Times New Roman" w:cs="Times New Roman"/>
                <w:i/>
                <w:iCs/>
              </w:rPr>
              <w:t>6</w:t>
            </w:r>
            <w:r>
              <w:rPr>
                <w:rFonts w:ascii="Times New Roman" w:eastAsia="Times New Roman" w:hAnsi="Times New Roman" w:cs="Times New Roman"/>
              </w:rPr>
              <w:t>(1), 100–106.</w:t>
            </w:r>
          </w:p>
        </w:tc>
      </w:tr>
      <w:tr w:rsidR="00B03AB3" w14:paraId="60746CEE" w14:textId="77777777" w:rsidTr="008F1F56">
        <w:tc>
          <w:tcPr>
            <w:tcW w:w="5000" w:type="pct"/>
          </w:tcPr>
          <w:p w14:paraId="5A0A6BD9"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Costa, W. F., Ribeiro, M., Saraiva, A. M., Imperatriz-Fonseca, V. L., &amp; Giannini, T. C. (2018). </w:t>
            </w:r>
            <w:r>
              <w:rPr>
                <w:rFonts w:ascii="Times New Roman" w:eastAsia="Times New Roman" w:hAnsi="Times New Roman" w:cs="Times New Roman"/>
              </w:rPr>
              <w:t xml:space="preserve">Bat diversity in Carajas National Forest (Eastern Amazon) and potential impacts on ecosystem services under climate change. </w:t>
            </w:r>
            <w:r>
              <w:rPr>
                <w:rFonts w:ascii="Times New Roman" w:eastAsia="Times New Roman" w:hAnsi="Times New Roman" w:cs="Times New Roman"/>
                <w:i/>
                <w:iCs/>
              </w:rPr>
              <w:t>BIOLOGICAL CONSERVATION</w:t>
            </w:r>
            <w:r>
              <w:rPr>
                <w:rFonts w:ascii="Times New Roman" w:eastAsia="Times New Roman" w:hAnsi="Times New Roman" w:cs="Times New Roman"/>
              </w:rPr>
              <w:t xml:space="preserve">, </w:t>
            </w:r>
            <w:r>
              <w:rPr>
                <w:rFonts w:ascii="Times New Roman" w:eastAsia="Times New Roman" w:hAnsi="Times New Roman" w:cs="Times New Roman"/>
                <w:i/>
                <w:iCs/>
              </w:rPr>
              <w:t>218</w:t>
            </w:r>
            <w:r>
              <w:rPr>
                <w:rFonts w:ascii="Times New Roman" w:eastAsia="Times New Roman" w:hAnsi="Times New Roman" w:cs="Times New Roman"/>
              </w:rPr>
              <w:t>, 200–210. https://doi.org/10.1016/j.biocon.2017.12.034</w:t>
            </w:r>
          </w:p>
        </w:tc>
      </w:tr>
      <w:tr w:rsidR="00B03AB3" w14:paraId="3304218E" w14:textId="77777777" w:rsidTr="008F1F56">
        <w:tc>
          <w:tcPr>
            <w:tcW w:w="5000" w:type="pct"/>
          </w:tcPr>
          <w:p w14:paraId="3C7F2FFC"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Da Costa-Coutinho, J. M., Jardim, M. A. G., Miranda, L. S., &amp; Castro, A. (2022). </w:t>
            </w:r>
            <w:r>
              <w:rPr>
                <w:rFonts w:ascii="Times New Roman" w:eastAsia="Times New Roman" w:hAnsi="Times New Roman" w:cs="Times New Roman"/>
              </w:rPr>
              <w:t xml:space="preserve">Climate change effects on marginal savannas from central-north Brazil. </w:t>
            </w:r>
            <w:r>
              <w:rPr>
                <w:rFonts w:ascii="Times New Roman" w:eastAsia="Times New Roman" w:hAnsi="Times New Roman" w:cs="Times New Roman"/>
                <w:i/>
                <w:iCs/>
              </w:rPr>
              <w:t>ANAIS DA ACADEMIA BRASILEIRA DE CIENCIAS</w:t>
            </w:r>
            <w:r>
              <w:rPr>
                <w:rFonts w:ascii="Times New Roman" w:eastAsia="Times New Roman" w:hAnsi="Times New Roman" w:cs="Times New Roman"/>
              </w:rPr>
              <w:t xml:space="preserve">, </w:t>
            </w:r>
            <w:r>
              <w:rPr>
                <w:rFonts w:ascii="Times New Roman" w:eastAsia="Times New Roman" w:hAnsi="Times New Roman" w:cs="Times New Roman"/>
                <w:i/>
                <w:iCs/>
              </w:rPr>
              <w:t>94</w:t>
            </w:r>
            <w:r>
              <w:rPr>
                <w:rFonts w:ascii="Times New Roman" w:eastAsia="Times New Roman" w:hAnsi="Times New Roman" w:cs="Times New Roman"/>
              </w:rPr>
              <w:t>(3). https://doi.org/10.1590/0001-3765202220210191</w:t>
            </w:r>
          </w:p>
        </w:tc>
      </w:tr>
      <w:tr w:rsidR="00B03AB3" w14:paraId="6B10F85B" w14:textId="77777777" w:rsidTr="008F1F56">
        <w:tc>
          <w:tcPr>
            <w:tcW w:w="5000" w:type="pct"/>
          </w:tcPr>
          <w:p w14:paraId="4C3F5757"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da Silva, C. H. F., Arnan, X., Andersen, A. N., &amp; Leal, I. R. (2019). </w:t>
            </w:r>
            <w:r>
              <w:rPr>
                <w:rFonts w:ascii="Times New Roman" w:eastAsia="Times New Roman" w:hAnsi="Times New Roman" w:cs="Times New Roman"/>
              </w:rPr>
              <w:t xml:space="preserve">Extrafloral nectar as a driver of ant community spatial structure along disturbance and rainfall gradients in Brazilian dry forest. </w:t>
            </w:r>
            <w:r>
              <w:rPr>
                <w:rFonts w:ascii="Times New Roman" w:eastAsia="Times New Roman" w:hAnsi="Times New Roman" w:cs="Times New Roman"/>
                <w:i/>
                <w:iCs/>
              </w:rPr>
              <w:t>JOURNAL OF TROPICAL ECOLOGY</w:t>
            </w:r>
            <w:r>
              <w:rPr>
                <w:rFonts w:ascii="Times New Roman" w:eastAsia="Times New Roman" w:hAnsi="Times New Roman" w:cs="Times New Roman"/>
              </w:rPr>
              <w:t xml:space="preserve">, </w:t>
            </w:r>
            <w:r>
              <w:rPr>
                <w:rFonts w:ascii="Times New Roman" w:eastAsia="Times New Roman" w:hAnsi="Times New Roman" w:cs="Times New Roman"/>
                <w:i/>
                <w:iCs/>
              </w:rPr>
              <w:t>35</w:t>
            </w:r>
            <w:r>
              <w:rPr>
                <w:rFonts w:ascii="Times New Roman" w:eastAsia="Times New Roman" w:hAnsi="Times New Roman" w:cs="Times New Roman"/>
              </w:rPr>
              <w:t>(6), 280–287. https://doi.org/10.1017/S0266467419000245</w:t>
            </w:r>
          </w:p>
        </w:tc>
      </w:tr>
      <w:tr w:rsidR="00B03AB3" w14:paraId="23A4AEDD" w14:textId="77777777" w:rsidTr="008F1F56">
        <w:tc>
          <w:tcPr>
            <w:tcW w:w="5000" w:type="pct"/>
          </w:tcPr>
          <w:p w14:paraId="2E07A702"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lastRenderedPageBreak/>
              <w:t xml:space="preserve">da Silva, J. M. C., Rapini, A., Barbosa, L. C. F., &amp; Torres, R. R. (2019). </w:t>
            </w:r>
            <w:r>
              <w:rPr>
                <w:rFonts w:ascii="Times New Roman" w:eastAsia="Times New Roman" w:hAnsi="Times New Roman" w:cs="Times New Roman"/>
              </w:rPr>
              <w:t xml:space="preserve">Extinction risk of narrowly distributed species of seed plants in Brazil due to habitat loss and climate change. </w:t>
            </w:r>
            <w:r>
              <w:rPr>
                <w:rFonts w:ascii="Times New Roman" w:eastAsia="Times New Roman" w:hAnsi="Times New Roman" w:cs="Times New Roman"/>
                <w:i/>
                <w:iCs/>
              </w:rPr>
              <w:t>PEERJ</w:t>
            </w:r>
            <w:r>
              <w:rPr>
                <w:rFonts w:ascii="Times New Roman" w:eastAsia="Times New Roman" w:hAnsi="Times New Roman" w:cs="Times New Roman"/>
              </w:rPr>
              <w:t xml:space="preserve">, </w:t>
            </w:r>
            <w:r>
              <w:rPr>
                <w:rFonts w:ascii="Times New Roman" w:eastAsia="Times New Roman" w:hAnsi="Times New Roman" w:cs="Times New Roman"/>
                <w:i/>
                <w:iCs/>
              </w:rPr>
              <w:t>7</w:t>
            </w:r>
            <w:r>
              <w:rPr>
                <w:rFonts w:ascii="Times New Roman" w:eastAsia="Times New Roman" w:hAnsi="Times New Roman" w:cs="Times New Roman"/>
              </w:rPr>
              <w:t>. https://doi.org/10.7717/peerj.7333</w:t>
            </w:r>
          </w:p>
        </w:tc>
      </w:tr>
      <w:tr w:rsidR="00B03AB3" w14:paraId="35FD8667" w14:textId="77777777" w:rsidTr="008F1F56">
        <w:tc>
          <w:tcPr>
            <w:tcW w:w="5000" w:type="pct"/>
          </w:tcPr>
          <w:p w14:paraId="06830EC2"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de Oliveira, G., Araújo, M. B., Rangel, T. F., Alagador, D., &amp; Diniz, J. A. F. (2012). </w:t>
            </w:r>
            <w:r>
              <w:rPr>
                <w:rFonts w:ascii="Times New Roman" w:eastAsia="Times New Roman" w:hAnsi="Times New Roman" w:cs="Times New Roman"/>
              </w:rPr>
              <w:t xml:space="preserve">Conserving the Brazilian semiarid (Caatinga) biome under climate change. </w:t>
            </w:r>
            <w:r>
              <w:rPr>
                <w:rFonts w:ascii="Times New Roman" w:eastAsia="Times New Roman" w:hAnsi="Times New Roman" w:cs="Times New Roman"/>
                <w:i/>
                <w:iCs/>
              </w:rPr>
              <w:t>BIODIVERSITY AND CONSERVATION</w:t>
            </w:r>
            <w:r>
              <w:rPr>
                <w:rFonts w:ascii="Times New Roman" w:eastAsia="Times New Roman" w:hAnsi="Times New Roman" w:cs="Times New Roman"/>
              </w:rPr>
              <w:t xml:space="preserve">, </w:t>
            </w:r>
            <w:r>
              <w:rPr>
                <w:rFonts w:ascii="Times New Roman" w:eastAsia="Times New Roman" w:hAnsi="Times New Roman" w:cs="Times New Roman"/>
                <w:i/>
                <w:iCs/>
              </w:rPr>
              <w:t>21</w:t>
            </w:r>
            <w:r>
              <w:rPr>
                <w:rFonts w:ascii="Times New Roman" w:eastAsia="Times New Roman" w:hAnsi="Times New Roman" w:cs="Times New Roman"/>
              </w:rPr>
              <w:t>(11), 2913–2926. https://doi.org/10.1007/s10531-012-0346-7</w:t>
            </w:r>
          </w:p>
        </w:tc>
      </w:tr>
      <w:tr w:rsidR="00B03AB3" w14:paraId="22FA334B" w14:textId="77777777" w:rsidTr="008F1F56">
        <w:tc>
          <w:tcPr>
            <w:tcW w:w="5000" w:type="pct"/>
          </w:tcPr>
          <w:p w14:paraId="609B79A9"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de Santana, R. O., Delgado, R. C., &amp; Schiavetti, A. (2020). </w:t>
            </w:r>
            <w:r>
              <w:rPr>
                <w:rFonts w:ascii="Times New Roman" w:eastAsia="Times New Roman" w:hAnsi="Times New Roman" w:cs="Times New Roman"/>
              </w:rPr>
              <w:t xml:space="preserve">The past, present and future of vegetation in the Central Atlantic Forest Corridor, Brazil. </w:t>
            </w:r>
            <w:r>
              <w:rPr>
                <w:rFonts w:ascii="Times New Roman" w:eastAsia="Times New Roman" w:hAnsi="Times New Roman" w:cs="Times New Roman"/>
                <w:i/>
                <w:iCs/>
              </w:rPr>
              <w:t>REMOTE SENSING APPLICATIONS-SOCIETY AND ENVIRONMENT</w:t>
            </w:r>
            <w:r>
              <w:rPr>
                <w:rFonts w:ascii="Times New Roman" w:eastAsia="Times New Roman" w:hAnsi="Times New Roman" w:cs="Times New Roman"/>
              </w:rPr>
              <w:t xml:space="preserve">, </w:t>
            </w:r>
            <w:r>
              <w:rPr>
                <w:rFonts w:ascii="Times New Roman" w:eastAsia="Times New Roman" w:hAnsi="Times New Roman" w:cs="Times New Roman"/>
                <w:i/>
                <w:iCs/>
              </w:rPr>
              <w:t>20</w:t>
            </w:r>
            <w:r>
              <w:rPr>
                <w:rFonts w:ascii="Times New Roman" w:eastAsia="Times New Roman" w:hAnsi="Times New Roman" w:cs="Times New Roman"/>
              </w:rPr>
              <w:t>. https://doi.org/10.1016/j.rsase.2020.100357</w:t>
            </w:r>
          </w:p>
        </w:tc>
      </w:tr>
      <w:tr w:rsidR="00B03AB3" w14:paraId="3458FD46" w14:textId="77777777" w:rsidTr="008F1F56">
        <w:tc>
          <w:tcPr>
            <w:tcW w:w="5000" w:type="pct"/>
          </w:tcPr>
          <w:p w14:paraId="0FBAB35D"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de Souza, A. C., &amp; Prevedello, J. A. (2021). </w:t>
            </w:r>
            <w:r>
              <w:rPr>
                <w:rFonts w:ascii="Times New Roman" w:eastAsia="Times New Roman" w:hAnsi="Times New Roman" w:cs="Times New Roman"/>
              </w:rPr>
              <w:t xml:space="preserve">Climate change and biological invasion as additional threats to an imperiled palm. </w:t>
            </w:r>
            <w:r>
              <w:rPr>
                <w:rFonts w:ascii="Times New Roman" w:eastAsia="Times New Roman" w:hAnsi="Times New Roman" w:cs="Times New Roman"/>
                <w:i/>
                <w:iCs/>
              </w:rPr>
              <w:t>PERSPECTIVES IN ECOLOGY AND CONSERVATION</w:t>
            </w:r>
            <w:r>
              <w:rPr>
                <w:rFonts w:ascii="Times New Roman" w:eastAsia="Times New Roman" w:hAnsi="Times New Roman" w:cs="Times New Roman"/>
              </w:rPr>
              <w:t xml:space="preserve">, </w:t>
            </w:r>
            <w:r>
              <w:rPr>
                <w:rFonts w:ascii="Times New Roman" w:eastAsia="Times New Roman" w:hAnsi="Times New Roman" w:cs="Times New Roman"/>
                <w:i/>
                <w:iCs/>
              </w:rPr>
              <w:t>19</w:t>
            </w:r>
            <w:r>
              <w:rPr>
                <w:rFonts w:ascii="Times New Roman" w:eastAsia="Times New Roman" w:hAnsi="Times New Roman" w:cs="Times New Roman"/>
              </w:rPr>
              <w:t>(2), 216–224. https://doi.org/10.1016/j.pecon.2021.02.003</w:t>
            </w:r>
          </w:p>
        </w:tc>
      </w:tr>
      <w:tr w:rsidR="00B03AB3" w14:paraId="6488F710" w14:textId="77777777" w:rsidTr="008F1F56">
        <w:tc>
          <w:tcPr>
            <w:tcW w:w="5000" w:type="pct"/>
          </w:tcPr>
          <w:p w14:paraId="722CBB53"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de Vasconcelos, M. A., Veiga, J. A. P., Silva, J. L. G., Guimaraes, D. F., Brito, A. L., dos Santos, Y. L. F., Lopes, M., Lima, A. L., &amp; de Oliveira, E. T. (2022). </w:t>
            </w:r>
            <w:r>
              <w:rPr>
                <w:rFonts w:ascii="Times New Roman" w:eastAsia="Times New Roman" w:hAnsi="Times New Roman" w:cs="Times New Roman"/>
              </w:rPr>
              <w:t xml:space="preserve">Climate Change and Its Impact on the Agricultural Calendar of Riverine Farmers in Medio Jurua, Amazonas State, Brazil. </w:t>
            </w:r>
            <w:r>
              <w:rPr>
                <w:rFonts w:ascii="Times New Roman" w:eastAsia="Times New Roman" w:hAnsi="Times New Roman" w:cs="Times New Roman"/>
                <w:i/>
                <w:iCs/>
              </w:rPr>
              <w:t>ATMOSPHERE</w:t>
            </w:r>
            <w:r>
              <w:rPr>
                <w:rFonts w:ascii="Times New Roman" w:eastAsia="Times New Roman" w:hAnsi="Times New Roman" w:cs="Times New Roman"/>
              </w:rPr>
              <w:t xml:space="preserve">, </w:t>
            </w:r>
            <w:r>
              <w:rPr>
                <w:rFonts w:ascii="Times New Roman" w:eastAsia="Times New Roman" w:hAnsi="Times New Roman" w:cs="Times New Roman"/>
                <w:i/>
                <w:iCs/>
              </w:rPr>
              <w:t>13</w:t>
            </w:r>
            <w:r>
              <w:rPr>
                <w:rFonts w:ascii="Times New Roman" w:eastAsia="Times New Roman" w:hAnsi="Times New Roman" w:cs="Times New Roman"/>
              </w:rPr>
              <w:t>(12). https://doi.org/10.3390/atmos13122018</w:t>
            </w:r>
          </w:p>
        </w:tc>
      </w:tr>
      <w:tr w:rsidR="00B03AB3" w14:paraId="7D97792B" w14:textId="77777777" w:rsidTr="008F1F56">
        <w:tc>
          <w:tcPr>
            <w:tcW w:w="5000" w:type="pct"/>
          </w:tcPr>
          <w:p w14:paraId="5F49ED65"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Dick, M., da Silva, M. A., da Silva, R. R. F., Ferreira, O. G. L., Maia, M. D., de Lima, S. F., Neto, V. B. D., &amp; Dewes, H. (2022). </w:t>
            </w:r>
            <w:r>
              <w:rPr>
                <w:rFonts w:ascii="Times New Roman" w:eastAsia="Times New Roman" w:hAnsi="Times New Roman" w:cs="Times New Roman"/>
              </w:rPr>
              <w:t xml:space="preserve">Climate change and land use from Brazilian cow-calf production amidst diverse levels of biodiversity conservation. </w:t>
            </w:r>
            <w:r>
              <w:rPr>
                <w:rFonts w:ascii="Times New Roman" w:eastAsia="Times New Roman" w:hAnsi="Times New Roman" w:cs="Times New Roman"/>
                <w:i/>
                <w:iCs/>
              </w:rPr>
              <w:t>JOURNAL OF CLEANER PRODUCTION</w:t>
            </w:r>
            <w:r>
              <w:rPr>
                <w:rFonts w:ascii="Times New Roman" w:eastAsia="Times New Roman" w:hAnsi="Times New Roman" w:cs="Times New Roman"/>
              </w:rPr>
              <w:t xml:space="preserve">, </w:t>
            </w:r>
            <w:r>
              <w:rPr>
                <w:rFonts w:ascii="Times New Roman" w:eastAsia="Times New Roman" w:hAnsi="Times New Roman" w:cs="Times New Roman"/>
                <w:i/>
                <w:iCs/>
              </w:rPr>
              <w:t>342</w:t>
            </w:r>
            <w:r>
              <w:rPr>
                <w:rFonts w:ascii="Times New Roman" w:eastAsia="Times New Roman" w:hAnsi="Times New Roman" w:cs="Times New Roman"/>
              </w:rPr>
              <w:t>. https://doi.org/10.1016/j.jclepro.2022.130941</w:t>
            </w:r>
          </w:p>
        </w:tc>
      </w:tr>
      <w:tr w:rsidR="00B03AB3" w14:paraId="150E06FF" w14:textId="77777777" w:rsidTr="008F1F56">
        <w:tc>
          <w:tcPr>
            <w:tcW w:w="5000" w:type="pct"/>
          </w:tcPr>
          <w:p w14:paraId="5DD90E03"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Diniz, J. A. F., Collevatti, R. G., Chaves, L. J., Soares, T. N., Nabout, J. C., Rangel, T. F., Melo, D. B., Lima, J. S., &amp; Telles, M. P. C. (2012). Geographic shifts in climatically suitable areas and loss of genetic variability in </w:t>
            </w:r>
            <w:r>
              <w:rPr>
                <w:rFonts w:ascii="Times New Roman" w:eastAsia="Times New Roman" w:hAnsi="Times New Roman" w:cs="Times New Roman"/>
                <w:i/>
                <w:iCs/>
              </w:rPr>
              <w:t>Dipteryx alata</w:t>
            </w:r>
            <w:r>
              <w:rPr>
                <w:rFonts w:ascii="Times New Roman" w:eastAsia="Times New Roman" w:hAnsi="Times New Roman" w:cs="Times New Roman"/>
              </w:rPr>
              <w:t xml:space="preserve"> (“Baru” Tree; Fabaceae). </w:t>
            </w:r>
            <w:r>
              <w:rPr>
                <w:rFonts w:ascii="Times New Roman" w:eastAsia="Times New Roman" w:hAnsi="Times New Roman" w:cs="Times New Roman"/>
                <w:i/>
                <w:iCs/>
              </w:rPr>
              <w:t>GENETICS AND MOLECULAR RESEARCH</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(2), 1618–1626. https://doi.org/10.4238/2012.June.15.11</w:t>
            </w:r>
          </w:p>
        </w:tc>
      </w:tr>
      <w:tr w:rsidR="00B03AB3" w14:paraId="1336321C" w14:textId="77777777" w:rsidTr="008F1F56">
        <w:tc>
          <w:tcPr>
            <w:tcW w:w="5000" w:type="pct"/>
          </w:tcPr>
          <w:p w14:paraId="5DC6291F"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dos Santos, G. N., da Silva, A. C., &amp; Higuchi, P. (2020). </w:t>
            </w:r>
            <w:r>
              <w:rPr>
                <w:rFonts w:ascii="Times New Roman" w:eastAsia="Times New Roman" w:hAnsi="Times New Roman" w:cs="Times New Roman"/>
              </w:rPr>
              <w:t xml:space="preserve">IMPACT OF CLIMATE CHANGE ON THE GEOGRAPHICAL DISTRIBUTION OF A CLOUD FOREST INDICATOR TREE SPECIES. </w:t>
            </w:r>
            <w:r>
              <w:rPr>
                <w:rFonts w:ascii="Times New Roman" w:eastAsia="Times New Roman" w:hAnsi="Times New Roman" w:cs="Times New Roman"/>
                <w:i/>
                <w:iCs/>
              </w:rPr>
              <w:t>REVISTA ARVORE</w:t>
            </w:r>
            <w:r>
              <w:rPr>
                <w:rFonts w:ascii="Times New Roman" w:eastAsia="Times New Roman" w:hAnsi="Times New Roman" w:cs="Times New Roman"/>
              </w:rPr>
              <w:t xml:space="preserve">, </w:t>
            </w:r>
            <w:r>
              <w:rPr>
                <w:rFonts w:ascii="Times New Roman" w:eastAsia="Times New Roman" w:hAnsi="Times New Roman" w:cs="Times New Roman"/>
                <w:i/>
                <w:iCs/>
              </w:rPr>
              <w:t>44</w:t>
            </w:r>
            <w:r>
              <w:rPr>
                <w:rFonts w:ascii="Times New Roman" w:eastAsia="Times New Roman" w:hAnsi="Times New Roman" w:cs="Times New Roman"/>
              </w:rPr>
              <w:t>. https://doi.org/10.1590/1806-908820200000032</w:t>
            </w:r>
          </w:p>
        </w:tc>
      </w:tr>
      <w:tr w:rsidR="00B03AB3" w14:paraId="0C3C7FCD" w14:textId="77777777" w:rsidTr="008F1F56">
        <w:tc>
          <w:tcPr>
            <w:tcW w:w="5000" w:type="pct"/>
          </w:tcPr>
          <w:p w14:paraId="73B08365"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Duque, T. S., da Silva, R. S., Maciel, J. C., Silva, D. V, Fernandes, B. C. C., Júnior, A. P. B., &amp; dos Santos, J. B. (2022). </w:t>
            </w:r>
            <w:r>
              <w:rPr>
                <w:rFonts w:ascii="Times New Roman" w:eastAsia="Times New Roman" w:hAnsi="Times New Roman" w:cs="Times New Roman"/>
              </w:rPr>
              <w:t xml:space="preserve">Potential Distribution of and Sensitivity Analysis for </w:t>
            </w:r>
            <w:r>
              <w:rPr>
                <w:rFonts w:ascii="Times New Roman" w:eastAsia="Times New Roman" w:hAnsi="Times New Roman" w:cs="Times New Roman"/>
                <w:i/>
                <w:iCs/>
              </w:rPr>
              <w:t>Urochloa panicoides</w:t>
            </w:r>
            <w:r>
              <w:rPr>
                <w:rFonts w:ascii="Times New Roman" w:eastAsia="Times New Roman" w:hAnsi="Times New Roman" w:cs="Times New Roman"/>
              </w:rPr>
              <w:t xml:space="preserve"> Weed Using Modeling: An Implication of Invasion Risk Analysis for China and Europe. </w:t>
            </w:r>
            <w:r>
              <w:rPr>
                <w:rFonts w:ascii="Times New Roman" w:eastAsia="Times New Roman" w:hAnsi="Times New Roman" w:cs="Times New Roman"/>
                <w:i/>
                <w:iCs/>
              </w:rPr>
              <w:t>PLANTS-BASEL</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(13). https://doi.org/10.3390/plants11131761</w:t>
            </w:r>
          </w:p>
        </w:tc>
      </w:tr>
      <w:tr w:rsidR="00B03AB3" w14:paraId="3C0C9494" w14:textId="77777777" w:rsidTr="008F1F56">
        <w:tc>
          <w:tcPr>
            <w:tcW w:w="5000" w:type="pct"/>
          </w:tcPr>
          <w:p w14:paraId="439FB9A3"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Esser, L. F., Saraiva, D. D., &amp; Jarenkow, J. A. (2019). </w:t>
            </w:r>
            <w:r>
              <w:rPr>
                <w:rFonts w:ascii="Times New Roman" w:eastAsia="Times New Roman" w:hAnsi="Times New Roman" w:cs="Times New Roman"/>
              </w:rPr>
              <w:t xml:space="preserve">Future uncertainties for the distribution and conservation of </w:t>
            </w:r>
            <w:r>
              <w:rPr>
                <w:rFonts w:ascii="Times New Roman" w:eastAsia="Times New Roman" w:hAnsi="Times New Roman" w:cs="Times New Roman"/>
                <w:i/>
                <w:iCs/>
              </w:rPr>
              <w:t>Paubrasilia echinata</w:t>
            </w:r>
            <w:r>
              <w:rPr>
                <w:rFonts w:ascii="Times New Roman" w:eastAsia="Times New Roman" w:hAnsi="Times New Roman" w:cs="Times New Roman"/>
              </w:rPr>
              <w:t xml:space="preserve"> under climate change. </w:t>
            </w:r>
            <w:r>
              <w:rPr>
                <w:rFonts w:ascii="Times New Roman" w:eastAsia="Times New Roman" w:hAnsi="Times New Roman" w:cs="Times New Roman"/>
                <w:i/>
                <w:iCs/>
              </w:rPr>
              <w:t>ACTA BOTANICA BRASILICA</w:t>
            </w:r>
            <w:r>
              <w:rPr>
                <w:rFonts w:ascii="Times New Roman" w:eastAsia="Times New Roman" w:hAnsi="Times New Roman" w:cs="Times New Roman"/>
              </w:rPr>
              <w:t xml:space="preserve">, </w:t>
            </w:r>
            <w:r>
              <w:rPr>
                <w:rFonts w:ascii="Times New Roman" w:eastAsia="Times New Roman" w:hAnsi="Times New Roman" w:cs="Times New Roman"/>
                <w:i/>
                <w:iCs/>
              </w:rPr>
              <w:t>33</w:t>
            </w:r>
            <w:r>
              <w:rPr>
                <w:rFonts w:ascii="Times New Roman" w:eastAsia="Times New Roman" w:hAnsi="Times New Roman" w:cs="Times New Roman"/>
              </w:rPr>
              <w:t>(4), 770–776. https://doi.org/10.1590/0102-33062019abb0173</w:t>
            </w:r>
          </w:p>
        </w:tc>
      </w:tr>
      <w:tr w:rsidR="00B03AB3" w14:paraId="25469CCF" w14:textId="77777777" w:rsidTr="008F1F56">
        <w:tc>
          <w:tcPr>
            <w:tcW w:w="5000" w:type="pct"/>
          </w:tcPr>
          <w:p w14:paraId="491E17B6"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Estrada, A., Garber, P. A., &amp; Chaudhary, A. (2019). </w:t>
            </w:r>
            <w:r>
              <w:rPr>
                <w:rFonts w:ascii="Times New Roman" w:eastAsia="Times New Roman" w:hAnsi="Times New Roman" w:cs="Times New Roman"/>
              </w:rPr>
              <w:t xml:space="preserve">Expanding global commodities trade and consumption place the world’s primates at risk of extinction. </w:t>
            </w:r>
            <w:r>
              <w:rPr>
                <w:rFonts w:ascii="Times New Roman" w:eastAsia="Times New Roman" w:hAnsi="Times New Roman" w:cs="Times New Roman"/>
                <w:i/>
                <w:iCs/>
              </w:rPr>
              <w:t>PEERJ</w:t>
            </w:r>
            <w:r>
              <w:rPr>
                <w:rFonts w:ascii="Times New Roman" w:eastAsia="Times New Roman" w:hAnsi="Times New Roman" w:cs="Times New Roman"/>
              </w:rPr>
              <w:t xml:space="preserve">, </w:t>
            </w:r>
            <w:r>
              <w:rPr>
                <w:rFonts w:ascii="Times New Roman" w:eastAsia="Times New Roman" w:hAnsi="Times New Roman" w:cs="Times New Roman"/>
                <w:i/>
                <w:iCs/>
              </w:rPr>
              <w:t>7</w:t>
            </w:r>
            <w:r>
              <w:rPr>
                <w:rFonts w:ascii="Times New Roman" w:eastAsia="Times New Roman" w:hAnsi="Times New Roman" w:cs="Times New Roman"/>
              </w:rPr>
              <w:t>. https://doi.org/10.7717/peerj.7068</w:t>
            </w:r>
          </w:p>
        </w:tc>
      </w:tr>
      <w:tr w:rsidR="00B03AB3" w14:paraId="22803C88" w14:textId="77777777" w:rsidTr="008F1F56">
        <w:tc>
          <w:tcPr>
            <w:tcW w:w="5000" w:type="pct"/>
          </w:tcPr>
          <w:p w14:paraId="5F01D20B"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lastRenderedPageBreak/>
              <w:t xml:space="preserve">Faleiro, F. V, Machado, R. B., &amp; Loyola, R. D. (2013). </w:t>
            </w:r>
            <w:r>
              <w:rPr>
                <w:rFonts w:ascii="Times New Roman" w:eastAsia="Times New Roman" w:hAnsi="Times New Roman" w:cs="Times New Roman"/>
              </w:rPr>
              <w:t xml:space="preserve">Defining spatial conservation priorities in the face of land-use and climate change. </w:t>
            </w:r>
            <w:r>
              <w:rPr>
                <w:rFonts w:ascii="Times New Roman" w:eastAsia="Times New Roman" w:hAnsi="Times New Roman" w:cs="Times New Roman"/>
                <w:i/>
                <w:iCs/>
              </w:rPr>
              <w:t>BIOLOGICAL CONSERVATION</w:t>
            </w:r>
            <w:r>
              <w:rPr>
                <w:rFonts w:ascii="Times New Roman" w:eastAsia="Times New Roman" w:hAnsi="Times New Roman" w:cs="Times New Roman"/>
              </w:rPr>
              <w:t xml:space="preserve">, </w:t>
            </w:r>
            <w:r>
              <w:rPr>
                <w:rFonts w:ascii="Times New Roman" w:eastAsia="Times New Roman" w:hAnsi="Times New Roman" w:cs="Times New Roman"/>
                <w:i/>
                <w:iCs/>
              </w:rPr>
              <w:t>158</w:t>
            </w:r>
            <w:r>
              <w:rPr>
                <w:rFonts w:ascii="Times New Roman" w:eastAsia="Times New Roman" w:hAnsi="Times New Roman" w:cs="Times New Roman"/>
              </w:rPr>
              <w:t>, 248–257. https://doi.org/10.1016/j.biocon.2012.09.020</w:t>
            </w:r>
          </w:p>
        </w:tc>
      </w:tr>
      <w:tr w:rsidR="00B03AB3" w14:paraId="102C35A3" w14:textId="77777777" w:rsidTr="008F1F56">
        <w:tc>
          <w:tcPr>
            <w:tcW w:w="5000" w:type="pct"/>
          </w:tcPr>
          <w:p w14:paraId="57F38725"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Fernandes, G. W., Barbosa, N. P. U., Alberton, B., Barbieri, A., Dirzo, R., Goulart, F., Guerra, T. J., Morellato, L. P. C., &amp; Solar, R. R. C. (2018). </w:t>
            </w:r>
            <w:r>
              <w:rPr>
                <w:rFonts w:ascii="Times New Roman" w:eastAsia="Times New Roman" w:hAnsi="Times New Roman" w:cs="Times New Roman"/>
              </w:rPr>
              <w:t xml:space="preserve">The deadly route to collapse and the uncertain fate of Brazilian rupestrian grasslands. </w:t>
            </w:r>
            <w:r>
              <w:rPr>
                <w:rFonts w:ascii="Times New Roman" w:eastAsia="Times New Roman" w:hAnsi="Times New Roman" w:cs="Times New Roman"/>
                <w:i/>
                <w:iCs/>
              </w:rPr>
              <w:t>BIODIVERSITY AND CONSERVATION</w:t>
            </w:r>
            <w:r>
              <w:rPr>
                <w:rFonts w:ascii="Times New Roman" w:eastAsia="Times New Roman" w:hAnsi="Times New Roman" w:cs="Times New Roman"/>
              </w:rPr>
              <w:t xml:space="preserve">, </w:t>
            </w:r>
            <w:r>
              <w:rPr>
                <w:rFonts w:ascii="Times New Roman" w:eastAsia="Times New Roman" w:hAnsi="Times New Roman" w:cs="Times New Roman"/>
                <w:i/>
                <w:iCs/>
              </w:rPr>
              <w:t>27</w:t>
            </w:r>
            <w:r>
              <w:rPr>
                <w:rFonts w:ascii="Times New Roman" w:eastAsia="Times New Roman" w:hAnsi="Times New Roman" w:cs="Times New Roman"/>
              </w:rPr>
              <w:t>(10), 2587–2603. https://doi.org/10.1007/s10531-018-1556-4</w:t>
            </w:r>
          </w:p>
        </w:tc>
      </w:tr>
      <w:tr w:rsidR="00B03AB3" w14:paraId="05D6A0F5" w14:textId="77777777" w:rsidTr="008F1F56">
        <w:tc>
          <w:tcPr>
            <w:tcW w:w="5000" w:type="pct"/>
          </w:tcPr>
          <w:p w14:paraId="759C4E92"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Ferrante, L., Getirana, A., Baccaro, F. B., Schöngart, J., Leonel, A. C. M., Gaiga, R., Garey, M. V, &amp; Fearnside, P. M. (2023). </w:t>
            </w:r>
            <w:r>
              <w:rPr>
                <w:rFonts w:ascii="Times New Roman" w:eastAsia="Times New Roman" w:hAnsi="Times New Roman" w:cs="Times New Roman"/>
              </w:rPr>
              <w:t xml:space="preserve">Effects of Amazonian flying rivers on frog biodiversity and populations in the Atlantic rainforest. </w:t>
            </w:r>
            <w:r>
              <w:rPr>
                <w:rFonts w:ascii="Times New Roman" w:eastAsia="Times New Roman" w:hAnsi="Times New Roman" w:cs="Times New Roman"/>
                <w:i/>
                <w:iCs/>
              </w:rPr>
              <w:t>CONSERVATION BIOLOGY</w:t>
            </w:r>
            <w:r>
              <w:rPr>
                <w:rFonts w:ascii="Times New Roman" w:eastAsia="Times New Roman" w:hAnsi="Times New Roman" w:cs="Times New Roman"/>
              </w:rPr>
              <w:t xml:space="preserve">, </w:t>
            </w:r>
            <w:r>
              <w:rPr>
                <w:rFonts w:ascii="Times New Roman" w:eastAsia="Times New Roman" w:hAnsi="Times New Roman" w:cs="Times New Roman"/>
                <w:i/>
                <w:iCs/>
              </w:rPr>
              <w:t>37</w:t>
            </w:r>
            <w:r>
              <w:rPr>
                <w:rFonts w:ascii="Times New Roman" w:eastAsia="Times New Roman" w:hAnsi="Times New Roman" w:cs="Times New Roman"/>
              </w:rPr>
              <w:t>(3). https://doi.org/10.1111/cobi.14033</w:t>
            </w:r>
          </w:p>
        </w:tc>
      </w:tr>
      <w:tr w:rsidR="00B03AB3" w14:paraId="374D5F14" w14:textId="77777777" w:rsidTr="008F1F56">
        <w:tc>
          <w:tcPr>
            <w:tcW w:w="5000" w:type="pct"/>
          </w:tcPr>
          <w:p w14:paraId="5FE26114"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Françoso, E., Zuntini, A. R., &amp; Arias, M. C. (2019). </w:t>
            </w:r>
            <w:r>
              <w:rPr>
                <w:rFonts w:ascii="Times New Roman" w:eastAsia="Times New Roman" w:hAnsi="Times New Roman" w:cs="Times New Roman"/>
              </w:rPr>
              <w:t xml:space="preserve">Combining phylogeography and future climate change for conservation of Bombus morio and B. pauloensis (Hymenoptera: Apidae). </w:t>
            </w:r>
            <w:r>
              <w:rPr>
                <w:rFonts w:ascii="Times New Roman" w:eastAsia="Times New Roman" w:hAnsi="Times New Roman" w:cs="Times New Roman"/>
                <w:i/>
                <w:iCs/>
              </w:rPr>
              <w:t>JOURNAL OF INSECT CONSERVATION</w:t>
            </w:r>
            <w:r>
              <w:rPr>
                <w:rFonts w:ascii="Times New Roman" w:eastAsia="Times New Roman" w:hAnsi="Times New Roman" w:cs="Times New Roman"/>
              </w:rPr>
              <w:t xml:space="preserve">, </w:t>
            </w:r>
            <w:r>
              <w:rPr>
                <w:rFonts w:ascii="Times New Roman" w:eastAsia="Times New Roman" w:hAnsi="Times New Roman" w:cs="Times New Roman"/>
                <w:i/>
                <w:iCs/>
              </w:rPr>
              <w:t>23</w:t>
            </w:r>
            <w:r>
              <w:rPr>
                <w:rFonts w:ascii="Times New Roman" w:eastAsia="Times New Roman" w:hAnsi="Times New Roman" w:cs="Times New Roman"/>
              </w:rPr>
              <w:t>(1), 63–73. https://doi.org/10.1007/s10841-018-0114-4</w:t>
            </w:r>
          </w:p>
        </w:tc>
      </w:tr>
      <w:tr w:rsidR="00B03AB3" w14:paraId="2D12E82E" w14:textId="77777777" w:rsidTr="008F1F56">
        <w:tc>
          <w:tcPr>
            <w:tcW w:w="5000" w:type="pct"/>
          </w:tcPr>
          <w:p w14:paraId="1E4BCD9D"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Frederico, R. G., Olden, J. D., &amp; Zuanon, J. (2016). Climate change sensitivity of threatened, and largely unprotected, Amazonian fishes. </w:t>
            </w:r>
            <w:r>
              <w:rPr>
                <w:rFonts w:ascii="Times New Roman" w:eastAsia="Times New Roman" w:hAnsi="Times New Roman" w:cs="Times New Roman"/>
                <w:i/>
                <w:iCs/>
              </w:rPr>
              <w:t>AQUATIC CONSERVATION-MARINE AND FRESHWATER ECOSYSTEMS</w:t>
            </w:r>
            <w:r>
              <w:rPr>
                <w:rFonts w:ascii="Times New Roman" w:eastAsia="Times New Roman" w:hAnsi="Times New Roman" w:cs="Times New Roman"/>
              </w:rPr>
              <w:t xml:space="preserve">, </w:t>
            </w:r>
            <w:r>
              <w:rPr>
                <w:rFonts w:ascii="Times New Roman" w:eastAsia="Times New Roman" w:hAnsi="Times New Roman" w:cs="Times New Roman"/>
                <w:i/>
                <w:iCs/>
              </w:rPr>
              <w:t>26</w:t>
            </w:r>
            <w:r>
              <w:rPr>
                <w:rFonts w:ascii="Times New Roman" w:eastAsia="Times New Roman" w:hAnsi="Times New Roman" w:cs="Times New Roman"/>
              </w:rPr>
              <w:t>, 91–102. https://doi.org/10.1002/aqc.2658</w:t>
            </w:r>
          </w:p>
        </w:tc>
      </w:tr>
      <w:tr w:rsidR="00B03AB3" w14:paraId="29622E2A" w14:textId="77777777" w:rsidTr="008F1F56">
        <w:tc>
          <w:tcPr>
            <w:tcW w:w="5000" w:type="pct"/>
          </w:tcPr>
          <w:p w14:paraId="61C22DCC"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Fulgêncio-Lima, L. G., Andrade, A. F. A., Vilela, B., Lima, D. P., de Souza, R. A. N., Sgarbi, L. F., Simiao-Ferreira, J., De Marco, P., &amp; Silva, D. P. (2021). </w:t>
            </w:r>
            <w:r>
              <w:rPr>
                <w:rFonts w:ascii="Times New Roman" w:eastAsia="Times New Roman" w:hAnsi="Times New Roman" w:cs="Times New Roman"/>
              </w:rPr>
              <w:t xml:space="preserve">Invasive plants in Brazil: climate change effects and detection of suitable areas within conservation units. </w:t>
            </w:r>
            <w:r>
              <w:rPr>
                <w:rFonts w:ascii="Times New Roman" w:eastAsia="Times New Roman" w:hAnsi="Times New Roman" w:cs="Times New Roman"/>
                <w:i/>
                <w:iCs/>
              </w:rPr>
              <w:t>BIOLOGICAL INVASIONS</w:t>
            </w:r>
            <w:r>
              <w:rPr>
                <w:rFonts w:ascii="Times New Roman" w:eastAsia="Times New Roman" w:hAnsi="Times New Roman" w:cs="Times New Roman"/>
              </w:rPr>
              <w:t xml:space="preserve">, </w:t>
            </w:r>
            <w:r>
              <w:rPr>
                <w:rFonts w:ascii="Times New Roman" w:eastAsia="Times New Roman" w:hAnsi="Times New Roman" w:cs="Times New Roman"/>
                <w:i/>
                <w:iCs/>
              </w:rPr>
              <w:t>23</w:t>
            </w:r>
            <w:r>
              <w:rPr>
                <w:rFonts w:ascii="Times New Roman" w:eastAsia="Times New Roman" w:hAnsi="Times New Roman" w:cs="Times New Roman"/>
              </w:rPr>
              <w:t>(5), 1577–1594. https://doi.org/10.1007/s10530-021-02460-4</w:t>
            </w:r>
          </w:p>
        </w:tc>
      </w:tr>
      <w:tr w:rsidR="00B03AB3" w14:paraId="27845B2B" w14:textId="77777777" w:rsidTr="008F1F56">
        <w:tc>
          <w:tcPr>
            <w:tcW w:w="5000" w:type="pct"/>
          </w:tcPr>
          <w:p w14:paraId="3E1F8648"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Furtado, M. D. C., Queiroz, J. C. B., Bentes, B., Gouveia, N. D., de Lima, M. J. A., Ruffino, M. L., &amp; Isaac, V. (2024). </w:t>
            </w:r>
            <w:r>
              <w:rPr>
                <w:rFonts w:ascii="Times New Roman" w:eastAsia="Times New Roman" w:hAnsi="Times New Roman" w:cs="Times New Roman"/>
              </w:rPr>
              <w:t xml:space="preserve">How does climate change affect small scale fisheries? A case study of the Lower Amazon in Brazil. </w:t>
            </w:r>
            <w:r>
              <w:rPr>
                <w:rFonts w:ascii="Times New Roman" w:eastAsia="Times New Roman" w:hAnsi="Times New Roman" w:cs="Times New Roman"/>
                <w:i/>
                <w:iCs/>
              </w:rPr>
              <w:t>FISHERIES MANAGEMENT AND ECOLOGY</w:t>
            </w:r>
            <w:r>
              <w:rPr>
                <w:rFonts w:ascii="Times New Roman" w:eastAsia="Times New Roman" w:hAnsi="Times New Roman" w:cs="Times New Roman"/>
              </w:rPr>
              <w:t xml:space="preserve">, </w:t>
            </w:r>
            <w:r>
              <w:rPr>
                <w:rFonts w:ascii="Times New Roman" w:eastAsia="Times New Roman" w:hAnsi="Times New Roman" w:cs="Times New Roman"/>
                <w:i/>
                <w:iCs/>
              </w:rPr>
              <w:t>31</w:t>
            </w:r>
            <w:r>
              <w:rPr>
                <w:rFonts w:ascii="Times New Roman" w:eastAsia="Times New Roman" w:hAnsi="Times New Roman" w:cs="Times New Roman"/>
              </w:rPr>
              <w:t>(1). https://doi.org/10.1111/fme.12654</w:t>
            </w:r>
          </w:p>
        </w:tc>
      </w:tr>
      <w:tr w:rsidR="00B03AB3" w14:paraId="450450B5" w14:textId="77777777" w:rsidTr="008F1F56">
        <w:tc>
          <w:tcPr>
            <w:tcW w:w="5000" w:type="pct"/>
          </w:tcPr>
          <w:p w14:paraId="48D0396B"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Gateau-Rey, L., Tanner, E. V. J., Rapidel, B., Marelli, J. P., &amp; Royaert, S. (2018). Climate change could threaten cocoa production: Effects of 2015-16 El Nino-related drought on cocoa agroforests in Bahia, Brazil.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13</w:t>
            </w:r>
            <w:r>
              <w:rPr>
                <w:rFonts w:ascii="Times New Roman" w:eastAsia="Times New Roman" w:hAnsi="Times New Roman" w:cs="Times New Roman"/>
              </w:rPr>
              <w:t>(7). https://doi.org/10.1371/journal.pone.0200454</w:t>
            </w:r>
          </w:p>
        </w:tc>
      </w:tr>
      <w:tr w:rsidR="00B03AB3" w14:paraId="4DD69AC6" w14:textId="77777777" w:rsidTr="008F1F56">
        <w:tc>
          <w:tcPr>
            <w:tcW w:w="5000" w:type="pct"/>
          </w:tcPr>
          <w:p w14:paraId="104E2314"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Giannini, T. C., Acosta, A. L., Garófalo, C. A., Saraiva, A. M., Alves-dos-Santos, I., &amp; Imperatriz-Fonseca, V. L. (2012). </w:t>
            </w:r>
            <w:r>
              <w:rPr>
                <w:rFonts w:ascii="Times New Roman" w:eastAsia="Times New Roman" w:hAnsi="Times New Roman" w:cs="Times New Roman"/>
              </w:rPr>
              <w:t xml:space="preserve">Pollination services at risk: Bee habitats will decrease owing to climate change in Brazil. </w:t>
            </w:r>
            <w:r>
              <w:rPr>
                <w:rFonts w:ascii="Times New Roman" w:eastAsia="Times New Roman" w:hAnsi="Times New Roman" w:cs="Times New Roman"/>
                <w:i/>
                <w:iCs/>
              </w:rPr>
              <w:t>ECOLOGICAL MODELLING</w:t>
            </w:r>
            <w:r>
              <w:rPr>
                <w:rFonts w:ascii="Times New Roman" w:eastAsia="Times New Roman" w:hAnsi="Times New Roman" w:cs="Times New Roman"/>
              </w:rPr>
              <w:t xml:space="preserve">, </w:t>
            </w:r>
            <w:r>
              <w:rPr>
                <w:rFonts w:ascii="Times New Roman" w:eastAsia="Times New Roman" w:hAnsi="Times New Roman" w:cs="Times New Roman"/>
                <w:i/>
                <w:iCs/>
              </w:rPr>
              <w:t>244</w:t>
            </w:r>
            <w:r>
              <w:rPr>
                <w:rFonts w:ascii="Times New Roman" w:eastAsia="Times New Roman" w:hAnsi="Times New Roman" w:cs="Times New Roman"/>
              </w:rPr>
              <w:t>, 127–131. https://doi.org/10.1016/j.ecolmodel.2012.06.035</w:t>
            </w:r>
          </w:p>
        </w:tc>
      </w:tr>
      <w:tr w:rsidR="00B03AB3" w14:paraId="1A587046" w14:textId="77777777" w:rsidTr="008F1F56">
        <w:tc>
          <w:tcPr>
            <w:tcW w:w="5000" w:type="pct"/>
          </w:tcPr>
          <w:p w14:paraId="761D8187" w14:textId="77777777" w:rsidR="00B03AB3" w:rsidRDefault="00000000" w:rsidP="00915440">
            <w:pPr>
              <w:pStyle w:val="ListParagraph"/>
              <w:numPr>
                <w:ilvl w:val="0"/>
                <w:numId w:val="2"/>
              </w:numPr>
              <w:rPr>
                <w:rFonts w:ascii="Times New Roman" w:eastAsia="Times New Roman" w:hAnsi="Times New Roman" w:cs="Times New Roman"/>
              </w:rPr>
            </w:pPr>
            <w:r w:rsidRPr="00DB3937">
              <w:rPr>
                <w:rFonts w:ascii="Times New Roman" w:eastAsia="Times New Roman" w:hAnsi="Times New Roman" w:cs="Times New Roman"/>
                <w:lang w:val="pt-BR"/>
              </w:rPr>
              <w:t xml:space="preserve">Giannini, T. C., Costa, W. F., Borges, R. C., Miranda, L., da Costa, C. P. W., Saraiva, A. M., &amp; Fonseca, V. L. I. (2020). </w:t>
            </w:r>
            <w:r>
              <w:rPr>
                <w:rFonts w:ascii="Times New Roman" w:eastAsia="Times New Roman" w:hAnsi="Times New Roman" w:cs="Times New Roman"/>
              </w:rPr>
              <w:t xml:space="preserve">Climate change in the Eastern Amazon: crop-pollinator and occurrence-restricted bees are potentially more affected. </w:t>
            </w:r>
            <w:r>
              <w:rPr>
                <w:rFonts w:ascii="Times New Roman" w:eastAsia="Times New Roman" w:hAnsi="Times New Roman" w:cs="Times New Roman"/>
                <w:i/>
                <w:iCs/>
              </w:rPr>
              <w:t>REGIONAL ENVIRONMENTAL CHANGE</w:t>
            </w:r>
            <w:r>
              <w:rPr>
                <w:rFonts w:ascii="Times New Roman" w:eastAsia="Times New Roman" w:hAnsi="Times New Roman" w:cs="Times New Roman"/>
              </w:rPr>
              <w:t xml:space="preserve">, </w:t>
            </w:r>
            <w:r>
              <w:rPr>
                <w:rFonts w:ascii="Times New Roman" w:eastAsia="Times New Roman" w:hAnsi="Times New Roman" w:cs="Times New Roman"/>
                <w:i/>
                <w:iCs/>
              </w:rPr>
              <w:t>20</w:t>
            </w:r>
            <w:r>
              <w:rPr>
                <w:rFonts w:ascii="Times New Roman" w:eastAsia="Times New Roman" w:hAnsi="Times New Roman" w:cs="Times New Roman"/>
              </w:rPr>
              <w:t>(1). https://doi.org/10.1007/s10113-020-01611-y</w:t>
            </w:r>
          </w:p>
        </w:tc>
      </w:tr>
      <w:tr w:rsidR="00B03AB3" w14:paraId="4165A89C" w14:textId="77777777" w:rsidTr="008F1F56">
        <w:tc>
          <w:tcPr>
            <w:tcW w:w="5000" w:type="pct"/>
          </w:tcPr>
          <w:p w14:paraId="48B4B8F6"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Giannini, T. C., Costa, W. F., Cordeiro, G. D., Imperatriz-Fonseca, V. L., Saraiva, A. M., Biesmeijer, J., &amp; Garibaldi, L. A. (2017). </w:t>
            </w:r>
            <w:r>
              <w:rPr>
                <w:rFonts w:ascii="Times New Roman" w:eastAsia="Times New Roman" w:hAnsi="Times New Roman" w:cs="Times New Roman"/>
              </w:rPr>
              <w:t xml:space="preserve">Projected climate change threatens pollinators and crop production in Brazil.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12</w:t>
            </w:r>
            <w:r>
              <w:rPr>
                <w:rFonts w:ascii="Times New Roman" w:eastAsia="Times New Roman" w:hAnsi="Times New Roman" w:cs="Times New Roman"/>
              </w:rPr>
              <w:t>(8). https://doi.org/10.1371/journal.pone.0182274</w:t>
            </w:r>
          </w:p>
        </w:tc>
      </w:tr>
      <w:tr w:rsidR="00B03AB3" w14:paraId="253F2D4C" w14:textId="77777777" w:rsidTr="008F1F56">
        <w:tc>
          <w:tcPr>
            <w:tcW w:w="5000" w:type="pct"/>
          </w:tcPr>
          <w:p w14:paraId="5C66E234"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lastRenderedPageBreak/>
              <w:t xml:space="preserve">Giannini, T. C., Maia-Silva, C., Acosta, A. L., Jaffé, R., Carvalho, A. T., Martins, C. F., Zanella, F. C. V, Carvalho, C. A. L., Hrncir, M., Saraiva, A. M., Siqueira, J. O., &amp; Imperatriz-Fonseca, V. L. (2017). </w:t>
            </w:r>
            <w:r>
              <w:rPr>
                <w:rFonts w:ascii="Times New Roman" w:eastAsia="Times New Roman" w:hAnsi="Times New Roman" w:cs="Times New Roman"/>
              </w:rPr>
              <w:t xml:space="preserve">Protecting a managed bee pollinator against climate change: strategies for an area with extreme climatic conditions and socioeconomic vulnerability. </w:t>
            </w:r>
            <w:r>
              <w:rPr>
                <w:rFonts w:ascii="Times New Roman" w:eastAsia="Times New Roman" w:hAnsi="Times New Roman" w:cs="Times New Roman"/>
                <w:i/>
                <w:iCs/>
              </w:rPr>
              <w:t>APIDOLOGIE</w:t>
            </w:r>
            <w:r>
              <w:rPr>
                <w:rFonts w:ascii="Times New Roman" w:eastAsia="Times New Roman" w:hAnsi="Times New Roman" w:cs="Times New Roman"/>
              </w:rPr>
              <w:t xml:space="preserve">, </w:t>
            </w:r>
            <w:r>
              <w:rPr>
                <w:rFonts w:ascii="Times New Roman" w:eastAsia="Times New Roman" w:hAnsi="Times New Roman" w:cs="Times New Roman"/>
                <w:i/>
                <w:iCs/>
              </w:rPr>
              <w:t>48</w:t>
            </w:r>
            <w:r>
              <w:rPr>
                <w:rFonts w:ascii="Times New Roman" w:eastAsia="Times New Roman" w:hAnsi="Times New Roman" w:cs="Times New Roman"/>
              </w:rPr>
              <w:t>(6), 784–794. https://doi.org/10.1007/s13592-017-0523-5</w:t>
            </w:r>
          </w:p>
        </w:tc>
      </w:tr>
      <w:tr w:rsidR="00B03AB3" w14:paraId="50AA48AE" w14:textId="77777777" w:rsidTr="008F1F56">
        <w:tc>
          <w:tcPr>
            <w:tcW w:w="5000" w:type="pct"/>
          </w:tcPr>
          <w:p w14:paraId="4A800B36"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Giannini, T. C., Tambosi, L. R., Acosta, A. L., Jaffé, R., Saraiva, A. M., Imperatriz-Fonseca, V. L., &amp; Metzger, J. P. (2015). </w:t>
            </w:r>
            <w:r>
              <w:rPr>
                <w:rFonts w:ascii="Times New Roman" w:eastAsia="Times New Roman" w:hAnsi="Times New Roman" w:cs="Times New Roman"/>
              </w:rPr>
              <w:t xml:space="preserve">Safeguarding Ecosystem Services: A Methodological Framework to Buffer the Joint Effect of Habitat Configuration and Climate Change.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10</w:t>
            </w:r>
            <w:r>
              <w:rPr>
                <w:rFonts w:ascii="Times New Roman" w:eastAsia="Times New Roman" w:hAnsi="Times New Roman" w:cs="Times New Roman"/>
              </w:rPr>
              <w:t>(6). https://doi.org/10.1371/journal.pone.0129225</w:t>
            </w:r>
          </w:p>
        </w:tc>
      </w:tr>
      <w:tr w:rsidR="00B03AB3" w14:paraId="33B7A36F" w14:textId="77777777" w:rsidTr="008F1F56">
        <w:tc>
          <w:tcPr>
            <w:tcW w:w="5000" w:type="pct"/>
          </w:tcPr>
          <w:p w14:paraId="3AEDAED4"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Gomes, L. E. D., &amp; Bernardino, A. F. (2020). </w:t>
            </w:r>
            <w:r>
              <w:rPr>
                <w:rFonts w:ascii="Times New Roman" w:eastAsia="Times New Roman" w:hAnsi="Times New Roman" w:cs="Times New Roman"/>
              </w:rPr>
              <w:t xml:space="preserve">Drought effects on tropical estuarine benthic assemblages in Eastern Brazil. </w:t>
            </w:r>
            <w:r>
              <w:rPr>
                <w:rFonts w:ascii="Times New Roman" w:eastAsia="Times New Roman" w:hAnsi="Times New Roman" w:cs="Times New Roman"/>
                <w:i/>
                <w:iCs/>
              </w:rPr>
              <w:t>SCIENCE OF THE TOTAL ENVIRONMENT</w:t>
            </w:r>
            <w:r>
              <w:rPr>
                <w:rFonts w:ascii="Times New Roman" w:eastAsia="Times New Roman" w:hAnsi="Times New Roman" w:cs="Times New Roman"/>
              </w:rPr>
              <w:t xml:space="preserve">, </w:t>
            </w:r>
            <w:r>
              <w:rPr>
                <w:rFonts w:ascii="Times New Roman" w:eastAsia="Times New Roman" w:hAnsi="Times New Roman" w:cs="Times New Roman"/>
                <w:i/>
                <w:iCs/>
              </w:rPr>
              <w:t>703</w:t>
            </w:r>
            <w:r>
              <w:rPr>
                <w:rFonts w:ascii="Times New Roman" w:eastAsia="Times New Roman" w:hAnsi="Times New Roman" w:cs="Times New Roman"/>
              </w:rPr>
              <w:t>. https://doi.org/10.1016/j.scitotenv.2019.135490</w:t>
            </w:r>
          </w:p>
        </w:tc>
      </w:tr>
      <w:tr w:rsidR="00B03AB3" w14:paraId="696AD49F" w14:textId="77777777" w:rsidTr="008F1F56">
        <w:tc>
          <w:tcPr>
            <w:tcW w:w="5000" w:type="pct"/>
          </w:tcPr>
          <w:p w14:paraId="30A7FBFB"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Gouveia, S. F., Souza-Alves, J. P., Rattis, L., Dobrovolski, R., Jerusalinsky, L., Beltrao-Mendes, R., &amp; Ferrari, S. F. (2016). </w:t>
            </w:r>
            <w:r>
              <w:rPr>
                <w:rFonts w:ascii="Times New Roman" w:eastAsia="Times New Roman" w:hAnsi="Times New Roman" w:cs="Times New Roman"/>
              </w:rPr>
              <w:t xml:space="preserve">Climate and land use changes will degrade the configuration of the landscape for titi monkeys in eastern Brazil. </w:t>
            </w:r>
            <w:r>
              <w:rPr>
                <w:rFonts w:ascii="Times New Roman" w:eastAsia="Times New Roman" w:hAnsi="Times New Roman" w:cs="Times New Roman"/>
                <w:i/>
                <w:iCs/>
              </w:rPr>
              <w:t>GLOBAL CHANGE BIOLOGY</w:t>
            </w:r>
            <w:r>
              <w:rPr>
                <w:rFonts w:ascii="Times New Roman" w:eastAsia="Times New Roman" w:hAnsi="Times New Roman" w:cs="Times New Roman"/>
              </w:rPr>
              <w:t xml:space="preserve">, </w:t>
            </w:r>
            <w:r>
              <w:rPr>
                <w:rFonts w:ascii="Times New Roman" w:eastAsia="Times New Roman" w:hAnsi="Times New Roman" w:cs="Times New Roman"/>
                <w:i/>
                <w:iCs/>
              </w:rPr>
              <w:t>22</w:t>
            </w:r>
            <w:r>
              <w:rPr>
                <w:rFonts w:ascii="Times New Roman" w:eastAsia="Times New Roman" w:hAnsi="Times New Roman" w:cs="Times New Roman"/>
              </w:rPr>
              <w:t>(6), 2003–2012. https://doi.org/10.1111/gcb.13162</w:t>
            </w:r>
          </w:p>
        </w:tc>
      </w:tr>
      <w:tr w:rsidR="00B03AB3" w14:paraId="1EA52321" w14:textId="77777777" w:rsidTr="008F1F56">
        <w:tc>
          <w:tcPr>
            <w:tcW w:w="5000" w:type="pct"/>
          </w:tcPr>
          <w:p w14:paraId="559569C8"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Helmer, E. H., Gerson, E. A., Baggett, L. S., Bird, B. J., Ruzycki, T. S., &amp; Voggesser</w:t>
            </w:r>
            <w:r>
              <w:rPr>
                <w:rFonts w:ascii="Times New Roman" w:eastAsia="Times New Roman" w:hAnsi="Times New Roman" w:cs="Times New Roman"/>
              </w:rPr>
              <w:t xml:space="preserve">, S. M. (2019). Neotropical cloud forests and paramo to contract and dry from declines in cloud immersion and frost.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14</w:t>
            </w:r>
            <w:r>
              <w:rPr>
                <w:rFonts w:ascii="Times New Roman" w:eastAsia="Times New Roman" w:hAnsi="Times New Roman" w:cs="Times New Roman"/>
              </w:rPr>
              <w:t>(4). https://doi.org/10.1371/journal.pone.0213155</w:t>
            </w:r>
          </w:p>
        </w:tc>
      </w:tr>
      <w:tr w:rsidR="00B03AB3" w14:paraId="3E51DA3D" w14:textId="77777777" w:rsidTr="008F1F56">
        <w:tc>
          <w:tcPr>
            <w:tcW w:w="5000" w:type="pct"/>
          </w:tcPr>
          <w:p w14:paraId="1762BF8C"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Hernandez, L. M., Espitia, P., Florian, D., Castiblanco, V., Cardoso, J. A., &amp; Gomez-Jimenez, M. I. (2021). </w:t>
            </w:r>
            <w:r>
              <w:rPr>
                <w:rFonts w:ascii="Times New Roman" w:eastAsia="Times New Roman" w:hAnsi="Times New Roman" w:cs="Times New Roman"/>
              </w:rPr>
              <w:t xml:space="preserve">Geographic Distribution of Colombian Spittlebugs (Hemiptera: Cercopidae) </w:t>
            </w:r>
            <w:r>
              <w:rPr>
                <w:rFonts w:ascii="Times New Roman" w:eastAsia="Times New Roman" w:hAnsi="Times New Roman" w:cs="Times New Roman"/>
                <w:i/>
                <w:iCs/>
              </w:rPr>
              <w:t>via</w:t>
            </w:r>
            <w:r>
              <w:rPr>
                <w:rFonts w:ascii="Times New Roman" w:eastAsia="Times New Roman" w:hAnsi="Times New Roman" w:cs="Times New Roman"/>
              </w:rPr>
              <w:t xml:space="preserve"> Ecological Niche Modeling: A Prediction for the Main Tropical Forages’ Pest in the Neotropics. </w:t>
            </w:r>
            <w:r>
              <w:rPr>
                <w:rFonts w:ascii="Times New Roman" w:eastAsia="Times New Roman" w:hAnsi="Times New Roman" w:cs="Times New Roman"/>
                <w:i/>
                <w:iCs/>
              </w:rPr>
              <w:t>FRONTIERS IN SUSTAINABLE FOOD SYSTEMS</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 https://doi.org/10.3389/fsufs.2021.725774</w:t>
            </w:r>
          </w:p>
        </w:tc>
      </w:tr>
      <w:tr w:rsidR="00B03AB3" w14:paraId="5F3B9FC6" w14:textId="77777777" w:rsidTr="008F1F56">
        <w:tc>
          <w:tcPr>
            <w:tcW w:w="5000" w:type="pct"/>
          </w:tcPr>
          <w:p w14:paraId="5A862109"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Hidasi-Neto, J., Gomes, N. M. A., &amp; Pinto, N. S. (2022). </w:t>
            </w:r>
            <w:r>
              <w:rPr>
                <w:rFonts w:ascii="Times New Roman" w:eastAsia="Times New Roman" w:hAnsi="Times New Roman" w:cs="Times New Roman"/>
              </w:rPr>
              <w:t xml:space="preserve">Cerrado native vegetation is a refuge for birds under the current climate change trajectory. </w:t>
            </w:r>
            <w:r>
              <w:rPr>
                <w:rFonts w:ascii="Times New Roman" w:eastAsia="Times New Roman" w:hAnsi="Times New Roman" w:cs="Times New Roman"/>
                <w:i/>
                <w:iCs/>
              </w:rPr>
              <w:t>AUSTRAL ECOLOGY</w:t>
            </w:r>
            <w:r>
              <w:rPr>
                <w:rFonts w:ascii="Times New Roman" w:eastAsia="Times New Roman" w:hAnsi="Times New Roman" w:cs="Times New Roman"/>
              </w:rPr>
              <w:t xml:space="preserve">, </w:t>
            </w:r>
            <w:r>
              <w:rPr>
                <w:rFonts w:ascii="Times New Roman" w:eastAsia="Times New Roman" w:hAnsi="Times New Roman" w:cs="Times New Roman"/>
                <w:i/>
                <w:iCs/>
              </w:rPr>
              <w:t>47</w:t>
            </w:r>
            <w:r>
              <w:rPr>
                <w:rFonts w:ascii="Times New Roman" w:eastAsia="Times New Roman" w:hAnsi="Times New Roman" w:cs="Times New Roman"/>
              </w:rPr>
              <w:t>(8), 1622–1635. https://doi.org/10.1111/aec.13242</w:t>
            </w:r>
          </w:p>
        </w:tc>
      </w:tr>
      <w:tr w:rsidR="00B03AB3" w14:paraId="0B253F61" w14:textId="77777777" w:rsidTr="008F1F56">
        <w:tc>
          <w:tcPr>
            <w:tcW w:w="5000" w:type="pct"/>
          </w:tcPr>
          <w:p w14:paraId="2AB7A2EE"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Higgins, P. A. T. (2007). Biodiversity loss under existing land use and climate change: an illustration using northern South America. </w:t>
            </w:r>
            <w:r>
              <w:rPr>
                <w:rFonts w:ascii="Times New Roman" w:eastAsia="Times New Roman" w:hAnsi="Times New Roman" w:cs="Times New Roman"/>
                <w:i/>
                <w:iCs/>
              </w:rPr>
              <w:t>GLOBAL ECOLOGY AND BIOGEOGRAPHY</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(2), 197–204. https://doi.org/10.1111/j.1466-8238.2006.00278.x</w:t>
            </w:r>
          </w:p>
        </w:tc>
      </w:tr>
      <w:tr w:rsidR="00B03AB3" w14:paraId="040B9CE0" w14:textId="77777777" w:rsidTr="008F1F56">
        <w:tc>
          <w:tcPr>
            <w:tcW w:w="5000" w:type="pct"/>
          </w:tcPr>
          <w:p w14:paraId="7A5BC662"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Hoffmann, D., de Vasconcelos, M. F., &amp; Fernandes, G. W. (2020). </w:t>
            </w:r>
            <w:r>
              <w:rPr>
                <w:rFonts w:ascii="Times New Roman" w:eastAsia="Times New Roman" w:hAnsi="Times New Roman" w:cs="Times New Roman"/>
              </w:rPr>
              <w:t xml:space="preserve">The fate of endemic birds of eastern Brazilian mountaintops in the face of climate change. </w:t>
            </w:r>
            <w:r>
              <w:rPr>
                <w:rFonts w:ascii="Times New Roman" w:eastAsia="Times New Roman" w:hAnsi="Times New Roman" w:cs="Times New Roman"/>
                <w:i/>
                <w:iCs/>
              </w:rPr>
              <w:t>PERSPECTIVES IN ECOLOGY AND CONSERVATION</w:t>
            </w:r>
            <w:r>
              <w:rPr>
                <w:rFonts w:ascii="Times New Roman" w:eastAsia="Times New Roman" w:hAnsi="Times New Roman" w:cs="Times New Roman"/>
              </w:rPr>
              <w:t xml:space="preserve">, </w:t>
            </w:r>
            <w:r>
              <w:rPr>
                <w:rFonts w:ascii="Times New Roman" w:eastAsia="Times New Roman" w:hAnsi="Times New Roman" w:cs="Times New Roman"/>
                <w:i/>
                <w:iCs/>
              </w:rPr>
              <w:t>18</w:t>
            </w:r>
            <w:r>
              <w:rPr>
                <w:rFonts w:ascii="Times New Roman" w:eastAsia="Times New Roman" w:hAnsi="Times New Roman" w:cs="Times New Roman"/>
              </w:rPr>
              <w:t>(4), 257–266. https://doi.org/10.1016/j.pecon.2020.10.005</w:t>
            </w:r>
          </w:p>
        </w:tc>
      </w:tr>
      <w:tr w:rsidR="00B03AB3" w14:paraId="221FD5D3" w14:textId="77777777" w:rsidTr="008F1F56">
        <w:tc>
          <w:tcPr>
            <w:tcW w:w="5000" w:type="pct"/>
          </w:tcPr>
          <w:p w14:paraId="5CF3D00C"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Hughes, F. M., Côrtes-Figueira, J. E., &amp; Drumond, M. A. (2019). </w:t>
            </w:r>
            <w:r>
              <w:rPr>
                <w:rFonts w:ascii="Times New Roman" w:eastAsia="Times New Roman" w:hAnsi="Times New Roman" w:cs="Times New Roman"/>
              </w:rPr>
              <w:t>Anticipating the response of the Brazilian giant earthworm (</w:t>
            </w:r>
            <w:r>
              <w:rPr>
                <w:rFonts w:ascii="Times New Roman" w:eastAsia="Times New Roman" w:hAnsi="Times New Roman" w:cs="Times New Roman"/>
                <w:i/>
                <w:iCs/>
              </w:rPr>
              <w:t>Rhinodrilus alatus</w:t>
            </w:r>
            <w:r>
              <w:rPr>
                <w:rFonts w:ascii="Times New Roman" w:eastAsia="Times New Roman" w:hAnsi="Times New Roman" w:cs="Times New Roman"/>
              </w:rPr>
              <w:t xml:space="preserve">) to climate change: implications for its traditional use. </w:t>
            </w:r>
            <w:r>
              <w:rPr>
                <w:rFonts w:ascii="Times New Roman" w:eastAsia="Times New Roman" w:hAnsi="Times New Roman" w:cs="Times New Roman"/>
                <w:i/>
                <w:iCs/>
              </w:rPr>
              <w:t>ANAIS DA ACADEMIA BRASILEIRA DE CIENCIAS</w:t>
            </w:r>
            <w:r>
              <w:rPr>
                <w:rFonts w:ascii="Times New Roman" w:eastAsia="Times New Roman" w:hAnsi="Times New Roman" w:cs="Times New Roman"/>
              </w:rPr>
              <w:t xml:space="preserve">, </w:t>
            </w:r>
            <w:r>
              <w:rPr>
                <w:rFonts w:ascii="Times New Roman" w:eastAsia="Times New Roman" w:hAnsi="Times New Roman" w:cs="Times New Roman"/>
                <w:i/>
                <w:iCs/>
              </w:rPr>
              <w:t>91</w:t>
            </w:r>
            <w:r>
              <w:rPr>
                <w:rFonts w:ascii="Times New Roman" w:eastAsia="Times New Roman" w:hAnsi="Times New Roman" w:cs="Times New Roman"/>
              </w:rPr>
              <w:t>(1). https://doi.org/10.1590/0001-3765201820180308</w:t>
            </w:r>
          </w:p>
        </w:tc>
      </w:tr>
      <w:tr w:rsidR="00B03AB3" w14:paraId="44D61168" w14:textId="77777777" w:rsidTr="008F1F56">
        <w:tc>
          <w:tcPr>
            <w:tcW w:w="5000" w:type="pct"/>
          </w:tcPr>
          <w:p w14:paraId="4D207891"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Inague, G. M., Zwiener, V. P., &amp; Marques, M. C. M. (2021). </w:t>
            </w:r>
            <w:r>
              <w:rPr>
                <w:rFonts w:ascii="Times New Roman" w:eastAsia="Times New Roman" w:hAnsi="Times New Roman" w:cs="Times New Roman"/>
              </w:rPr>
              <w:t xml:space="preserve">Climate change threatens the woody plant taxonomic and functional diversities of the </w:t>
            </w:r>
            <w:r>
              <w:rPr>
                <w:rFonts w:ascii="Times New Roman" w:eastAsia="Times New Roman" w:hAnsi="Times New Roman" w:cs="Times New Roman"/>
                <w:i/>
                <w:iCs/>
              </w:rPr>
              <w:t>Restinga</w:t>
            </w:r>
            <w:r>
              <w:rPr>
                <w:rFonts w:ascii="Times New Roman" w:eastAsia="Times New Roman" w:hAnsi="Times New Roman" w:cs="Times New Roman"/>
              </w:rPr>
              <w:t xml:space="preserve"> vegetation in Brazil. </w:t>
            </w:r>
            <w:r>
              <w:rPr>
                <w:rFonts w:ascii="Times New Roman" w:eastAsia="Times New Roman" w:hAnsi="Times New Roman" w:cs="Times New Roman"/>
                <w:i/>
                <w:iCs/>
              </w:rPr>
              <w:t>PERSPECTIVES IN ECOLOGY AND CONSERVATION</w:t>
            </w:r>
            <w:r>
              <w:rPr>
                <w:rFonts w:ascii="Times New Roman" w:eastAsia="Times New Roman" w:hAnsi="Times New Roman" w:cs="Times New Roman"/>
              </w:rPr>
              <w:t xml:space="preserve">, </w:t>
            </w:r>
            <w:r>
              <w:rPr>
                <w:rFonts w:ascii="Times New Roman" w:eastAsia="Times New Roman" w:hAnsi="Times New Roman" w:cs="Times New Roman"/>
                <w:i/>
                <w:iCs/>
              </w:rPr>
              <w:t>19</w:t>
            </w:r>
            <w:r>
              <w:rPr>
                <w:rFonts w:ascii="Times New Roman" w:eastAsia="Times New Roman" w:hAnsi="Times New Roman" w:cs="Times New Roman"/>
              </w:rPr>
              <w:t>(1), 53–60. https://doi.org/10.1016/j.pecon.2020.12.006</w:t>
            </w:r>
          </w:p>
        </w:tc>
      </w:tr>
      <w:tr w:rsidR="00B03AB3" w14:paraId="44779C7E" w14:textId="77777777" w:rsidTr="008F1F56">
        <w:tc>
          <w:tcPr>
            <w:tcW w:w="5000" w:type="pct"/>
          </w:tcPr>
          <w:p w14:paraId="6BC3BE9E"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Jiménez, L. M., Simoes, N., &amp; Yáñez-Arenas, C. (2022). </w:t>
            </w:r>
            <w:r>
              <w:rPr>
                <w:rFonts w:ascii="Times New Roman" w:eastAsia="Times New Roman" w:hAnsi="Times New Roman" w:cs="Times New Roman"/>
              </w:rPr>
              <w:t xml:space="preserve">Biodiversity and conservation of “solar-powered” sea slugs from the Western Atlantic under climate change </w:t>
            </w:r>
            <w:r>
              <w:rPr>
                <w:rFonts w:ascii="Times New Roman" w:eastAsia="Times New Roman" w:hAnsi="Times New Roman" w:cs="Times New Roman"/>
              </w:rPr>
              <w:lastRenderedPageBreak/>
              <w:t xml:space="preserve">scenarios. </w:t>
            </w:r>
            <w:r>
              <w:rPr>
                <w:rFonts w:ascii="Times New Roman" w:eastAsia="Times New Roman" w:hAnsi="Times New Roman" w:cs="Times New Roman"/>
                <w:i/>
                <w:iCs/>
              </w:rPr>
              <w:t>MARINE ECOLOGY-AN EVOLUTIONARY PERSPECTIVE</w:t>
            </w:r>
            <w:r>
              <w:rPr>
                <w:rFonts w:ascii="Times New Roman" w:eastAsia="Times New Roman" w:hAnsi="Times New Roman" w:cs="Times New Roman"/>
              </w:rPr>
              <w:t xml:space="preserve">, </w:t>
            </w:r>
            <w:r>
              <w:rPr>
                <w:rFonts w:ascii="Times New Roman" w:eastAsia="Times New Roman" w:hAnsi="Times New Roman" w:cs="Times New Roman"/>
                <w:i/>
                <w:iCs/>
              </w:rPr>
              <w:t>43</w:t>
            </w:r>
            <w:r>
              <w:rPr>
                <w:rFonts w:ascii="Times New Roman" w:eastAsia="Times New Roman" w:hAnsi="Times New Roman" w:cs="Times New Roman"/>
              </w:rPr>
              <w:t>(3). https://doi.org/10.1111/maec.12706</w:t>
            </w:r>
          </w:p>
        </w:tc>
      </w:tr>
      <w:tr w:rsidR="00B03AB3" w14:paraId="3A7D2280" w14:textId="77777777" w:rsidTr="008F1F56">
        <w:tc>
          <w:tcPr>
            <w:tcW w:w="5000" w:type="pct"/>
          </w:tcPr>
          <w:p w14:paraId="6070AE16"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lastRenderedPageBreak/>
              <w:t xml:space="preserve">Kelmo, F., Attrill, M. J., Gomes, R. C. T., &amp; Jones, M. B. (2004). El Nino induced local extinction of coral reef bryozoan species from Northern Bahia, Brazil. </w:t>
            </w:r>
            <w:r>
              <w:rPr>
                <w:rFonts w:ascii="Times New Roman" w:eastAsia="Times New Roman" w:hAnsi="Times New Roman" w:cs="Times New Roman"/>
                <w:i/>
                <w:iCs/>
              </w:rPr>
              <w:t>BIOLOGICAL CONSERVATION</w:t>
            </w:r>
            <w:r>
              <w:rPr>
                <w:rFonts w:ascii="Times New Roman" w:eastAsia="Times New Roman" w:hAnsi="Times New Roman" w:cs="Times New Roman"/>
              </w:rPr>
              <w:t xml:space="preserve">, </w:t>
            </w:r>
            <w:r>
              <w:rPr>
                <w:rFonts w:ascii="Times New Roman" w:eastAsia="Times New Roman" w:hAnsi="Times New Roman" w:cs="Times New Roman"/>
                <w:i/>
                <w:iCs/>
              </w:rPr>
              <w:t>118</w:t>
            </w:r>
            <w:r>
              <w:rPr>
                <w:rFonts w:ascii="Times New Roman" w:eastAsia="Times New Roman" w:hAnsi="Times New Roman" w:cs="Times New Roman"/>
              </w:rPr>
              <w:t>(5), 609–617. https://doi.org/10.1016/j.biocon.2003.10.010</w:t>
            </w:r>
          </w:p>
        </w:tc>
      </w:tr>
      <w:tr w:rsidR="00B03AB3" w14:paraId="465B6D2B" w14:textId="77777777" w:rsidTr="008F1F56">
        <w:tc>
          <w:tcPr>
            <w:tcW w:w="5000" w:type="pct"/>
          </w:tcPr>
          <w:p w14:paraId="4F9167BD"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Kelmo, F., Bell, J. J., Moraes, S. S., Gomes, R. D. T., Mariano-Neto, E., &amp; Attrill, M. J. (2014). </w:t>
            </w:r>
            <w:r>
              <w:rPr>
                <w:rFonts w:ascii="Times New Roman" w:eastAsia="Times New Roman" w:hAnsi="Times New Roman" w:cs="Times New Roman"/>
              </w:rPr>
              <w:t xml:space="preserve">Differential Responses of Emergent Intertidal Coral Reef Fauna to a Large-Scale El-Nino Southern Oscillation Event: Sponge and Coral Resilience.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9</w:t>
            </w:r>
            <w:r>
              <w:rPr>
                <w:rFonts w:ascii="Times New Roman" w:eastAsia="Times New Roman" w:hAnsi="Times New Roman" w:cs="Times New Roman"/>
              </w:rPr>
              <w:t>(3). https://doi.org/10.1371/journal.pone.0093209</w:t>
            </w:r>
          </w:p>
        </w:tc>
      </w:tr>
      <w:tr w:rsidR="00B03AB3" w14:paraId="2AEC1F5B" w14:textId="77777777" w:rsidTr="008F1F56">
        <w:tc>
          <w:tcPr>
            <w:tcW w:w="5000" w:type="pct"/>
          </w:tcPr>
          <w:p w14:paraId="5765733D"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Köhler, M., Esser, L. F., Font, F., Souza-Chies, T. T., &amp; Majure, L. C. (2020). Beyond endemism, expanding conservation efforts: What can new distribution records reveal? </w:t>
            </w:r>
            <w:r>
              <w:rPr>
                <w:rFonts w:ascii="Times New Roman" w:eastAsia="Times New Roman" w:hAnsi="Times New Roman" w:cs="Times New Roman"/>
                <w:i/>
                <w:iCs/>
              </w:rPr>
              <w:t>PERSPECTIVES IN PLANT ECOLOGY EVOLUTION AND SYSTEMATICS</w:t>
            </w:r>
            <w:r>
              <w:rPr>
                <w:rFonts w:ascii="Times New Roman" w:eastAsia="Times New Roman" w:hAnsi="Times New Roman" w:cs="Times New Roman"/>
              </w:rPr>
              <w:t xml:space="preserve">, </w:t>
            </w:r>
            <w:r>
              <w:rPr>
                <w:rFonts w:ascii="Times New Roman" w:eastAsia="Times New Roman" w:hAnsi="Times New Roman" w:cs="Times New Roman"/>
                <w:i/>
                <w:iCs/>
              </w:rPr>
              <w:t>45</w:t>
            </w:r>
            <w:r>
              <w:rPr>
                <w:rFonts w:ascii="Times New Roman" w:eastAsia="Times New Roman" w:hAnsi="Times New Roman" w:cs="Times New Roman"/>
              </w:rPr>
              <w:t>. https://doi.org/10.1016/j.ppees.2020.125543</w:t>
            </w:r>
          </w:p>
        </w:tc>
      </w:tr>
      <w:tr w:rsidR="00B03AB3" w14:paraId="0D540BB1" w14:textId="77777777" w:rsidTr="008F1F56">
        <w:tc>
          <w:tcPr>
            <w:tcW w:w="5000" w:type="pct"/>
          </w:tcPr>
          <w:p w14:paraId="16EAECB3"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Lapola, D. M., da Silva, J. M. C., Braga, D. R., Carpigiani, L., Ogawa, F., Torres, R. R., Barbosa, L. C. F., Ometto, J., &amp; Joly, C. A. (2020). </w:t>
            </w:r>
            <w:r>
              <w:rPr>
                <w:rFonts w:ascii="Times New Roman" w:eastAsia="Times New Roman" w:hAnsi="Times New Roman" w:cs="Times New Roman"/>
              </w:rPr>
              <w:t xml:space="preserve">A climate-change vulnerability and adaptation assessment for Brazil’s protected areas. </w:t>
            </w:r>
            <w:r>
              <w:rPr>
                <w:rFonts w:ascii="Times New Roman" w:eastAsia="Times New Roman" w:hAnsi="Times New Roman" w:cs="Times New Roman"/>
                <w:i/>
                <w:iCs/>
              </w:rPr>
              <w:t>CONSERVATION BIOLOGY</w:t>
            </w:r>
            <w:r>
              <w:rPr>
                <w:rFonts w:ascii="Times New Roman" w:eastAsia="Times New Roman" w:hAnsi="Times New Roman" w:cs="Times New Roman"/>
              </w:rPr>
              <w:t xml:space="preserve">, </w:t>
            </w:r>
            <w:r>
              <w:rPr>
                <w:rFonts w:ascii="Times New Roman" w:eastAsia="Times New Roman" w:hAnsi="Times New Roman" w:cs="Times New Roman"/>
                <w:i/>
                <w:iCs/>
              </w:rPr>
              <w:t>34</w:t>
            </w:r>
            <w:r>
              <w:rPr>
                <w:rFonts w:ascii="Times New Roman" w:eastAsia="Times New Roman" w:hAnsi="Times New Roman" w:cs="Times New Roman"/>
              </w:rPr>
              <w:t>(2), 427–437. https://doi.org/10.1111/cobi.13405</w:t>
            </w:r>
          </w:p>
        </w:tc>
      </w:tr>
      <w:tr w:rsidR="00B03AB3" w14:paraId="0BDAA727" w14:textId="77777777" w:rsidTr="008F1F56">
        <w:tc>
          <w:tcPr>
            <w:tcW w:w="5000" w:type="pct"/>
          </w:tcPr>
          <w:p w14:paraId="731C40CB"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Lawler, J. J., Ruesch, A. S., Olden, J. D., &amp; McRae, B. H. (2013). Projected climate-driven faunal movement routes. </w:t>
            </w:r>
            <w:r>
              <w:rPr>
                <w:rFonts w:ascii="Times New Roman" w:eastAsia="Times New Roman" w:hAnsi="Times New Roman" w:cs="Times New Roman"/>
                <w:i/>
                <w:iCs/>
              </w:rPr>
              <w:t>ECOLOGY LETTERS</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(8), 1014–1022. https://doi.org/10.1111/ele.12132</w:t>
            </w:r>
          </w:p>
        </w:tc>
      </w:tr>
      <w:tr w:rsidR="00B03AB3" w14:paraId="7A642F70" w14:textId="77777777" w:rsidTr="008F1F56">
        <w:tc>
          <w:tcPr>
            <w:tcW w:w="5000" w:type="pct"/>
          </w:tcPr>
          <w:p w14:paraId="76BE3C0B"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Leal, A., Benchimol, M., Costa, H. C. M., Faria, D., &amp; Cazetta, E. (2022). </w:t>
            </w:r>
            <w:r>
              <w:rPr>
                <w:rFonts w:ascii="Times New Roman" w:eastAsia="Times New Roman" w:hAnsi="Times New Roman" w:cs="Times New Roman"/>
              </w:rPr>
              <w:t xml:space="preserve">Impacts of landscape-scale forest loss and a dry event on the demographic structure of the endangered palm </w:t>
            </w:r>
            <w:r>
              <w:rPr>
                <w:rFonts w:ascii="Times New Roman" w:eastAsia="Times New Roman" w:hAnsi="Times New Roman" w:cs="Times New Roman"/>
                <w:i/>
                <w:iCs/>
              </w:rPr>
              <w:t>Euterpe edulis</w:t>
            </w:r>
            <w:r>
              <w:rPr>
                <w:rFonts w:ascii="Times New Roman" w:eastAsia="Times New Roman" w:hAnsi="Times New Roman" w:cs="Times New Roman"/>
              </w:rPr>
              <w:t xml:space="preserve"> Mart. in the Atlantic Forest. </w:t>
            </w:r>
            <w:r>
              <w:rPr>
                <w:rFonts w:ascii="Times New Roman" w:eastAsia="Times New Roman" w:hAnsi="Times New Roman" w:cs="Times New Roman"/>
                <w:i/>
                <w:iCs/>
              </w:rPr>
              <w:t>FRONTIERS IN FORESTS AND GLOBAL CHANGE</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 https://doi.org/10.3389/ffgc.2022.909901</w:t>
            </w:r>
          </w:p>
        </w:tc>
      </w:tr>
      <w:tr w:rsidR="00B03AB3" w14:paraId="19BBEA6F" w14:textId="77777777" w:rsidTr="008F1F56">
        <w:tc>
          <w:tcPr>
            <w:tcW w:w="5000" w:type="pct"/>
          </w:tcPr>
          <w:p w14:paraId="515D8C46"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Leao, T. C. C., Reinhardt, J. R., Lughadha, E. N., &amp; Reich, P. B. (2021). </w:t>
            </w:r>
            <w:r>
              <w:rPr>
                <w:rFonts w:ascii="Times New Roman" w:eastAsia="Times New Roman" w:hAnsi="Times New Roman" w:cs="Times New Roman"/>
              </w:rPr>
              <w:t xml:space="preserve">Projected impacts of climate and land use changes on the habitat of Atlantic Forest plants in Brazil. </w:t>
            </w:r>
            <w:r>
              <w:rPr>
                <w:rFonts w:ascii="Times New Roman" w:eastAsia="Times New Roman" w:hAnsi="Times New Roman" w:cs="Times New Roman"/>
                <w:i/>
                <w:iCs/>
              </w:rPr>
              <w:t>GLOBAL ECOLOGY AND BIOGEOGRAPHY</w:t>
            </w:r>
            <w:r>
              <w:rPr>
                <w:rFonts w:ascii="Times New Roman" w:eastAsia="Times New Roman" w:hAnsi="Times New Roman" w:cs="Times New Roman"/>
              </w:rPr>
              <w:t xml:space="preserve">, </w:t>
            </w:r>
            <w:r>
              <w:rPr>
                <w:rFonts w:ascii="Times New Roman" w:eastAsia="Times New Roman" w:hAnsi="Times New Roman" w:cs="Times New Roman"/>
                <w:i/>
                <w:iCs/>
              </w:rPr>
              <w:t>30</w:t>
            </w:r>
            <w:r>
              <w:rPr>
                <w:rFonts w:ascii="Times New Roman" w:eastAsia="Times New Roman" w:hAnsi="Times New Roman" w:cs="Times New Roman"/>
              </w:rPr>
              <w:t>(10), 2016–2028. https://doi.org/10.1111/geb.13365</w:t>
            </w:r>
          </w:p>
        </w:tc>
      </w:tr>
      <w:tr w:rsidR="00B03AB3" w14:paraId="34FFD498" w14:textId="77777777" w:rsidTr="008F1F56">
        <w:tc>
          <w:tcPr>
            <w:tcW w:w="5000" w:type="pct"/>
          </w:tcPr>
          <w:p w14:paraId="1409046F"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Lemes, L., de Andrade, A. F. A., &amp; Loyola, R. (2020). </w:t>
            </w:r>
            <w:r>
              <w:rPr>
                <w:rFonts w:ascii="Times New Roman" w:eastAsia="Times New Roman" w:hAnsi="Times New Roman" w:cs="Times New Roman"/>
              </w:rPr>
              <w:t xml:space="preserve">Spatial priorities for agricultural development in the Brazilian Cerrado: may economy and conservation coexist? </w:t>
            </w:r>
            <w:r>
              <w:rPr>
                <w:rFonts w:ascii="Times New Roman" w:eastAsia="Times New Roman" w:hAnsi="Times New Roman" w:cs="Times New Roman"/>
                <w:i/>
                <w:iCs/>
              </w:rPr>
              <w:t>BIODIVERSITY AND CONSERVATION</w:t>
            </w:r>
            <w:r>
              <w:rPr>
                <w:rFonts w:ascii="Times New Roman" w:eastAsia="Times New Roman" w:hAnsi="Times New Roman" w:cs="Times New Roman"/>
              </w:rPr>
              <w:t xml:space="preserve">, </w:t>
            </w:r>
            <w:r>
              <w:rPr>
                <w:rFonts w:ascii="Times New Roman" w:eastAsia="Times New Roman" w:hAnsi="Times New Roman" w:cs="Times New Roman"/>
                <w:i/>
                <w:iCs/>
              </w:rPr>
              <w:t>29</w:t>
            </w:r>
            <w:r>
              <w:rPr>
                <w:rFonts w:ascii="Times New Roman" w:eastAsia="Times New Roman" w:hAnsi="Times New Roman" w:cs="Times New Roman"/>
              </w:rPr>
              <w:t>(5), 1683–1700. https://doi.org/10.1007/s10531-019-01719-6</w:t>
            </w:r>
          </w:p>
        </w:tc>
      </w:tr>
      <w:tr w:rsidR="00B03AB3" w14:paraId="4E02F928" w14:textId="77777777" w:rsidTr="008F1F56">
        <w:tc>
          <w:tcPr>
            <w:tcW w:w="5000" w:type="pct"/>
          </w:tcPr>
          <w:p w14:paraId="6296A3E3"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Lima, V. P., de Lima, R. A. F., Joner, F., Siddique, I., Raes, N., &amp; Ter Steege, H. (2022). </w:t>
            </w:r>
            <w:r>
              <w:rPr>
                <w:rFonts w:ascii="Times New Roman" w:eastAsia="Times New Roman" w:hAnsi="Times New Roman" w:cs="Times New Roman"/>
              </w:rPr>
              <w:t xml:space="preserve">Climate change threatens native potential agroforestry plant species in Brazil. </w:t>
            </w:r>
            <w:r>
              <w:rPr>
                <w:rFonts w:ascii="Times New Roman" w:eastAsia="Times New Roman" w:hAnsi="Times New Roman" w:cs="Times New Roman"/>
                <w:i/>
                <w:iCs/>
              </w:rPr>
              <w:t>SCIENTIFIC REPORTS</w:t>
            </w:r>
            <w:r>
              <w:rPr>
                <w:rFonts w:ascii="Times New Roman" w:eastAsia="Times New Roman" w:hAnsi="Times New Roman" w:cs="Times New Roman"/>
              </w:rPr>
              <w:t xml:space="preserve">, </w:t>
            </w:r>
            <w:r>
              <w:rPr>
                <w:rFonts w:ascii="Times New Roman" w:eastAsia="Times New Roman" w:hAnsi="Times New Roman" w:cs="Times New Roman"/>
                <w:i/>
                <w:iCs/>
              </w:rPr>
              <w:t>12</w:t>
            </w:r>
            <w:r>
              <w:rPr>
                <w:rFonts w:ascii="Times New Roman" w:eastAsia="Times New Roman" w:hAnsi="Times New Roman" w:cs="Times New Roman"/>
              </w:rPr>
              <w:t>(1). https://doi.org/10.1038/s41598-022-06234-3</w:t>
            </w:r>
          </w:p>
        </w:tc>
      </w:tr>
      <w:tr w:rsidR="00B03AB3" w14:paraId="07F334D3" w14:textId="77777777" w:rsidTr="008F1F56">
        <w:tc>
          <w:tcPr>
            <w:tcW w:w="5000" w:type="pct"/>
          </w:tcPr>
          <w:p w14:paraId="7E63D154"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Lima, V. P., de Lima, R. F., Joner, F., D’Orangeville</w:t>
            </w:r>
            <w:r w:rsidRPr="00D00D00">
              <w:rPr>
                <w:rFonts w:ascii="Times New Roman" w:eastAsia="Times New Roman" w:hAnsi="Times New Roman" w:cs="Times New Roman"/>
                <w:lang w:val="pt-BR"/>
              </w:rPr>
              <w:t xml:space="preserve">, L., Raes, N., Siddique, I., &amp; ter Steege, H. (2023). </w:t>
            </w:r>
            <w:r>
              <w:rPr>
                <w:rFonts w:ascii="Times New Roman" w:eastAsia="Times New Roman" w:hAnsi="Times New Roman" w:cs="Times New Roman"/>
              </w:rPr>
              <w:t xml:space="preserve">Integrating climate change into agroforestry conservation: A case study on native plant species in the Brazilian Atlantic Forest. </w:t>
            </w:r>
            <w:r>
              <w:rPr>
                <w:rFonts w:ascii="Times New Roman" w:eastAsia="Times New Roman" w:hAnsi="Times New Roman" w:cs="Times New Roman"/>
                <w:i/>
                <w:iCs/>
              </w:rPr>
              <w:t>JOURNAL OF APPLIED ECOLOGY</w:t>
            </w:r>
            <w:r>
              <w:rPr>
                <w:rFonts w:ascii="Times New Roman" w:eastAsia="Times New Roman" w:hAnsi="Times New Roman" w:cs="Times New Roman"/>
              </w:rPr>
              <w:t xml:space="preserve">, </w:t>
            </w:r>
            <w:r>
              <w:rPr>
                <w:rFonts w:ascii="Times New Roman" w:eastAsia="Times New Roman" w:hAnsi="Times New Roman" w:cs="Times New Roman"/>
                <w:i/>
                <w:iCs/>
              </w:rPr>
              <w:t>60</w:t>
            </w:r>
            <w:r>
              <w:rPr>
                <w:rFonts w:ascii="Times New Roman" w:eastAsia="Times New Roman" w:hAnsi="Times New Roman" w:cs="Times New Roman"/>
              </w:rPr>
              <w:t>(9), 1977–1994. https://doi.org/10.1111/1365-2664.14464</w:t>
            </w:r>
          </w:p>
        </w:tc>
      </w:tr>
      <w:tr w:rsidR="00B03AB3" w14:paraId="35DF2CA9" w14:textId="77777777" w:rsidTr="008F1F56">
        <w:tc>
          <w:tcPr>
            <w:tcW w:w="5000" w:type="pct"/>
          </w:tcPr>
          <w:p w14:paraId="17DFAC7A"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Lima, V. P., &amp; Marchioro, C. A. (2021). </w:t>
            </w:r>
            <w:r>
              <w:rPr>
                <w:rFonts w:ascii="Times New Roman" w:eastAsia="Times New Roman" w:hAnsi="Times New Roman" w:cs="Times New Roman"/>
              </w:rPr>
              <w:t xml:space="preserve">Brazilian stingless bees are threatened by habitat conversion and climate change. </w:t>
            </w:r>
            <w:r>
              <w:rPr>
                <w:rFonts w:ascii="Times New Roman" w:eastAsia="Times New Roman" w:hAnsi="Times New Roman" w:cs="Times New Roman"/>
                <w:i/>
                <w:iCs/>
              </w:rPr>
              <w:t>REGIONAL ENVIRONMENTAL CHANGE</w:t>
            </w:r>
            <w:r>
              <w:rPr>
                <w:rFonts w:ascii="Times New Roman" w:eastAsia="Times New Roman" w:hAnsi="Times New Roman" w:cs="Times New Roman"/>
              </w:rPr>
              <w:t xml:space="preserve">, </w:t>
            </w:r>
            <w:r>
              <w:rPr>
                <w:rFonts w:ascii="Times New Roman" w:eastAsia="Times New Roman" w:hAnsi="Times New Roman" w:cs="Times New Roman"/>
                <w:i/>
                <w:iCs/>
              </w:rPr>
              <w:t>21</w:t>
            </w:r>
            <w:r>
              <w:rPr>
                <w:rFonts w:ascii="Times New Roman" w:eastAsia="Times New Roman" w:hAnsi="Times New Roman" w:cs="Times New Roman"/>
              </w:rPr>
              <w:t>(1). https://doi.org/10.1007/s10113-021-01751-9</w:t>
            </w:r>
          </w:p>
        </w:tc>
      </w:tr>
      <w:tr w:rsidR="00B03AB3" w14:paraId="6988CFC3" w14:textId="77777777" w:rsidTr="008F1F56">
        <w:tc>
          <w:tcPr>
            <w:tcW w:w="5000" w:type="pct"/>
          </w:tcPr>
          <w:p w14:paraId="147BAE7C"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Lira, A. F. D., Badillo-Montaño, R., Lira-Noriega, A., &amp; de Albuquerque, C. M. R. (2020). </w:t>
            </w:r>
            <w:r>
              <w:rPr>
                <w:rFonts w:ascii="Times New Roman" w:eastAsia="Times New Roman" w:hAnsi="Times New Roman" w:cs="Times New Roman"/>
              </w:rPr>
              <w:t xml:space="preserve">Potential distribution patterns of scorpions in north-eastern Brazil under </w:t>
            </w:r>
            <w:r>
              <w:rPr>
                <w:rFonts w:ascii="Times New Roman" w:eastAsia="Times New Roman" w:hAnsi="Times New Roman" w:cs="Times New Roman"/>
              </w:rPr>
              <w:lastRenderedPageBreak/>
              <w:t xml:space="preserve">scenarios of future climate change. </w:t>
            </w:r>
            <w:r>
              <w:rPr>
                <w:rFonts w:ascii="Times New Roman" w:eastAsia="Times New Roman" w:hAnsi="Times New Roman" w:cs="Times New Roman"/>
                <w:i/>
                <w:iCs/>
              </w:rPr>
              <w:t>AUSTRAL ECOLOGY</w:t>
            </w:r>
            <w:r>
              <w:rPr>
                <w:rFonts w:ascii="Times New Roman" w:eastAsia="Times New Roman" w:hAnsi="Times New Roman" w:cs="Times New Roman"/>
              </w:rPr>
              <w:t xml:space="preserve">, </w:t>
            </w:r>
            <w:r>
              <w:rPr>
                <w:rFonts w:ascii="Times New Roman" w:eastAsia="Times New Roman" w:hAnsi="Times New Roman" w:cs="Times New Roman"/>
                <w:i/>
                <w:iCs/>
              </w:rPr>
              <w:t>45</w:t>
            </w:r>
            <w:r>
              <w:rPr>
                <w:rFonts w:ascii="Times New Roman" w:eastAsia="Times New Roman" w:hAnsi="Times New Roman" w:cs="Times New Roman"/>
              </w:rPr>
              <w:t>(2), 215–228. https://doi.org/10.1111/aec.12849</w:t>
            </w:r>
          </w:p>
        </w:tc>
      </w:tr>
      <w:tr w:rsidR="00B03AB3" w14:paraId="0A6B4D05" w14:textId="77777777" w:rsidTr="008F1F56">
        <w:tc>
          <w:tcPr>
            <w:tcW w:w="5000" w:type="pct"/>
          </w:tcPr>
          <w:p w14:paraId="049979CB"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lastRenderedPageBreak/>
              <w:t xml:space="preserve">Loiselle, B. A., Graham, C. H., Goerck, J. M., &amp; Ribeiro, M. C. (2010). </w:t>
            </w:r>
            <w:r>
              <w:rPr>
                <w:rFonts w:ascii="Times New Roman" w:eastAsia="Times New Roman" w:hAnsi="Times New Roman" w:cs="Times New Roman"/>
              </w:rPr>
              <w:t xml:space="preserve">Assessing the impact of deforestation and climate change on the range size and environmental niche of bird species in the Atlantic forests, Brazil. </w:t>
            </w:r>
            <w:r>
              <w:rPr>
                <w:rFonts w:ascii="Times New Roman" w:eastAsia="Times New Roman" w:hAnsi="Times New Roman" w:cs="Times New Roman"/>
                <w:i/>
                <w:iCs/>
              </w:rPr>
              <w:t>JOURNAL OF BIOGEOGRAPHY</w:t>
            </w:r>
            <w:r>
              <w:rPr>
                <w:rFonts w:ascii="Times New Roman" w:eastAsia="Times New Roman" w:hAnsi="Times New Roman" w:cs="Times New Roman"/>
              </w:rPr>
              <w:t xml:space="preserve">, </w:t>
            </w:r>
            <w:r>
              <w:rPr>
                <w:rFonts w:ascii="Times New Roman" w:eastAsia="Times New Roman" w:hAnsi="Times New Roman" w:cs="Times New Roman"/>
                <w:i/>
                <w:iCs/>
              </w:rPr>
              <w:t>37</w:t>
            </w:r>
            <w:r>
              <w:rPr>
                <w:rFonts w:ascii="Times New Roman" w:eastAsia="Times New Roman" w:hAnsi="Times New Roman" w:cs="Times New Roman"/>
              </w:rPr>
              <w:t>(7), 1288–1301. https://doi.org/10.1111/j.1365-2699.2010.02285.x</w:t>
            </w:r>
          </w:p>
        </w:tc>
      </w:tr>
      <w:tr w:rsidR="00B03AB3" w14:paraId="11A28FA0" w14:textId="77777777" w:rsidTr="008F1F56">
        <w:tc>
          <w:tcPr>
            <w:tcW w:w="5000" w:type="pct"/>
          </w:tcPr>
          <w:p w14:paraId="08FD9459"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Loyola, R. D., Lemes, P., Brum, F. T., Provete, D. B., &amp; Duarte, L. D. S. (2014). </w:t>
            </w:r>
            <w:r>
              <w:rPr>
                <w:rFonts w:ascii="Times New Roman" w:eastAsia="Times New Roman" w:hAnsi="Times New Roman" w:cs="Times New Roman"/>
              </w:rPr>
              <w:t xml:space="preserve">Clade-specific consequences of climate change to amphibians in Atlantic Forest protected areas. </w:t>
            </w:r>
            <w:r>
              <w:rPr>
                <w:rFonts w:ascii="Times New Roman" w:eastAsia="Times New Roman" w:hAnsi="Times New Roman" w:cs="Times New Roman"/>
                <w:i/>
                <w:iCs/>
              </w:rPr>
              <w:t>ECOGRAPHY</w:t>
            </w:r>
            <w:r>
              <w:rPr>
                <w:rFonts w:ascii="Times New Roman" w:eastAsia="Times New Roman" w:hAnsi="Times New Roman" w:cs="Times New Roman"/>
              </w:rPr>
              <w:t xml:space="preserve">, </w:t>
            </w:r>
            <w:r>
              <w:rPr>
                <w:rFonts w:ascii="Times New Roman" w:eastAsia="Times New Roman" w:hAnsi="Times New Roman" w:cs="Times New Roman"/>
                <w:i/>
                <w:iCs/>
              </w:rPr>
              <w:t>37</w:t>
            </w:r>
            <w:r>
              <w:rPr>
                <w:rFonts w:ascii="Times New Roman" w:eastAsia="Times New Roman" w:hAnsi="Times New Roman" w:cs="Times New Roman"/>
              </w:rPr>
              <w:t>(1), 65–72. https://doi.org/10.1111/j.1600-0587.2013.00396.x</w:t>
            </w:r>
          </w:p>
        </w:tc>
      </w:tr>
      <w:tr w:rsidR="00B03AB3" w14:paraId="592D4A9C" w14:textId="77777777" w:rsidTr="008F1F56">
        <w:tc>
          <w:tcPr>
            <w:tcW w:w="5000" w:type="pct"/>
          </w:tcPr>
          <w:p w14:paraId="28C86A1D"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Loyola, R. D., Lemes, P., Faleiro, F. V, Trindade, J., &amp; Machado, R. B. (2012). </w:t>
            </w:r>
            <w:r>
              <w:rPr>
                <w:rFonts w:ascii="Times New Roman" w:eastAsia="Times New Roman" w:hAnsi="Times New Roman" w:cs="Times New Roman"/>
              </w:rPr>
              <w:t xml:space="preserve">Severe Loss of Suitable Climatic Conditions for Marsupial Species in Brazil: Challenges and Opportunities for Conservation.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7</w:t>
            </w:r>
            <w:r>
              <w:rPr>
                <w:rFonts w:ascii="Times New Roman" w:eastAsia="Times New Roman" w:hAnsi="Times New Roman" w:cs="Times New Roman"/>
              </w:rPr>
              <w:t>(9). https://doi.org/10.1371/journal.pone.0046257</w:t>
            </w:r>
          </w:p>
        </w:tc>
      </w:tr>
      <w:tr w:rsidR="00B03AB3" w14:paraId="662DF1C5" w14:textId="77777777" w:rsidTr="008F1F56">
        <w:tc>
          <w:tcPr>
            <w:tcW w:w="5000" w:type="pct"/>
          </w:tcPr>
          <w:p w14:paraId="14F5670C"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Machado, L. P. C., Caetano, G. H. D., Cavalcante, V. H. L., Miles, D. B., &amp; Colli, G. R. (2023). </w:t>
            </w:r>
            <w:r>
              <w:rPr>
                <w:rFonts w:ascii="Times New Roman" w:eastAsia="Times New Roman" w:hAnsi="Times New Roman" w:cs="Times New Roman"/>
              </w:rPr>
              <w:t xml:space="preserve">Climate change shrinks environmental suitability for a viviparous Neotropical skink. </w:t>
            </w:r>
            <w:r>
              <w:rPr>
                <w:rFonts w:ascii="Times New Roman" w:eastAsia="Times New Roman" w:hAnsi="Times New Roman" w:cs="Times New Roman"/>
                <w:i/>
                <w:iCs/>
              </w:rPr>
              <w:t>CONSERVATION SCIENCE AND PRACTICE</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(4). https://doi.org/10.1111/csp2.12895</w:t>
            </w:r>
          </w:p>
        </w:tc>
      </w:tr>
      <w:tr w:rsidR="00B03AB3" w14:paraId="44120F7B" w14:textId="77777777" w:rsidTr="008F1F56">
        <w:tc>
          <w:tcPr>
            <w:tcW w:w="5000" w:type="pct"/>
          </w:tcPr>
          <w:p w14:paraId="39731BFC"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Machado, N., &amp; Loyola, R. D. (2013). </w:t>
            </w:r>
            <w:r>
              <w:rPr>
                <w:rFonts w:ascii="Times New Roman" w:eastAsia="Times New Roman" w:hAnsi="Times New Roman" w:cs="Times New Roman"/>
              </w:rPr>
              <w:t xml:space="preserve">A Comprehensive Quantitative Assessment of Bird Extinction Risk in Brazil. </w:t>
            </w:r>
            <w:r>
              <w:rPr>
                <w:rFonts w:ascii="Times New Roman" w:eastAsia="Times New Roman" w:hAnsi="Times New Roman" w:cs="Times New Roman"/>
                <w:i/>
                <w:iCs/>
              </w:rPr>
              <w:t>PLOS ONE</w:t>
            </w:r>
            <w:r>
              <w:rPr>
                <w:rFonts w:ascii="Times New Roman" w:eastAsia="Times New Roman" w:hAnsi="Times New Roman" w:cs="Times New Roman"/>
              </w:rPr>
              <w:t xml:space="preserve">, </w:t>
            </w:r>
            <w:r>
              <w:rPr>
                <w:rFonts w:ascii="Times New Roman" w:eastAsia="Times New Roman" w:hAnsi="Times New Roman" w:cs="Times New Roman"/>
                <w:i/>
                <w:iCs/>
              </w:rPr>
              <w:t>8</w:t>
            </w:r>
            <w:r>
              <w:rPr>
                <w:rFonts w:ascii="Times New Roman" w:eastAsia="Times New Roman" w:hAnsi="Times New Roman" w:cs="Times New Roman"/>
              </w:rPr>
              <w:t>(8). https://doi.org/10.1371/journal.pone.0072283</w:t>
            </w:r>
          </w:p>
        </w:tc>
      </w:tr>
      <w:tr w:rsidR="00B03AB3" w14:paraId="0CAA7044" w14:textId="77777777" w:rsidTr="008F1F56">
        <w:tc>
          <w:tcPr>
            <w:tcW w:w="5000" w:type="pct"/>
          </w:tcPr>
          <w:p w14:paraId="368A0C19"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Maciel, E. A., Martins, V. F., Torres, R. R., &amp; Martins, F. R. (2023). </w:t>
            </w:r>
            <w:r>
              <w:rPr>
                <w:rFonts w:ascii="Times New Roman" w:eastAsia="Times New Roman" w:hAnsi="Times New Roman" w:cs="Times New Roman"/>
              </w:rPr>
              <w:t xml:space="preserve">How do intrinsic and extrinsic causes interact in the extinction vulnerability of South American savanna shrub and tree species? </w:t>
            </w:r>
            <w:r>
              <w:rPr>
                <w:rFonts w:ascii="Times New Roman" w:eastAsia="Times New Roman" w:hAnsi="Times New Roman" w:cs="Times New Roman"/>
                <w:i/>
                <w:iCs/>
              </w:rPr>
              <w:t>JOURNAL OF ENVIRONMENTAL MANAGEMENT</w:t>
            </w:r>
            <w:r>
              <w:rPr>
                <w:rFonts w:ascii="Times New Roman" w:eastAsia="Times New Roman" w:hAnsi="Times New Roman" w:cs="Times New Roman"/>
              </w:rPr>
              <w:t xml:space="preserve">, </w:t>
            </w:r>
            <w:r>
              <w:rPr>
                <w:rFonts w:ascii="Times New Roman" w:eastAsia="Times New Roman" w:hAnsi="Times New Roman" w:cs="Times New Roman"/>
                <w:i/>
                <w:iCs/>
              </w:rPr>
              <w:t>343</w:t>
            </w:r>
            <w:r>
              <w:rPr>
                <w:rFonts w:ascii="Times New Roman" w:eastAsia="Times New Roman" w:hAnsi="Times New Roman" w:cs="Times New Roman"/>
              </w:rPr>
              <w:t>. https://doi.org/10.1016/j.jenvman.2023.118256</w:t>
            </w:r>
          </w:p>
        </w:tc>
      </w:tr>
      <w:tr w:rsidR="00B03AB3" w14:paraId="7F965C4E" w14:textId="77777777" w:rsidTr="008F1F56">
        <w:tc>
          <w:tcPr>
            <w:tcW w:w="5000" w:type="pct"/>
          </w:tcPr>
          <w:p w14:paraId="17AD9B52"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Maciel, E. A., Oliveira, A. T., Sobral-Souza, T. S., Marimon, B. S., Cupertino-Eisenlohr, M. A., José-Silva, L., &amp; Eisenlohr, P. V. (2021). </w:t>
            </w:r>
            <w:r>
              <w:rPr>
                <w:rFonts w:ascii="Times New Roman" w:eastAsia="Times New Roman" w:hAnsi="Times New Roman" w:cs="Times New Roman"/>
              </w:rPr>
              <w:t xml:space="preserve">Climate change forecasts suggest that the conservation area network in the Cerrado-Amazon transition zone needs to be expanded. </w:t>
            </w:r>
            <w:r>
              <w:rPr>
                <w:rFonts w:ascii="Times New Roman" w:eastAsia="Times New Roman" w:hAnsi="Times New Roman" w:cs="Times New Roman"/>
                <w:i/>
                <w:iCs/>
              </w:rPr>
              <w:t>ACTA OECOLOGICA-INTERNATIONAL JOURNAL OF ECOLOGY</w:t>
            </w:r>
            <w:r>
              <w:rPr>
                <w:rFonts w:ascii="Times New Roman" w:eastAsia="Times New Roman" w:hAnsi="Times New Roman" w:cs="Times New Roman"/>
              </w:rPr>
              <w:t xml:space="preserve">, </w:t>
            </w:r>
            <w:r>
              <w:rPr>
                <w:rFonts w:ascii="Times New Roman" w:eastAsia="Times New Roman" w:hAnsi="Times New Roman" w:cs="Times New Roman"/>
                <w:i/>
                <w:iCs/>
              </w:rPr>
              <w:t>112</w:t>
            </w:r>
            <w:r>
              <w:rPr>
                <w:rFonts w:ascii="Times New Roman" w:eastAsia="Times New Roman" w:hAnsi="Times New Roman" w:cs="Times New Roman"/>
              </w:rPr>
              <w:t>. https://doi.org/10.1016/j.actao.2021.103764</w:t>
            </w:r>
          </w:p>
        </w:tc>
      </w:tr>
      <w:tr w:rsidR="00B03AB3" w14:paraId="12D23920" w14:textId="77777777" w:rsidTr="008F1F56">
        <w:tc>
          <w:tcPr>
            <w:tcW w:w="5000" w:type="pct"/>
          </w:tcPr>
          <w:p w14:paraId="0F141B6F"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Magris</w:t>
            </w:r>
            <w:r w:rsidRPr="00D00D00">
              <w:rPr>
                <w:rFonts w:ascii="Times New Roman" w:eastAsia="Times New Roman" w:hAnsi="Times New Roman" w:cs="Times New Roman"/>
                <w:lang w:val="pt-BR"/>
              </w:rPr>
              <w:t xml:space="preserve">, R. A., Costa, M. D. P., Ferreira, C. E. L., Vilar, C. C., Joyeux, J. C., Creed, J. C., Copertino, M. S., Horta, P. A., Sumida, P. Y. G., Francini, R. B., &amp; Floeter, S. R. (2021). </w:t>
            </w:r>
            <w:r>
              <w:rPr>
                <w:rFonts w:ascii="Times New Roman" w:eastAsia="Times New Roman" w:hAnsi="Times New Roman" w:cs="Times New Roman"/>
              </w:rPr>
              <w:t xml:space="preserve">A blueprint for securing Brazil’s marine biodiversity and supporting the achievement of global conservation goals. </w:t>
            </w:r>
            <w:r>
              <w:rPr>
                <w:rFonts w:ascii="Times New Roman" w:eastAsia="Times New Roman" w:hAnsi="Times New Roman" w:cs="Times New Roman"/>
                <w:i/>
                <w:iCs/>
              </w:rPr>
              <w:t>DIVERSITY AND DISTRIBUTIONS</w:t>
            </w:r>
            <w:r>
              <w:rPr>
                <w:rFonts w:ascii="Times New Roman" w:eastAsia="Times New Roman" w:hAnsi="Times New Roman" w:cs="Times New Roman"/>
              </w:rPr>
              <w:t xml:space="preserve">, </w:t>
            </w:r>
            <w:r>
              <w:rPr>
                <w:rFonts w:ascii="Times New Roman" w:eastAsia="Times New Roman" w:hAnsi="Times New Roman" w:cs="Times New Roman"/>
                <w:i/>
                <w:iCs/>
              </w:rPr>
              <w:t>27</w:t>
            </w:r>
            <w:r>
              <w:rPr>
                <w:rFonts w:ascii="Times New Roman" w:eastAsia="Times New Roman" w:hAnsi="Times New Roman" w:cs="Times New Roman"/>
              </w:rPr>
              <w:t>(2), 198–215. https://doi.org/10.1111/ddi.13183</w:t>
            </w:r>
          </w:p>
        </w:tc>
      </w:tr>
      <w:tr w:rsidR="00B03AB3" w14:paraId="61318451" w14:textId="77777777" w:rsidTr="008F1F56">
        <w:tc>
          <w:tcPr>
            <w:tcW w:w="5000" w:type="pct"/>
          </w:tcPr>
          <w:p w14:paraId="3CF3FFFA"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Magris</w:t>
            </w:r>
            <w:r w:rsidRPr="00D00D00">
              <w:rPr>
                <w:rFonts w:ascii="Times New Roman" w:eastAsia="Times New Roman" w:hAnsi="Times New Roman" w:cs="Times New Roman"/>
                <w:lang w:val="pt-BR"/>
              </w:rPr>
              <w:t xml:space="preserve">, R. A., Pressey, R. L., Mills, M., Vila-Nova, D. A., &amp; Floeter, S. (2017). </w:t>
            </w:r>
            <w:r>
              <w:rPr>
                <w:rFonts w:ascii="Times New Roman" w:eastAsia="Times New Roman" w:hAnsi="Times New Roman" w:cs="Times New Roman"/>
              </w:rPr>
              <w:t xml:space="preserve">Integrated conservation planning for coral reefs: Designing conservation zones for multiple conservation objectives in spatial prioritisation. </w:t>
            </w:r>
            <w:r>
              <w:rPr>
                <w:rFonts w:ascii="Times New Roman" w:eastAsia="Times New Roman" w:hAnsi="Times New Roman" w:cs="Times New Roman"/>
                <w:i/>
                <w:iCs/>
              </w:rPr>
              <w:t>GLOBAL ECOLOGY AND CONSERVATION</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 53–68. https://doi.org/10.1016/j.gecco.2017.05.002</w:t>
            </w:r>
          </w:p>
        </w:tc>
      </w:tr>
      <w:tr w:rsidR="00B03AB3" w14:paraId="4BEBE9D0" w14:textId="77777777" w:rsidTr="008F1F56">
        <w:tc>
          <w:tcPr>
            <w:tcW w:w="5000" w:type="pct"/>
          </w:tcPr>
          <w:p w14:paraId="5158B742"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Marchioro, C. A., Santos, K. L., &amp; Siminski, A. (2020). </w:t>
            </w:r>
            <w:r>
              <w:rPr>
                <w:rFonts w:ascii="Times New Roman" w:eastAsia="Times New Roman" w:hAnsi="Times New Roman" w:cs="Times New Roman"/>
              </w:rPr>
              <w:t xml:space="preserve">Present and future of the critically endangered </w:t>
            </w:r>
            <w:r>
              <w:rPr>
                <w:rFonts w:ascii="Times New Roman" w:eastAsia="Times New Roman" w:hAnsi="Times New Roman" w:cs="Times New Roman"/>
                <w:i/>
                <w:iCs/>
              </w:rPr>
              <w:t>Araucaria angustifolia</w:t>
            </w:r>
            <w:r>
              <w:rPr>
                <w:rFonts w:ascii="Times New Roman" w:eastAsia="Times New Roman" w:hAnsi="Times New Roman" w:cs="Times New Roman"/>
              </w:rPr>
              <w:t xml:space="preserve"> due to climate change and habitat loss. </w:t>
            </w:r>
            <w:r>
              <w:rPr>
                <w:rFonts w:ascii="Times New Roman" w:eastAsia="Times New Roman" w:hAnsi="Times New Roman" w:cs="Times New Roman"/>
                <w:i/>
                <w:iCs/>
              </w:rPr>
              <w:t>FORESTRY</w:t>
            </w:r>
            <w:r>
              <w:rPr>
                <w:rFonts w:ascii="Times New Roman" w:eastAsia="Times New Roman" w:hAnsi="Times New Roman" w:cs="Times New Roman"/>
              </w:rPr>
              <w:t xml:space="preserve">, </w:t>
            </w:r>
            <w:r>
              <w:rPr>
                <w:rFonts w:ascii="Times New Roman" w:eastAsia="Times New Roman" w:hAnsi="Times New Roman" w:cs="Times New Roman"/>
                <w:i/>
                <w:iCs/>
              </w:rPr>
              <w:t>93</w:t>
            </w:r>
            <w:r>
              <w:rPr>
                <w:rFonts w:ascii="Times New Roman" w:eastAsia="Times New Roman" w:hAnsi="Times New Roman" w:cs="Times New Roman"/>
              </w:rPr>
              <w:t>(3), 401–410. https://doi.org/10.1093/forestry/cpz066</w:t>
            </w:r>
          </w:p>
        </w:tc>
      </w:tr>
      <w:tr w:rsidR="00B03AB3" w14:paraId="62CC4E11" w14:textId="77777777" w:rsidTr="008F1F56">
        <w:tc>
          <w:tcPr>
            <w:tcW w:w="5000" w:type="pct"/>
          </w:tcPr>
          <w:p w14:paraId="7145A24C"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Marini, M. A., Barbet-Massin, M., Lopes, L. E., &amp; Jiguet, F. (2009). Predicted Climate-Driven Bird Distribution Changes and Forecasted Conservation Conflicts in a Neotropical Savanna. </w:t>
            </w:r>
            <w:r>
              <w:rPr>
                <w:rFonts w:ascii="Times New Roman" w:eastAsia="Times New Roman" w:hAnsi="Times New Roman" w:cs="Times New Roman"/>
                <w:i/>
                <w:iCs/>
              </w:rPr>
              <w:t>CONSERVATION BIOLOGY</w:t>
            </w:r>
            <w:r>
              <w:rPr>
                <w:rFonts w:ascii="Times New Roman" w:eastAsia="Times New Roman" w:hAnsi="Times New Roman" w:cs="Times New Roman"/>
              </w:rPr>
              <w:t xml:space="preserve">, </w:t>
            </w:r>
            <w:r>
              <w:rPr>
                <w:rFonts w:ascii="Times New Roman" w:eastAsia="Times New Roman" w:hAnsi="Times New Roman" w:cs="Times New Roman"/>
                <w:i/>
                <w:iCs/>
              </w:rPr>
              <w:t>23</w:t>
            </w:r>
            <w:r>
              <w:rPr>
                <w:rFonts w:ascii="Times New Roman" w:eastAsia="Times New Roman" w:hAnsi="Times New Roman" w:cs="Times New Roman"/>
              </w:rPr>
              <w:t>(6), 1558–1567. https://doi.org/10.1111/j.1523-1739.2009.01258.x</w:t>
            </w:r>
          </w:p>
        </w:tc>
      </w:tr>
      <w:tr w:rsidR="00B03AB3" w14:paraId="37C55AC2" w14:textId="77777777" w:rsidTr="008F1F56">
        <w:tc>
          <w:tcPr>
            <w:tcW w:w="5000" w:type="pct"/>
          </w:tcPr>
          <w:p w14:paraId="18DDD087"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lastRenderedPageBreak/>
              <w:t>Mazzuco</w:t>
            </w:r>
            <w:r w:rsidRPr="00D00D00">
              <w:rPr>
                <w:rFonts w:ascii="Times New Roman" w:eastAsia="Times New Roman" w:hAnsi="Times New Roman" w:cs="Times New Roman"/>
                <w:lang w:val="pt-BR"/>
              </w:rPr>
              <w:t xml:space="preserve">, A. C. D., Stelzer, P. S., &amp; Bernardino, A. F. (2020). </w:t>
            </w:r>
            <w:r>
              <w:rPr>
                <w:rFonts w:ascii="Times New Roman" w:eastAsia="Times New Roman" w:hAnsi="Times New Roman" w:cs="Times New Roman"/>
              </w:rPr>
              <w:t xml:space="preserve">Substrate rugosity and temperature matters: patterns of benthic diversity at tropical intertidal reefs in the SW Atlantic. </w:t>
            </w:r>
            <w:r>
              <w:rPr>
                <w:rFonts w:ascii="Times New Roman" w:eastAsia="Times New Roman" w:hAnsi="Times New Roman" w:cs="Times New Roman"/>
                <w:i/>
                <w:iCs/>
              </w:rPr>
              <w:t>PEERJ</w:t>
            </w:r>
            <w:r>
              <w:rPr>
                <w:rFonts w:ascii="Times New Roman" w:eastAsia="Times New Roman" w:hAnsi="Times New Roman" w:cs="Times New Roman"/>
              </w:rPr>
              <w:t xml:space="preserve">, </w:t>
            </w:r>
            <w:r>
              <w:rPr>
                <w:rFonts w:ascii="Times New Roman" w:eastAsia="Times New Roman" w:hAnsi="Times New Roman" w:cs="Times New Roman"/>
                <w:i/>
                <w:iCs/>
              </w:rPr>
              <w:t>8</w:t>
            </w:r>
            <w:r>
              <w:rPr>
                <w:rFonts w:ascii="Times New Roman" w:eastAsia="Times New Roman" w:hAnsi="Times New Roman" w:cs="Times New Roman"/>
              </w:rPr>
              <w:t>. https://doi.org/10.7717/peerj.8289</w:t>
            </w:r>
          </w:p>
        </w:tc>
      </w:tr>
      <w:tr w:rsidR="00B03AB3" w14:paraId="40DAC0F0" w14:textId="77777777" w:rsidTr="008F1F56">
        <w:tc>
          <w:tcPr>
            <w:tcW w:w="5000" w:type="pct"/>
          </w:tcPr>
          <w:p w14:paraId="31112C3A"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Moraes, B., Razgour, O., Souza-Alves, J. P., Boubli, J. P., &amp; Bezerra, B. (2020). </w:t>
            </w:r>
            <w:r>
              <w:rPr>
                <w:rFonts w:ascii="Times New Roman" w:eastAsia="Times New Roman" w:hAnsi="Times New Roman" w:cs="Times New Roman"/>
              </w:rPr>
              <w:t xml:space="preserve">Habitat suitability for primate conservation in north-east Brazil. </w:t>
            </w:r>
            <w:r>
              <w:rPr>
                <w:rFonts w:ascii="Times New Roman" w:eastAsia="Times New Roman" w:hAnsi="Times New Roman" w:cs="Times New Roman"/>
                <w:i/>
                <w:iCs/>
              </w:rPr>
              <w:t>ORYX</w:t>
            </w:r>
            <w:r>
              <w:rPr>
                <w:rFonts w:ascii="Times New Roman" w:eastAsia="Times New Roman" w:hAnsi="Times New Roman" w:cs="Times New Roman"/>
              </w:rPr>
              <w:t xml:space="preserve">, </w:t>
            </w:r>
            <w:r>
              <w:rPr>
                <w:rFonts w:ascii="Times New Roman" w:eastAsia="Times New Roman" w:hAnsi="Times New Roman" w:cs="Times New Roman"/>
                <w:i/>
                <w:iCs/>
              </w:rPr>
              <w:t>54</w:t>
            </w:r>
            <w:r>
              <w:rPr>
                <w:rFonts w:ascii="Times New Roman" w:eastAsia="Times New Roman" w:hAnsi="Times New Roman" w:cs="Times New Roman"/>
              </w:rPr>
              <w:t>(6), 803–813. https://doi.org/10.1017/S0030605319001388</w:t>
            </w:r>
          </w:p>
        </w:tc>
      </w:tr>
      <w:tr w:rsidR="00B03AB3" w14:paraId="271823E8" w14:textId="77777777" w:rsidTr="008F1F56">
        <w:tc>
          <w:tcPr>
            <w:tcW w:w="5000" w:type="pct"/>
          </w:tcPr>
          <w:p w14:paraId="75724C1B"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 xml:space="preserve">Mota, F. M. M., Heming, N. M., Morante, J. C., &amp; Talora, D. C. (2022). </w:t>
            </w:r>
            <w:r>
              <w:rPr>
                <w:rFonts w:ascii="Times New Roman" w:eastAsia="Times New Roman" w:hAnsi="Times New Roman" w:cs="Times New Roman"/>
              </w:rPr>
              <w:t xml:space="preserve">Climate change is expected to restructure forest frugivorous bird communities in a biodiversity </w:t>
            </w:r>
            <w:proofErr w:type="gramStart"/>
            <w:r>
              <w:rPr>
                <w:rFonts w:ascii="Times New Roman" w:eastAsia="Times New Roman" w:hAnsi="Times New Roman" w:cs="Times New Roman"/>
              </w:rPr>
              <w:t>hot-point</w:t>
            </w:r>
            <w:proofErr w:type="gramEnd"/>
            <w:r>
              <w:rPr>
                <w:rFonts w:ascii="Times New Roman" w:eastAsia="Times New Roman" w:hAnsi="Times New Roman" w:cs="Times New Roman"/>
              </w:rPr>
              <w:t xml:space="preserve"> within the Atlantic Forest. </w:t>
            </w:r>
            <w:r>
              <w:rPr>
                <w:rFonts w:ascii="Times New Roman" w:eastAsia="Times New Roman" w:hAnsi="Times New Roman" w:cs="Times New Roman"/>
                <w:i/>
                <w:iCs/>
              </w:rPr>
              <w:t>DIVERSITY AND DISTRIBUTIONS</w:t>
            </w:r>
            <w:r>
              <w:rPr>
                <w:rFonts w:ascii="Times New Roman" w:eastAsia="Times New Roman" w:hAnsi="Times New Roman" w:cs="Times New Roman"/>
              </w:rPr>
              <w:t xml:space="preserve">, </w:t>
            </w:r>
            <w:r>
              <w:rPr>
                <w:rFonts w:ascii="Times New Roman" w:eastAsia="Times New Roman" w:hAnsi="Times New Roman" w:cs="Times New Roman"/>
                <w:i/>
                <w:iCs/>
              </w:rPr>
              <w:t>28</w:t>
            </w:r>
            <w:r>
              <w:rPr>
                <w:rFonts w:ascii="Times New Roman" w:eastAsia="Times New Roman" w:hAnsi="Times New Roman" w:cs="Times New Roman"/>
              </w:rPr>
              <w:t>(12), 2886–2897. https://doi.org/10.1111/ddi.13602</w:t>
            </w:r>
          </w:p>
        </w:tc>
      </w:tr>
      <w:tr w:rsidR="00B03AB3" w14:paraId="679B7A3A" w14:textId="77777777" w:rsidTr="008F1F56">
        <w:tc>
          <w:tcPr>
            <w:tcW w:w="5000" w:type="pct"/>
          </w:tcPr>
          <w:p w14:paraId="74ED5E3A"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Nascimento, M. N., Martins, G. S., Cordeiro, R. C., Turcq, B., Moreira, L. S., &amp; Bush, M. B. (2019). </w:t>
            </w:r>
            <w:r>
              <w:rPr>
                <w:rFonts w:ascii="Times New Roman" w:eastAsia="Times New Roman" w:hAnsi="Times New Roman" w:cs="Times New Roman"/>
              </w:rPr>
              <w:t xml:space="preserve">Vegetation response to climatic changes in western Amazonia over the last 7,600 years. </w:t>
            </w:r>
            <w:r>
              <w:rPr>
                <w:rFonts w:ascii="Times New Roman" w:eastAsia="Times New Roman" w:hAnsi="Times New Roman" w:cs="Times New Roman"/>
                <w:i/>
                <w:iCs/>
              </w:rPr>
              <w:t>JOURNAL OF BIOGEOGRAPHY</w:t>
            </w:r>
            <w:r>
              <w:rPr>
                <w:rFonts w:ascii="Times New Roman" w:eastAsia="Times New Roman" w:hAnsi="Times New Roman" w:cs="Times New Roman"/>
              </w:rPr>
              <w:t xml:space="preserve">, </w:t>
            </w:r>
            <w:r>
              <w:rPr>
                <w:rFonts w:ascii="Times New Roman" w:eastAsia="Times New Roman" w:hAnsi="Times New Roman" w:cs="Times New Roman"/>
                <w:i/>
                <w:iCs/>
              </w:rPr>
              <w:t>46</w:t>
            </w:r>
            <w:r>
              <w:rPr>
                <w:rFonts w:ascii="Times New Roman" w:eastAsia="Times New Roman" w:hAnsi="Times New Roman" w:cs="Times New Roman"/>
              </w:rPr>
              <w:t>(11), 2389–2406. https://doi.org/10.1111/jbi.13704</w:t>
            </w:r>
          </w:p>
        </w:tc>
      </w:tr>
      <w:tr w:rsidR="00B03AB3" w14:paraId="4DE50418" w14:textId="77777777" w:rsidTr="008F1F56">
        <w:tc>
          <w:tcPr>
            <w:tcW w:w="5000" w:type="pct"/>
          </w:tcPr>
          <w:p w14:paraId="749D7FF2"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Nava, A., Shimabukuro, J. S., Chmura, A. A., &amp; Luz, S. L. B. (2017). </w:t>
            </w:r>
            <w:r>
              <w:rPr>
                <w:rFonts w:ascii="Times New Roman" w:eastAsia="Times New Roman" w:hAnsi="Times New Roman" w:cs="Times New Roman"/>
              </w:rPr>
              <w:t xml:space="preserve">The Impact of Global Environmental Changes on Infectious Disease Emergence with a Focus on Risks for Brazil. </w:t>
            </w:r>
            <w:r>
              <w:rPr>
                <w:rFonts w:ascii="Times New Roman" w:eastAsia="Times New Roman" w:hAnsi="Times New Roman" w:cs="Times New Roman"/>
                <w:i/>
                <w:iCs/>
              </w:rPr>
              <w:t>ILAR JOURNAL</w:t>
            </w:r>
            <w:r>
              <w:rPr>
                <w:rFonts w:ascii="Times New Roman" w:eastAsia="Times New Roman" w:hAnsi="Times New Roman" w:cs="Times New Roman"/>
              </w:rPr>
              <w:t xml:space="preserve">, </w:t>
            </w:r>
            <w:r>
              <w:rPr>
                <w:rFonts w:ascii="Times New Roman" w:eastAsia="Times New Roman" w:hAnsi="Times New Roman" w:cs="Times New Roman"/>
                <w:i/>
                <w:iCs/>
              </w:rPr>
              <w:t>58</w:t>
            </w:r>
            <w:r>
              <w:rPr>
                <w:rFonts w:ascii="Times New Roman" w:eastAsia="Times New Roman" w:hAnsi="Times New Roman" w:cs="Times New Roman"/>
              </w:rPr>
              <w:t>(3), 393–400. https://doi.org/10.1093/ilar/ilx034</w:t>
            </w:r>
          </w:p>
        </w:tc>
      </w:tr>
      <w:tr w:rsidR="00B03AB3" w14:paraId="09C1B434" w14:textId="77777777" w:rsidTr="008F1F56">
        <w:tc>
          <w:tcPr>
            <w:tcW w:w="5000" w:type="pct"/>
          </w:tcPr>
          <w:p w14:paraId="327EDD9A"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Oliveira, F. M. P., Andersen, A. N., Arnan, X., Ribeiro-Neto, J. D., Arcoverde, G. B., &amp; Leal, I. R. (2019). </w:t>
            </w:r>
            <w:r>
              <w:rPr>
                <w:rFonts w:ascii="Times New Roman" w:eastAsia="Times New Roman" w:hAnsi="Times New Roman" w:cs="Times New Roman"/>
              </w:rPr>
              <w:t xml:space="preserve">Effects of increasing aridity and chronic anthropogenic disturbance on seed dispersal by ants in Brazilian Caatinga. </w:t>
            </w:r>
            <w:r>
              <w:rPr>
                <w:rFonts w:ascii="Times New Roman" w:eastAsia="Times New Roman" w:hAnsi="Times New Roman" w:cs="Times New Roman"/>
                <w:i/>
                <w:iCs/>
              </w:rPr>
              <w:t>JOURNAL OF ANIMAL ECOLOGY</w:t>
            </w:r>
            <w:r>
              <w:rPr>
                <w:rFonts w:ascii="Times New Roman" w:eastAsia="Times New Roman" w:hAnsi="Times New Roman" w:cs="Times New Roman"/>
              </w:rPr>
              <w:t xml:space="preserve">, </w:t>
            </w:r>
            <w:r>
              <w:rPr>
                <w:rFonts w:ascii="Times New Roman" w:eastAsia="Times New Roman" w:hAnsi="Times New Roman" w:cs="Times New Roman"/>
                <w:i/>
                <w:iCs/>
              </w:rPr>
              <w:t>88</w:t>
            </w:r>
            <w:r>
              <w:rPr>
                <w:rFonts w:ascii="Times New Roman" w:eastAsia="Times New Roman" w:hAnsi="Times New Roman" w:cs="Times New Roman"/>
              </w:rPr>
              <w:t>(6), 870–880. https://doi.org/10.1111/1365-2656.12979</w:t>
            </w:r>
          </w:p>
        </w:tc>
      </w:tr>
      <w:tr w:rsidR="00B03AB3" w14:paraId="6E53094D" w14:textId="77777777" w:rsidTr="008F1F56">
        <w:tc>
          <w:tcPr>
            <w:tcW w:w="5000" w:type="pct"/>
          </w:tcPr>
          <w:p w14:paraId="022C75AA"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Oliveira, G. D., Arruda, D. M., Fernandes, E. I., Veloso, G. V, Francelino, M. R., &amp; Schaefer, C. (2021). </w:t>
            </w:r>
            <w:r>
              <w:rPr>
                <w:rFonts w:ascii="Times New Roman" w:eastAsia="Times New Roman" w:hAnsi="Times New Roman" w:cs="Times New Roman"/>
              </w:rPr>
              <w:t xml:space="preserve">Soil predictors are crucial for modelling vegetation distribution and its responses to climate change. </w:t>
            </w:r>
            <w:r>
              <w:rPr>
                <w:rFonts w:ascii="Times New Roman" w:eastAsia="Times New Roman" w:hAnsi="Times New Roman" w:cs="Times New Roman"/>
                <w:i/>
                <w:iCs/>
              </w:rPr>
              <w:t>SCIENCE OF THE TOTAL ENVIRONMENT</w:t>
            </w:r>
            <w:r>
              <w:rPr>
                <w:rFonts w:ascii="Times New Roman" w:eastAsia="Times New Roman" w:hAnsi="Times New Roman" w:cs="Times New Roman"/>
              </w:rPr>
              <w:t xml:space="preserve">, </w:t>
            </w:r>
            <w:r>
              <w:rPr>
                <w:rFonts w:ascii="Times New Roman" w:eastAsia="Times New Roman" w:hAnsi="Times New Roman" w:cs="Times New Roman"/>
                <w:i/>
                <w:iCs/>
              </w:rPr>
              <w:t>780</w:t>
            </w:r>
            <w:r>
              <w:rPr>
                <w:rFonts w:ascii="Times New Roman" w:eastAsia="Times New Roman" w:hAnsi="Times New Roman" w:cs="Times New Roman"/>
              </w:rPr>
              <w:t>. https://doi.org/10.1016/j.scitotenv.2021.146680</w:t>
            </w:r>
          </w:p>
        </w:tc>
      </w:tr>
      <w:tr w:rsidR="00B03AB3" w14:paraId="2BB94CF6" w14:textId="77777777" w:rsidTr="008F1F56">
        <w:tc>
          <w:tcPr>
            <w:tcW w:w="5000" w:type="pct"/>
          </w:tcPr>
          <w:p w14:paraId="554BFD78"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Oliveira, W., Cruz-Neto, O., Silva, J. L. S., Rito, K. F., Leal, I. R., Tabarelli, M., Albuquerque, U. P., &amp; Lopes, A. V. (2022). </w:t>
            </w:r>
            <w:r>
              <w:rPr>
                <w:rFonts w:ascii="Times New Roman" w:eastAsia="Times New Roman" w:hAnsi="Times New Roman" w:cs="Times New Roman"/>
              </w:rPr>
              <w:t xml:space="preserve">Chronic anthropogenic disturbances and aridity negatively affect specialized reproductive traits and strategies of edible fruit plant assemblages in a Caatinga dry forest. </w:t>
            </w:r>
            <w:r>
              <w:rPr>
                <w:rFonts w:ascii="Times New Roman" w:eastAsia="Times New Roman" w:hAnsi="Times New Roman" w:cs="Times New Roman"/>
                <w:i/>
                <w:iCs/>
              </w:rPr>
              <w:t>FOREST ECOLOGY AND MANAGEMENT</w:t>
            </w:r>
            <w:r>
              <w:rPr>
                <w:rFonts w:ascii="Times New Roman" w:eastAsia="Times New Roman" w:hAnsi="Times New Roman" w:cs="Times New Roman"/>
              </w:rPr>
              <w:t xml:space="preserve">, </w:t>
            </w:r>
            <w:r>
              <w:rPr>
                <w:rFonts w:ascii="Times New Roman" w:eastAsia="Times New Roman" w:hAnsi="Times New Roman" w:cs="Times New Roman"/>
                <w:i/>
                <w:iCs/>
              </w:rPr>
              <w:t>514</w:t>
            </w:r>
            <w:r>
              <w:rPr>
                <w:rFonts w:ascii="Times New Roman" w:eastAsia="Times New Roman" w:hAnsi="Times New Roman" w:cs="Times New Roman"/>
              </w:rPr>
              <w:t>. https://doi.org/10.1016/j.foreco.2022.120214</w:t>
            </w:r>
          </w:p>
        </w:tc>
      </w:tr>
      <w:tr w:rsidR="00B03AB3" w14:paraId="14462D16" w14:textId="77777777" w:rsidTr="008F1F56">
        <w:tc>
          <w:tcPr>
            <w:tcW w:w="5000" w:type="pct"/>
          </w:tcPr>
          <w:p w14:paraId="41718D33"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Patrizzi, N. S., &amp; Dobrovolski</w:t>
            </w:r>
            <w:r w:rsidRPr="00D00D00">
              <w:rPr>
                <w:rFonts w:ascii="Times New Roman" w:eastAsia="Times New Roman" w:hAnsi="Times New Roman" w:cs="Times New Roman"/>
                <w:lang w:val="pt-BR"/>
              </w:rPr>
              <w:t xml:space="preserve">, R. (2018). </w:t>
            </w:r>
            <w:r>
              <w:rPr>
                <w:rFonts w:ascii="Times New Roman" w:eastAsia="Times New Roman" w:hAnsi="Times New Roman" w:cs="Times New Roman"/>
              </w:rPr>
              <w:t xml:space="preserve">Integrating climate change and human impacts into marine spatial planning: A case study of threatened starfish species in Brazil. </w:t>
            </w:r>
            <w:r>
              <w:rPr>
                <w:rFonts w:ascii="Times New Roman" w:eastAsia="Times New Roman" w:hAnsi="Times New Roman" w:cs="Times New Roman"/>
                <w:i/>
                <w:iCs/>
              </w:rPr>
              <w:t>OCEAN &amp; COASTAL MANAGEMENT</w:t>
            </w:r>
            <w:r>
              <w:rPr>
                <w:rFonts w:ascii="Times New Roman" w:eastAsia="Times New Roman" w:hAnsi="Times New Roman" w:cs="Times New Roman"/>
              </w:rPr>
              <w:t xml:space="preserve">, </w:t>
            </w:r>
            <w:r>
              <w:rPr>
                <w:rFonts w:ascii="Times New Roman" w:eastAsia="Times New Roman" w:hAnsi="Times New Roman" w:cs="Times New Roman"/>
                <w:i/>
                <w:iCs/>
              </w:rPr>
              <w:t>161</w:t>
            </w:r>
            <w:r>
              <w:rPr>
                <w:rFonts w:ascii="Times New Roman" w:eastAsia="Times New Roman" w:hAnsi="Times New Roman" w:cs="Times New Roman"/>
              </w:rPr>
              <w:t>, 177–188. https://doi.org/10.1016/j.ocecoaman.2018.05.003</w:t>
            </w:r>
          </w:p>
        </w:tc>
      </w:tr>
      <w:tr w:rsidR="00B03AB3" w14:paraId="34686844" w14:textId="77777777" w:rsidTr="008F1F56">
        <w:tc>
          <w:tcPr>
            <w:tcW w:w="5000" w:type="pct"/>
          </w:tcPr>
          <w:p w14:paraId="719AC9AC"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Pereira, I. M. S., Azevedo SMA, S. M. J., Oliveira, F. M. P., Santos, L. D. N., &amp; Las-Casas, F. M. G. (2023). </w:t>
            </w:r>
            <w:r>
              <w:rPr>
                <w:rFonts w:ascii="Times New Roman" w:eastAsia="Times New Roman" w:hAnsi="Times New Roman" w:cs="Times New Roman"/>
              </w:rPr>
              <w:t xml:space="preserve">The influence of chronic anthropogenic disturbance and precipitation on endemic birds in a Seasonally Dry Tropical Forest. </w:t>
            </w:r>
            <w:r>
              <w:rPr>
                <w:rFonts w:ascii="Times New Roman" w:eastAsia="Times New Roman" w:hAnsi="Times New Roman" w:cs="Times New Roman"/>
                <w:i/>
                <w:iCs/>
              </w:rPr>
              <w:t>JOURNAL OF ARID ENVIRONMENTS</w:t>
            </w:r>
            <w:r>
              <w:rPr>
                <w:rFonts w:ascii="Times New Roman" w:eastAsia="Times New Roman" w:hAnsi="Times New Roman" w:cs="Times New Roman"/>
              </w:rPr>
              <w:t xml:space="preserve">, </w:t>
            </w:r>
            <w:r>
              <w:rPr>
                <w:rFonts w:ascii="Times New Roman" w:eastAsia="Times New Roman" w:hAnsi="Times New Roman" w:cs="Times New Roman"/>
                <w:i/>
                <w:iCs/>
              </w:rPr>
              <w:t>210</w:t>
            </w:r>
            <w:r>
              <w:rPr>
                <w:rFonts w:ascii="Times New Roman" w:eastAsia="Times New Roman" w:hAnsi="Times New Roman" w:cs="Times New Roman"/>
              </w:rPr>
              <w:t>. https://doi.org/10.1016/j.jaridenv.2022.104917</w:t>
            </w:r>
          </w:p>
        </w:tc>
      </w:tr>
      <w:tr w:rsidR="00B03AB3" w14:paraId="1BD64385" w14:textId="77777777" w:rsidTr="008F1F56">
        <w:tc>
          <w:tcPr>
            <w:tcW w:w="5000" w:type="pct"/>
          </w:tcPr>
          <w:p w14:paraId="14062BC0"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Ribeiro-Neto, J. D., Oliveira, F. M. P., Arcoverde, G. B., Tabarelli, M., Leal, I. R., &amp; Arnan, X. (2023). </w:t>
            </w:r>
            <w:r>
              <w:rPr>
                <w:rFonts w:ascii="Times New Roman" w:eastAsia="Times New Roman" w:hAnsi="Times New Roman" w:cs="Times New Roman"/>
              </w:rPr>
              <w:t xml:space="preserve">Aridity and chronic anthropogenic disturbances cause a taxonomic, functional, and phylogenetic homogenization of ant communities in a Caatinga dry forest. </w:t>
            </w:r>
            <w:r>
              <w:rPr>
                <w:rFonts w:ascii="Times New Roman" w:eastAsia="Times New Roman" w:hAnsi="Times New Roman" w:cs="Times New Roman"/>
                <w:i/>
                <w:iCs/>
              </w:rPr>
              <w:t>BIOLOGICAL CONSERVATION</w:t>
            </w:r>
            <w:r>
              <w:rPr>
                <w:rFonts w:ascii="Times New Roman" w:eastAsia="Times New Roman" w:hAnsi="Times New Roman" w:cs="Times New Roman"/>
              </w:rPr>
              <w:t xml:space="preserve">, </w:t>
            </w:r>
            <w:r>
              <w:rPr>
                <w:rFonts w:ascii="Times New Roman" w:eastAsia="Times New Roman" w:hAnsi="Times New Roman" w:cs="Times New Roman"/>
                <w:i/>
                <w:iCs/>
              </w:rPr>
              <w:t>284</w:t>
            </w:r>
            <w:r>
              <w:rPr>
                <w:rFonts w:ascii="Times New Roman" w:eastAsia="Times New Roman" w:hAnsi="Times New Roman" w:cs="Times New Roman"/>
              </w:rPr>
              <w:t>. https://doi.org/10.1016/j.biocon.2023.110151</w:t>
            </w:r>
          </w:p>
        </w:tc>
      </w:tr>
      <w:tr w:rsidR="00B03AB3" w14:paraId="03A189D6" w14:textId="77777777" w:rsidTr="008F1F56">
        <w:tc>
          <w:tcPr>
            <w:tcW w:w="5000" w:type="pct"/>
          </w:tcPr>
          <w:p w14:paraId="288A0582"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Rocha, D. G., Ferraz, K., Gonçalves, L., Tan, C. K. W., Lemos, F. G., Ortiz, C., Peres, C. A., Negroes, N., Antunes, A. P., Rohe, F., Abrahams, M., Zapata-Rios, G., Teles, D., Oliveira, T., von Mühlen, E. M., Venticinque, E., Gräbin, D. M., Mosquera, D., </w:t>
            </w:r>
            <w:r w:rsidRPr="00D00D00">
              <w:rPr>
                <w:rFonts w:ascii="Times New Roman" w:eastAsia="Times New Roman" w:hAnsi="Times New Roman" w:cs="Times New Roman"/>
                <w:lang w:val="pt-BR"/>
              </w:rPr>
              <w:lastRenderedPageBreak/>
              <w:t xml:space="preserve">Blake, J., … </w:t>
            </w:r>
            <w:r>
              <w:rPr>
                <w:rFonts w:ascii="Times New Roman" w:eastAsia="Times New Roman" w:hAnsi="Times New Roman" w:cs="Times New Roman"/>
              </w:rPr>
              <w:t>Sollmann, R. (2020). Wild dogs at stake: deforestation threatens the only Amazon endemic canid, the short-eared dog (</w:t>
            </w:r>
            <w:r>
              <w:rPr>
                <w:rFonts w:ascii="Times New Roman" w:eastAsia="Times New Roman" w:hAnsi="Times New Roman" w:cs="Times New Roman"/>
                <w:i/>
                <w:iCs/>
              </w:rPr>
              <w:t>Atelocynus microtis</w:t>
            </w:r>
            <w:r>
              <w:rPr>
                <w:rFonts w:ascii="Times New Roman" w:eastAsia="Times New Roman" w:hAnsi="Times New Roman" w:cs="Times New Roman"/>
              </w:rPr>
              <w:t xml:space="preserve">). </w:t>
            </w:r>
            <w:r>
              <w:rPr>
                <w:rFonts w:ascii="Times New Roman" w:eastAsia="Times New Roman" w:hAnsi="Times New Roman" w:cs="Times New Roman"/>
                <w:i/>
                <w:iCs/>
              </w:rPr>
              <w:t>ROYAL SOCIETY OPEN SCIENCE</w:t>
            </w:r>
            <w:r>
              <w:rPr>
                <w:rFonts w:ascii="Times New Roman" w:eastAsia="Times New Roman" w:hAnsi="Times New Roman" w:cs="Times New Roman"/>
              </w:rPr>
              <w:t xml:space="preserve">, </w:t>
            </w:r>
            <w:r>
              <w:rPr>
                <w:rFonts w:ascii="Times New Roman" w:eastAsia="Times New Roman" w:hAnsi="Times New Roman" w:cs="Times New Roman"/>
                <w:i/>
                <w:iCs/>
              </w:rPr>
              <w:t>7</w:t>
            </w:r>
            <w:r>
              <w:rPr>
                <w:rFonts w:ascii="Times New Roman" w:eastAsia="Times New Roman" w:hAnsi="Times New Roman" w:cs="Times New Roman"/>
              </w:rPr>
              <w:t>(4). https://doi.org/10.1098/rsos.190717</w:t>
            </w:r>
          </w:p>
        </w:tc>
      </w:tr>
      <w:tr w:rsidR="00B03AB3" w14:paraId="40230627" w14:textId="77777777" w:rsidTr="008F1F56">
        <w:tc>
          <w:tcPr>
            <w:tcW w:w="5000" w:type="pct"/>
          </w:tcPr>
          <w:p w14:paraId="63CC4ED1"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lastRenderedPageBreak/>
              <w:t xml:space="preserve">Rodrigues, P. M. S., Silva, J. O., Eisenlohr, P., &amp; Schaefer, C. (2015). </w:t>
            </w:r>
            <w:r>
              <w:rPr>
                <w:rFonts w:ascii="Times New Roman" w:eastAsia="Times New Roman" w:hAnsi="Times New Roman" w:cs="Times New Roman"/>
              </w:rPr>
              <w:t xml:space="preserve">Climate change effects on the geographic distribution of specialist tree species of the Brazilian tropical dry forests. </w:t>
            </w:r>
            <w:r>
              <w:rPr>
                <w:rFonts w:ascii="Times New Roman" w:eastAsia="Times New Roman" w:hAnsi="Times New Roman" w:cs="Times New Roman"/>
                <w:i/>
                <w:iCs/>
              </w:rPr>
              <w:t>BRAZILIAN JOURNAL OF BIOLOGY</w:t>
            </w:r>
            <w:r>
              <w:rPr>
                <w:rFonts w:ascii="Times New Roman" w:eastAsia="Times New Roman" w:hAnsi="Times New Roman" w:cs="Times New Roman"/>
              </w:rPr>
              <w:t xml:space="preserve">, </w:t>
            </w:r>
            <w:r>
              <w:rPr>
                <w:rFonts w:ascii="Times New Roman" w:eastAsia="Times New Roman" w:hAnsi="Times New Roman" w:cs="Times New Roman"/>
                <w:i/>
                <w:iCs/>
              </w:rPr>
              <w:t>75</w:t>
            </w:r>
            <w:r>
              <w:rPr>
                <w:rFonts w:ascii="Times New Roman" w:eastAsia="Times New Roman" w:hAnsi="Times New Roman" w:cs="Times New Roman"/>
              </w:rPr>
              <w:t>(3), 679–684. https://doi.org/10.1590/1519-6984.20913</w:t>
            </w:r>
          </w:p>
        </w:tc>
      </w:tr>
      <w:tr w:rsidR="00B03AB3" w14:paraId="3E3BCC85" w14:textId="77777777" w:rsidTr="008F1F56">
        <w:tc>
          <w:tcPr>
            <w:tcW w:w="5000" w:type="pct"/>
          </w:tcPr>
          <w:p w14:paraId="49F5DC60"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Rodriguez-Cordero, A. L., Balaguera-Reina, S. A., Morales-Franco, J. C., Munn, M., &amp; Densmore, L. D. (2022). </w:t>
            </w:r>
            <w:r>
              <w:rPr>
                <w:rFonts w:ascii="Times New Roman" w:eastAsia="Times New Roman" w:hAnsi="Times New Roman" w:cs="Times New Roman"/>
              </w:rPr>
              <w:t xml:space="preserve">Predicting habitat suitability of </w:t>
            </w:r>
            <w:r>
              <w:rPr>
                <w:rFonts w:ascii="Times New Roman" w:eastAsia="Times New Roman" w:hAnsi="Times New Roman" w:cs="Times New Roman"/>
                <w:i/>
                <w:iCs/>
              </w:rPr>
              <w:t>Caiman yacare</w:t>
            </w:r>
            <w:r>
              <w:rPr>
                <w:rFonts w:ascii="Times New Roman" w:eastAsia="Times New Roman" w:hAnsi="Times New Roman" w:cs="Times New Roman"/>
              </w:rPr>
              <w:t xml:space="preserve"> and assessing the role of protected areas under current and future climate and deforestation models. </w:t>
            </w:r>
            <w:r>
              <w:rPr>
                <w:rFonts w:ascii="Times New Roman" w:eastAsia="Times New Roman" w:hAnsi="Times New Roman" w:cs="Times New Roman"/>
                <w:i/>
                <w:iCs/>
              </w:rPr>
              <w:t>CLIMATE RISK MANAGEMENT</w:t>
            </w:r>
            <w:r>
              <w:rPr>
                <w:rFonts w:ascii="Times New Roman" w:eastAsia="Times New Roman" w:hAnsi="Times New Roman" w:cs="Times New Roman"/>
              </w:rPr>
              <w:t xml:space="preserve">, </w:t>
            </w:r>
            <w:r>
              <w:rPr>
                <w:rFonts w:ascii="Times New Roman" w:eastAsia="Times New Roman" w:hAnsi="Times New Roman" w:cs="Times New Roman"/>
                <w:i/>
                <w:iCs/>
              </w:rPr>
              <w:t>35</w:t>
            </w:r>
            <w:r>
              <w:rPr>
                <w:rFonts w:ascii="Times New Roman" w:eastAsia="Times New Roman" w:hAnsi="Times New Roman" w:cs="Times New Roman"/>
              </w:rPr>
              <w:t>. https://doi.org/10.1016/j.crm.2022.100407</w:t>
            </w:r>
          </w:p>
        </w:tc>
      </w:tr>
      <w:tr w:rsidR="00B03AB3" w14:paraId="21C5C93F" w14:textId="77777777" w:rsidTr="008F1F56">
        <w:tc>
          <w:tcPr>
            <w:tcW w:w="5000" w:type="pct"/>
          </w:tcPr>
          <w:p w14:paraId="0CA45DBB"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Sales, L. P., Rodrigues, L., &amp; Masiero, R. (2021). </w:t>
            </w:r>
            <w:r>
              <w:rPr>
                <w:rFonts w:ascii="Times New Roman" w:eastAsia="Times New Roman" w:hAnsi="Times New Roman" w:cs="Times New Roman"/>
              </w:rPr>
              <w:t xml:space="preserve">Climate change drives spatial mismatch and threatens the biotic interactions of the Brazil nut. </w:t>
            </w:r>
            <w:r>
              <w:rPr>
                <w:rFonts w:ascii="Times New Roman" w:eastAsia="Times New Roman" w:hAnsi="Times New Roman" w:cs="Times New Roman"/>
                <w:i/>
                <w:iCs/>
              </w:rPr>
              <w:t>GLOBAL ECOLOGY AND BIOGEOGRAPHY</w:t>
            </w:r>
            <w:r>
              <w:rPr>
                <w:rFonts w:ascii="Times New Roman" w:eastAsia="Times New Roman" w:hAnsi="Times New Roman" w:cs="Times New Roman"/>
              </w:rPr>
              <w:t xml:space="preserve">, </w:t>
            </w:r>
            <w:r>
              <w:rPr>
                <w:rFonts w:ascii="Times New Roman" w:eastAsia="Times New Roman" w:hAnsi="Times New Roman" w:cs="Times New Roman"/>
                <w:i/>
                <w:iCs/>
              </w:rPr>
              <w:t>30</w:t>
            </w:r>
            <w:r>
              <w:rPr>
                <w:rFonts w:ascii="Times New Roman" w:eastAsia="Times New Roman" w:hAnsi="Times New Roman" w:cs="Times New Roman"/>
              </w:rPr>
              <w:t>(1), 117–127. https://doi.org/10.1111/geb.13200</w:t>
            </w:r>
          </w:p>
        </w:tc>
      </w:tr>
      <w:tr w:rsidR="00B03AB3" w14:paraId="5D708BFE" w14:textId="77777777" w:rsidTr="008F1F56">
        <w:tc>
          <w:tcPr>
            <w:tcW w:w="5000" w:type="pct"/>
          </w:tcPr>
          <w:p w14:paraId="52C84148"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Salvatierra, L. H. A., Ladle, R. J., Barbosa, H., Correia, R. A., &amp; Malhado</w:t>
            </w:r>
            <w:r w:rsidRPr="00D00D00">
              <w:rPr>
                <w:rFonts w:ascii="Times New Roman" w:eastAsia="Times New Roman" w:hAnsi="Times New Roman" w:cs="Times New Roman"/>
                <w:lang w:val="pt-BR"/>
              </w:rPr>
              <w:t xml:space="preserve">, A. C. M. (2017). </w:t>
            </w:r>
            <w:r>
              <w:rPr>
                <w:rFonts w:ascii="Times New Roman" w:eastAsia="Times New Roman" w:hAnsi="Times New Roman" w:cs="Times New Roman"/>
              </w:rPr>
              <w:t xml:space="preserve">Protected areas buffer the Brazilian semi-arid biome from climate change. </w:t>
            </w:r>
            <w:r>
              <w:rPr>
                <w:rFonts w:ascii="Times New Roman" w:eastAsia="Times New Roman" w:hAnsi="Times New Roman" w:cs="Times New Roman"/>
                <w:i/>
                <w:iCs/>
              </w:rPr>
              <w:t>BIOTROPICA</w:t>
            </w:r>
            <w:r>
              <w:rPr>
                <w:rFonts w:ascii="Times New Roman" w:eastAsia="Times New Roman" w:hAnsi="Times New Roman" w:cs="Times New Roman"/>
              </w:rPr>
              <w:t xml:space="preserve">, </w:t>
            </w:r>
            <w:r>
              <w:rPr>
                <w:rFonts w:ascii="Times New Roman" w:eastAsia="Times New Roman" w:hAnsi="Times New Roman" w:cs="Times New Roman"/>
                <w:i/>
                <w:iCs/>
              </w:rPr>
              <w:t>49</w:t>
            </w:r>
            <w:r>
              <w:rPr>
                <w:rFonts w:ascii="Times New Roman" w:eastAsia="Times New Roman" w:hAnsi="Times New Roman" w:cs="Times New Roman"/>
              </w:rPr>
              <w:t>(5), 753–760. https://doi.org/10.1111/btp.12459</w:t>
            </w:r>
          </w:p>
        </w:tc>
      </w:tr>
      <w:tr w:rsidR="00B03AB3" w14:paraId="2AC7FA84" w14:textId="77777777" w:rsidTr="008F1F56">
        <w:tc>
          <w:tcPr>
            <w:tcW w:w="5000" w:type="pct"/>
          </w:tcPr>
          <w:p w14:paraId="107BD778"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Santos-Neto, P. E., Arnan, X., Ribeiro-Neto, J. D., Wirth, R., &amp; Leal, I. R. (2022). </w:t>
            </w:r>
            <w:r>
              <w:rPr>
                <w:rFonts w:ascii="Times New Roman" w:eastAsia="Times New Roman" w:hAnsi="Times New Roman" w:cs="Times New Roman"/>
              </w:rPr>
              <w:t xml:space="preserve">Aridity, but not disturbance, reduces the specialization and modularity of plant-insect herbivore interaction networks in Caatinga dry forest. </w:t>
            </w:r>
            <w:r>
              <w:rPr>
                <w:rFonts w:ascii="Times New Roman" w:eastAsia="Times New Roman" w:hAnsi="Times New Roman" w:cs="Times New Roman"/>
                <w:i/>
                <w:iCs/>
              </w:rPr>
              <w:t>JOURNAL OF INSECT CONSERVATION</w:t>
            </w:r>
            <w:r>
              <w:rPr>
                <w:rFonts w:ascii="Times New Roman" w:eastAsia="Times New Roman" w:hAnsi="Times New Roman" w:cs="Times New Roman"/>
              </w:rPr>
              <w:t xml:space="preserve">, </w:t>
            </w:r>
            <w:r>
              <w:rPr>
                <w:rFonts w:ascii="Times New Roman" w:eastAsia="Times New Roman" w:hAnsi="Times New Roman" w:cs="Times New Roman"/>
                <w:i/>
                <w:iCs/>
              </w:rPr>
              <w:t>26</w:t>
            </w:r>
            <w:r>
              <w:rPr>
                <w:rFonts w:ascii="Times New Roman" w:eastAsia="Times New Roman" w:hAnsi="Times New Roman" w:cs="Times New Roman"/>
              </w:rPr>
              <w:t>(2), 175–189. https://doi.org/10.1007/s10841-022-00376-5</w:t>
            </w:r>
          </w:p>
        </w:tc>
      </w:tr>
      <w:tr w:rsidR="00B03AB3" w14:paraId="12A7F054" w14:textId="77777777" w:rsidTr="008F1F56">
        <w:tc>
          <w:tcPr>
            <w:tcW w:w="5000" w:type="pct"/>
          </w:tcPr>
          <w:p w14:paraId="22E6C629"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Saraiva, D. D., Esser, L. F., </w:t>
            </w:r>
            <w:r w:rsidRPr="00D00D00">
              <w:rPr>
                <w:rFonts w:ascii="Times New Roman" w:eastAsia="Times New Roman" w:hAnsi="Times New Roman" w:cs="Times New Roman"/>
                <w:lang w:val="pt-BR"/>
              </w:rPr>
              <w:t xml:space="preserve">Grasel, D., &amp; Jarenkow, J. A. (2021). </w:t>
            </w:r>
            <w:r>
              <w:rPr>
                <w:rFonts w:ascii="Times New Roman" w:eastAsia="Times New Roman" w:hAnsi="Times New Roman" w:cs="Times New Roman"/>
              </w:rPr>
              <w:t xml:space="preserve">Distribution shifts, potential refugia, and the performance of protected areas under climate change in the </w:t>
            </w:r>
            <w:r>
              <w:rPr>
                <w:rFonts w:ascii="Times New Roman" w:eastAsia="Times New Roman" w:hAnsi="Times New Roman" w:cs="Times New Roman"/>
                <w:i/>
                <w:iCs/>
              </w:rPr>
              <w:t>Araucaria</w:t>
            </w:r>
            <w:r>
              <w:rPr>
                <w:rFonts w:ascii="Times New Roman" w:eastAsia="Times New Roman" w:hAnsi="Times New Roman" w:cs="Times New Roman"/>
              </w:rPr>
              <w:t xml:space="preserve"> moist forests ecoregion. </w:t>
            </w:r>
            <w:r>
              <w:rPr>
                <w:rFonts w:ascii="Times New Roman" w:eastAsia="Times New Roman" w:hAnsi="Times New Roman" w:cs="Times New Roman"/>
                <w:i/>
                <w:iCs/>
              </w:rPr>
              <w:t>APPLIED VEGETATION SCIENCE</w:t>
            </w:r>
            <w:r>
              <w:rPr>
                <w:rFonts w:ascii="Times New Roman" w:eastAsia="Times New Roman" w:hAnsi="Times New Roman" w:cs="Times New Roman"/>
              </w:rPr>
              <w:t xml:space="preserve">, </w:t>
            </w:r>
            <w:r>
              <w:rPr>
                <w:rFonts w:ascii="Times New Roman" w:eastAsia="Times New Roman" w:hAnsi="Times New Roman" w:cs="Times New Roman"/>
                <w:i/>
                <w:iCs/>
              </w:rPr>
              <w:t>24</w:t>
            </w:r>
            <w:r>
              <w:rPr>
                <w:rFonts w:ascii="Times New Roman" w:eastAsia="Times New Roman" w:hAnsi="Times New Roman" w:cs="Times New Roman"/>
              </w:rPr>
              <w:t>(4). https://doi.org/10.1111/avsc.12628</w:t>
            </w:r>
          </w:p>
        </w:tc>
      </w:tr>
      <w:tr w:rsidR="00B03AB3" w14:paraId="4FB10FCB" w14:textId="77777777" w:rsidTr="008F1F56">
        <w:tc>
          <w:tcPr>
            <w:tcW w:w="5000" w:type="pct"/>
          </w:tcPr>
          <w:p w14:paraId="18E2A355"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Schlickmann, M. B., da Silva, A. C., de Oliveira, L. M., Matteucci, D. O., Machado, F. D., Cuchi, T., Duarte, E., &amp; Higuchi, P. (2020). </w:t>
            </w:r>
            <w:r>
              <w:rPr>
                <w:rFonts w:ascii="Times New Roman" w:eastAsia="Times New Roman" w:hAnsi="Times New Roman" w:cs="Times New Roman"/>
              </w:rPr>
              <w:t xml:space="preserve">Specific leaf area is a potential indicator of tree species sensitive to future climate change in the mixed Subtropical Forests of southern Brazil. </w:t>
            </w:r>
            <w:r>
              <w:rPr>
                <w:rFonts w:ascii="Times New Roman" w:eastAsia="Times New Roman" w:hAnsi="Times New Roman" w:cs="Times New Roman"/>
                <w:i/>
                <w:iCs/>
              </w:rPr>
              <w:t>ECOLOGICAL INDICATORS</w:t>
            </w:r>
            <w:r>
              <w:rPr>
                <w:rFonts w:ascii="Times New Roman" w:eastAsia="Times New Roman" w:hAnsi="Times New Roman" w:cs="Times New Roman"/>
              </w:rPr>
              <w:t xml:space="preserve">, </w:t>
            </w:r>
            <w:r>
              <w:rPr>
                <w:rFonts w:ascii="Times New Roman" w:eastAsia="Times New Roman" w:hAnsi="Times New Roman" w:cs="Times New Roman"/>
                <w:i/>
                <w:iCs/>
              </w:rPr>
              <w:t>116</w:t>
            </w:r>
            <w:r>
              <w:rPr>
                <w:rFonts w:ascii="Times New Roman" w:eastAsia="Times New Roman" w:hAnsi="Times New Roman" w:cs="Times New Roman"/>
              </w:rPr>
              <w:t>. https://doi.org/10.1016/j.ecolind.2020.106477</w:t>
            </w:r>
          </w:p>
        </w:tc>
      </w:tr>
      <w:tr w:rsidR="00B03AB3" w14:paraId="6DFC8232" w14:textId="77777777" w:rsidTr="008F1F56">
        <w:tc>
          <w:tcPr>
            <w:tcW w:w="5000" w:type="pct"/>
          </w:tcPr>
          <w:p w14:paraId="7DA1DA4C"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Shabani, F., Ahmadi, M., Kumar, L., Solhjouy-fard, S., Tehrany</w:t>
            </w:r>
            <w:r>
              <w:rPr>
                <w:rFonts w:ascii="Times New Roman" w:eastAsia="Times New Roman" w:hAnsi="Times New Roman" w:cs="Times New Roman"/>
              </w:rPr>
              <w:t xml:space="preserve">, M. S., Shabani, F., Kalantar, B., &amp; Esmaeili, A. (2020). Invasive weed species’ threats to global biodiversity: Future scenarios of changes in the number of invasive species in a changing climate. </w:t>
            </w:r>
            <w:r>
              <w:rPr>
                <w:rFonts w:ascii="Times New Roman" w:eastAsia="Times New Roman" w:hAnsi="Times New Roman" w:cs="Times New Roman"/>
                <w:i/>
                <w:iCs/>
              </w:rPr>
              <w:t>ECOLOGICAL INDICATORS</w:t>
            </w:r>
            <w:r>
              <w:rPr>
                <w:rFonts w:ascii="Times New Roman" w:eastAsia="Times New Roman" w:hAnsi="Times New Roman" w:cs="Times New Roman"/>
              </w:rPr>
              <w:t xml:space="preserve">, </w:t>
            </w:r>
            <w:r>
              <w:rPr>
                <w:rFonts w:ascii="Times New Roman" w:eastAsia="Times New Roman" w:hAnsi="Times New Roman" w:cs="Times New Roman"/>
                <w:i/>
                <w:iCs/>
              </w:rPr>
              <w:t>116</w:t>
            </w:r>
            <w:r>
              <w:rPr>
                <w:rFonts w:ascii="Times New Roman" w:eastAsia="Times New Roman" w:hAnsi="Times New Roman" w:cs="Times New Roman"/>
              </w:rPr>
              <w:t>. https://doi.org/10.1016/j.ecolind.2020.106436</w:t>
            </w:r>
          </w:p>
        </w:tc>
      </w:tr>
      <w:tr w:rsidR="00B03AB3" w14:paraId="6F620116" w14:textId="77777777" w:rsidTr="008F1F56">
        <w:tc>
          <w:tcPr>
            <w:tcW w:w="5000" w:type="pct"/>
          </w:tcPr>
          <w:p w14:paraId="33B57DF9"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Silva, J. L. S., Cruz-Neto, O., Rito, K. F., Arnan, X., Leal, I. R., Peres, C. A., Tabarelli</w:t>
            </w:r>
            <w:r w:rsidRPr="00D00D00">
              <w:rPr>
                <w:rFonts w:ascii="Times New Roman" w:eastAsia="Times New Roman" w:hAnsi="Times New Roman" w:cs="Times New Roman"/>
                <w:lang w:val="pt-BR"/>
              </w:rPr>
              <w:t xml:space="preserve">, M., &amp; Lopes, A. V. (2020). </w:t>
            </w:r>
            <w:r>
              <w:rPr>
                <w:rFonts w:ascii="Times New Roman" w:eastAsia="Times New Roman" w:hAnsi="Times New Roman" w:cs="Times New Roman"/>
              </w:rPr>
              <w:t xml:space="preserve">Divergent responses of plant reproductive strategies to chronic anthropogenic disturbance and aridity in the Caatinga dry forest. </w:t>
            </w:r>
            <w:r>
              <w:rPr>
                <w:rFonts w:ascii="Times New Roman" w:eastAsia="Times New Roman" w:hAnsi="Times New Roman" w:cs="Times New Roman"/>
                <w:i/>
                <w:iCs/>
              </w:rPr>
              <w:t>SCIENCE OF THE TOTAL ENVIRONMENT</w:t>
            </w:r>
            <w:r>
              <w:rPr>
                <w:rFonts w:ascii="Times New Roman" w:eastAsia="Times New Roman" w:hAnsi="Times New Roman" w:cs="Times New Roman"/>
              </w:rPr>
              <w:t xml:space="preserve">, </w:t>
            </w:r>
            <w:r>
              <w:rPr>
                <w:rFonts w:ascii="Times New Roman" w:eastAsia="Times New Roman" w:hAnsi="Times New Roman" w:cs="Times New Roman"/>
                <w:i/>
                <w:iCs/>
              </w:rPr>
              <w:t>704</w:t>
            </w:r>
            <w:r>
              <w:rPr>
                <w:rFonts w:ascii="Times New Roman" w:eastAsia="Times New Roman" w:hAnsi="Times New Roman" w:cs="Times New Roman"/>
              </w:rPr>
              <w:t>. https://doi.org/10.1016/j.scitotenv.2019.135240</w:t>
            </w:r>
          </w:p>
        </w:tc>
      </w:tr>
      <w:tr w:rsidR="00B03AB3" w14:paraId="62066DFB" w14:textId="77777777" w:rsidTr="008F1F56">
        <w:tc>
          <w:tcPr>
            <w:tcW w:w="5000" w:type="pct"/>
          </w:tcPr>
          <w:p w14:paraId="0DCDA528"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Simoes, S. D., Zappi, D., da Costa, G. M., de Oliveira, G., &amp; Aona, L. Y. S. (2020). </w:t>
            </w:r>
            <w:r>
              <w:rPr>
                <w:rFonts w:ascii="Times New Roman" w:eastAsia="Times New Roman" w:hAnsi="Times New Roman" w:cs="Times New Roman"/>
              </w:rPr>
              <w:t xml:space="preserve">Spatial niche modelling of five endemic cacti from the Brazilian Caatinga: Past, present and future. </w:t>
            </w:r>
            <w:r>
              <w:rPr>
                <w:rFonts w:ascii="Times New Roman" w:eastAsia="Times New Roman" w:hAnsi="Times New Roman" w:cs="Times New Roman"/>
                <w:i/>
                <w:iCs/>
              </w:rPr>
              <w:t>AUSTRAL ECOLOGY</w:t>
            </w:r>
            <w:r>
              <w:rPr>
                <w:rFonts w:ascii="Times New Roman" w:eastAsia="Times New Roman" w:hAnsi="Times New Roman" w:cs="Times New Roman"/>
              </w:rPr>
              <w:t xml:space="preserve">, </w:t>
            </w:r>
            <w:r>
              <w:rPr>
                <w:rFonts w:ascii="Times New Roman" w:eastAsia="Times New Roman" w:hAnsi="Times New Roman" w:cs="Times New Roman"/>
                <w:i/>
                <w:iCs/>
              </w:rPr>
              <w:t>45</w:t>
            </w:r>
            <w:r>
              <w:rPr>
                <w:rFonts w:ascii="Times New Roman" w:eastAsia="Times New Roman" w:hAnsi="Times New Roman" w:cs="Times New Roman"/>
              </w:rPr>
              <w:t>(1), 35–47. https://doi.org/10.1111/aec.12825</w:t>
            </w:r>
          </w:p>
        </w:tc>
      </w:tr>
      <w:tr w:rsidR="00B03AB3" w14:paraId="36772457" w14:textId="77777777" w:rsidTr="008F1F56">
        <w:tc>
          <w:tcPr>
            <w:tcW w:w="5000" w:type="pct"/>
          </w:tcPr>
          <w:p w14:paraId="411F4A67"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lastRenderedPageBreak/>
              <w:t xml:space="preserve">Souza, A. F., &amp; Longhi, S. J. (2019). </w:t>
            </w:r>
            <w:r>
              <w:rPr>
                <w:rFonts w:ascii="Times New Roman" w:eastAsia="Times New Roman" w:hAnsi="Times New Roman" w:cs="Times New Roman"/>
              </w:rPr>
              <w:t xml:space="preserve">Disturbance history mediates climate change effects on subtropical forest biomass and dynamics. </w:t>
            </w:r>
            <w:r>
              <w:rPr>
                <w:rFonts w:ascii="Times New Roman" w:eastAsia="Times New Roman" w:hAnsi="Times New Roman" w:cs="Times New Roman"/>
                <w:i/>
                <w:iCs/>
              </w:rPr>
              <w:t>ECOLOGY AND EVOLUTION</w:t>
            </w:r>
            <w:r>
              <w:rPr>
                <w:rFonts w:ascii="Times New Roman" w:eastAsia="Times New Roman" w:hAnsi="Times New Roman" w:cs="Times New Roman"/>
              </w:rPr>
              <w:t xml:space="preserve">, </w:t>
            </w:r>
            <w:r>
              <w:rPr>
                <w:rFonts w:ascii="Times New Roman" w:eastAsia="Times New Roman" w:hAnsi="Times New Roman" w:cs="Times New Roman"/>
                <w:i/>
                <w:iCs/>
              </w:rPr>
              <w:t>9</w:t>
            </w:r>
            <w:r>
              <w:rPr>
                <w:rFonts w:ascii="Times New Roman" w:eastAsia="Times New Roman" w:hAnsi="Times New Roman" w:cs="Times New Roman"/>
              </w:rPr>
              <w:t>(12), 7184–7199. https://doi.org/10.1002/ece3.5289</w:t>
            </w:r>
          </w:p>
        </w:tc>
      </w:tr>
      <w:tr w:rsidR="00B03AB3" w14:paraId="48274273" w14:textId="77777777" w:rsidTr="008F1F56">
        <w:tc>
          <w:tcPr>
            <w:tcW w:w="5000" w:type="pct"/>
          </w:tcPr>
          <w:p w14:paraId="71DEC08B"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Tagliari, M. M., Bogoni, J. A., Blanco, G. D., Cruz, A. P., &amp; Peroni, N. (2023). </w:t>
            </w:r>
            <w:r>
              <w:rPr>
                <w:rFonts w:ascii="Times New Roman" w:eastAsia="Times New Roman" w:hAnsi="Times New Roman" w:cs="Times New Roman"/>
              </w:rPr>
              <w:t xml:space="preserve">Disrupting a socio-ecological system: could traditional ecological knowledge be the key to preserving the Araucaria Forest in Brazil under climate change? </w:t>
            </w:r>
            <w:r>
              <w:rPr>
                <w:rFonts w:ascii="Times New Roman" w:eastAsia="Times New Roman" w:hAnsi="Times New Roman" w:cs="Times New Roman"/>
                <w:i/>
                <w:iCs/>
              </w:rPr>
              <w:t>CLIMATIC CHANGE</w:t>
            </w:r>
            <w:r>
              <w:rPr>
                <w:rFonts w:ascii="Times New Roman" w:eastAsia="Times New Roman" w:hAnsi="Times New Roman" w:cs="Times New Roman"/>
              </w:rPr>
              <w:t xml:space="preserve">, </w:t>
            </w:r>
            <w:r>
              <w:rPr>
                <w:rFonts w:ascii="Times New Roman" w:eastAsia="Times New Roman" w:hAnsi="Times New Roman" w:cs="Times New Roman"/>
                <w:i/>
                <w:iCs/>
              </w:rPr>
              <w:t>176</w:t>
            </w:r>
            <w:r>
              <w:rPr>
                <w:rFonts w:ascii="Times New Roman" w:eastAsia="Times New Roman" w:hAnsi="Times New Roman" w:cs="Times New Roman"/>
              </w:rPr>
              <w:t>(2). https://doi.org/10.1007/s10584-022-03477-x</w:t>
            </w:r>
          </w:p>
        </w:tc>
      </w:tr>
      <w:tr w:rsidR="00B03AB3" w14:paraId="22032B65" w14:textId="77777777" w:rsidTr="008F1F56">
        <w:tc>
          <w:tcPr>
            <w:tcW w:w="5000" w:type="pct"/>
          </w:tcPr>
          <w:p w14:paraId="7F609CD0"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Trindade, W. C. F., Santos, M. H., &amp; Artoni, R. F. (2020). </w:t>
            </w:r>
            <w:r>
              <w:rPr>
                <w:rFonts w:ascii="Times New Roman" w:eastAsia="Times New Roman" w:hAnsi="Times New Roman" w:cs="Times New Roman"/>
              </w:rPr>
              <w:t xml:space="preserve">Climate change shifts the distribution of vegetation types in South Brazilian hotspots. </w:t>
            </w:r>
            <w:r>
              <w:rPr>
                <w:rFonts w:ascii="Times New Roman" w:eastAsia="Times New Roman" w:hAnsi="Times New Roman" w:cs="Times New Roman"/>
                <w:i/>
                <w:iCs/>
              </w:rPr>
              <w:t>REGIONAL ENVIRONMENTAL CHANGE</w:t>
            </w:r>
            <w:r>
              <w:rPr>
                <w:rFonts w:ascii="Times New Roman" w:eastAsia="Times New Roman" w:hAnsi="Times New Roman" w:cs="Times New Roman"/>
              </w:rPr>
              <w:t xml:space="preserve">, </w:t>
            </w:r>
            <w:r>
              <w:rPr>
                <w:rFonts w:ascii="Times New Roman" w:eastAsia="Times New Roman" w:hAnsi="Times New Roman" w:cs="Times New Roman"/>
                <w:i/>
                <w:iCs/>
              </w:rPr>
              <w:t>20</w:t>
            </w:r>
            <w:r>
              <w:rPr>
                <w:rFonts w:ascii="Times New Roman" w:eastAsia="Times New Roman" w:hAnsi="Times New Roman" w:cs="Times New Roman"/>
              </w:rPr>
              <w:t>(3). https://doi.org/10.1007/s10113-020-01686-7</w:t>
            </w:r>
          </w:p>
        </w:tc>
      </w:tr>
      <w:tr w:rsidR="00B03AB3" w14:paraId="4B1DA386" w14:textId="77777777" w:rsidTr="008F1F56">
        <w:tc>
          <w:tcPr>
            <w:tcW w:w="5000" w:type="pct"/>
          </w:tcPr>
          <w:p w14:paraId="70D64393"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Vale, M. M., Souza, T. V, Alves, M. A. S., &amp; Crouzeilles, R. (2018). </w:t>
            </w:r>
            <w:r>
              <w:rPr>
                <w:rFonts w:ascii="Times New Roman" w:eastAsia="Times New Roman" w:hAnsi="Times New Roman" w:cs="Times New Roman"/>
              </w:rPr>
              <w:t xml:space="preserve">Planning protected areas network that are relevant today and under future climate change is possible: the case of Atlantic Forest endemic birds. </w:t>
            </w:r>
            <w:r>
              <w:rPr>
                <w:rFonts w:ascii="Times New Roman" w:eastAsia="Times New Roman" w:hAnsi="Times New Roman" w:cs="Times New Roman"/>
                <w:i/>
                <w:iCs/>
              </w:rPr>
              <w:t>PEERJ</w:t>
            </w:r>
            <w:r>
              <w:rPr>
                <w:rFonts w:ascii="Times New Roman" w:eastAsia="Times New Roman" w:hAnsi="Times New Roman" w:cs="Times New Roman"/>
              </w:rPr>
              <w:t xml:space="preserve">, </w:t>
            </w:r>
            <w:r>
              <w:rPr>
                <w:rFonts w:ascii="Times New Roman" w:eastAsia="Times New Roman" w:hAnsi="Times New Roman" w:cs="Times New Roman"/>
                <w:i/>
                <w:iCs/>
              </w:rPr>
              <w:t>6</w:t>
            </w:r>
            <w:r>
              <w:rPr>
                <w:rFonts w:ascii="Times New Roman" w:eastAsia="Times New Roman" w:hAnsi="Times New Roman" w:cs="Times New Roman"/>
              </w:rPr>
              <w:t>. https://doi.org/10.7717/peerj.4689</w:t>
            </w:r>
          </w:p>
        </w:tc>
      </w:tr>
      <w:tr w:rsidR="00B03AB3" w14:paraId="59452FA2" w14:textId="77777777" w:rsidTr="008F1F56">
        <w:tc>
          <w:tcPr>
            <w:tcW w:w="5000" w:type="pct"/>
          </w:tcPr>
          <w:p w14:paraId="3EFFEF18"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Vasconcelos, T. D. (2014). Tracking climatically suitable areas for an endemic Cerrado snake under climate change. </w:t>
            </w:r>
            <w:r>
              <w:rPr>
                <w:rFonts w:ascii="Times New Roman" w:eastAsia="Times New Roman" w:hAnsi="Times New Roman" w:cs="Times New Roman"/>
                <w:i/>
                <w:iCs/>
              </w:rPr>
              <w:t>NATUREZA &amp; CONSERVACAO</w:t>
            </w:r>
            <w:r>
              <w:rPr>
                <w:rFonts w:ascii="Times New Roman" w:eastAsia="Times New Roman" w:hAnsi="Times New Roman" w:cs="Times New Roman"/>
              </w:rPr>
              <w:t xml:space="preserve">, </w:t>
            </w:r>
            <w:r>
              <w:rPr>
                <w:rFonts w:ascii="Times New Roman" w:eastAsia="Times New Roman" w:hAnsi="Times New Roman" w:cs="Times New Roman"/>
                <w:i/>
                <w:iCs/>
              </w:rPr>
              <w:t>12</w:t>
            </w:r>
            <w:r>
              <w:rPr>
                <w:rFonts w:ascii="Times New Roman" w:eastAsia="Times New Roman" w:hAnsi="Times New Roman" w:cs="Times New Roman"/>
              </w:rPr>
              <w:t>(1), 47–52. https://doi.org/10.4322/natcon.2014.009</w:t>
            </w:r>
          </w:p>
        </w:tc>
      </w:tr>
      <w:tr w:rsidR="00B03AB3" w14:paraId="55CB3B92" w14:textId="77777777" w:rsidTr="008F1F56">
        <w:tc>
          <w:tcPr>
            <w:tcW w:w="5000" w:type="pct"/>
          </w:tcPr>
          <w:p w14:paraId="43DF1C35"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Velazco, S. J. E., Villalobos, F., Galvao, F., &amp; De Marco, P. (2019). </w:t>
            </w:r>
            <w:r>
              <w:rPr>
                <w:rFonts w:ascii="Times New Roman" w:eastAsia="Times New Roman" w:hAnsi="Times New Roman" w:cs="Times New Roman"/>
              </w:rPr>
              <w:t xml:space="preserve">A dark scenario for Cerrado plant species: Effects of future climate, land use and protected areas ineffectiveness. </w:t>
            </w:r>
            <w:r>
              <w:rPr>
                <w:rFonts w:ascii="Times New Roman" w:eastAsia="Times New Roman" w:hAnsi="Times New Roman" w:cs="Times New Roman"/>
                <w:i/>
                <w:iCs/>
              </w:rPr>
              <w:t>DIVERSITY AND DISTRIBUTIONS</w:t>
            </w:r>
            <w:r>
              <w:rPr>
                <w:rFonts w:ascii="Times New Roman" w:eastAsia="Times New Roman" w:hAnsi="Times New Roman" w:cs="Times New Roman"/>
              </w:rPr>
              <w:t xml:space="preserve">, </w:t>
            </w:r>
            <w:r>
              <w:rPr>
                <w:rFonts w:ascii="Times New Roman" w:eastAsia="Times New Roman" w:hAnsi="Times New Roman" w:cs="Times New Roman"/>
                <w:i/>
                <w:iCs/>
              </w:rPr>
              <w:t>25</w:t>
            </w:r>
            <w:r>
              <w:rPr>
                <w:rFonts w:ascii="Times New Roman" w:eastAsia="Times New Roman" w:hAnsi="Times New Roman" w:cs="Times New Roman"/>
              </w:rPr>
              <w:t>(4), 660–673. https://doi.org/10.1111/ddi.12886</w:t>
            </w:r>
          </w:p>
        </w:tc>
      </w:tr>
      <w:tr w:rsidR="00B03AB3" w14:paraId="44CBF2A6" w14:textId="77777777" w:rsidTr="008F1F56">
        <w:tc>
          <w:tcPr>
            <w:tcW w:w="5000" w:type="pct"/>
          </w:tcPr>
          <w:p w14:paraId="49BE8B43"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Venegas-González, A., Roig, F. A., Lisi, C. S., Albiero, A., Alvares, C. A., &amp; Tomazello, M. (2018). </w:t>
            </w:r>
            <w:r>
              <w:rPr>
                <w:rFonts w:ascii="Times New Roman" w:eastAsia="Times New Roman" w:hAnsi="Times New Roman" w:cs="Times New Roman"/>
              </w:rPr>
              <w:t xml:space="preserve">Drought and climate change incidence on hotspot </w:t>
            </w:r>
            <w:r>
              <w:rPr>
                <w:rFonts w:ascii="Times New Roman" w:eastAsia="Times New Roman" w:hAnsi="Times New Roman" w:cs="Times New Roman"/>
                <w:i/>
                <w:iCs/>
              </w:rPr>
              <w:t>Cedrela</w:t>
            </w:r>
            <w:r>
              <w:rPr>
                <w:rFonts w:ascii="Times New Roman" w:eastAsia="Times New Roman" w:hAnsi="Times New Roman" w:cs="Times New Roman"/>
              </w:rPr>
              <w:t xml:space="preserve"> forests from the Mata Atlantica biome in southeastern Brazil. </w:t>
            </w:r>
            <w:r>
              <w:rPr>
                <w:rFonts w:ascii="Times New Roman" w:eastAsia="Times New Roman" w:hAnsi="Times New Roman" w:cs="Times New Roman"/>
                <w:i/>
                <w:iCs/>
              </w:rPr>
              <w:t>GLOBAL ECOLOGY AND CONSERVATION</w:t>
            </w:r>
            <w:r>
              <w:rPr>
                <w:rFonts w:ascii="Times New Roman" w:eastAsia="Times New Roman" w:hAnsi="Times New Roman" w:cs="Times New Roman"/>
              </w:rPr>
              <w:t xml:space="preserve">, </w:t>
            </w:r>
            <w:r>
              <w:rPr>
                <w:rFonts w:ascii="Times New Roman" w:eastAsia="Times New Roman" w:hAnsi="Times New Roman" w:cs="Times New Roman"/>
                <w:i/>
                <w:iCs/>
              </w:rPr>
              <w:t>15</w:t>
            </w:r>
            <w:r>
              <w:rPr>
                <w:rFonts w:ascii="Times New Roman" w:eastAsia="Times New Roman" w:hAnsi="Times New Roman" w:cs="Times New Roman"/>
              </w:rPr>
              <w:t>. https://doi.org/10.1016/j.gecco.2018.e00408</w:t>
            </w:r>
          </w:p>
        </w:tc>
      </w:tr>
      <w:tr w:rsidR="00B03AB3" w14:paraId="505375D6" w14:textId="77777777" w:rsidTr="008F1F56">
        <w:tc>
          <w:tcPr>
            <w:tcW w:w="5000" w:type="pct"/>
          </w:tcPr>
          <w:p w14:paraId="7277CDE5"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Wilson, O. J., Mayle, F. E., Walters, R. J., Lingner, D. V, &amp; Vibrans</w:t>
            </w:r>
            <w:r>
              <w:rPr>
                <w:rFonts w:ascii="Times New Roman" w:eastAsia="Times New Roman" w:hAnsi="Times New Roman" w:cs="Times New Roman"/>
              </w:rPr>
              <w:t xml:space="preserve">, A. C. (2021). Floristic change in Brazil’s southern Atlantic Forest biodiversity hotspot: From the Last Glacial Maximum to the late 21st Century. </w:t>
            </w:r>
            <w:r>
              <w:rPr>
                <w:rFonts w:ascii="Times New Roman" w:eastAsia="Times New Roman" w:hAnsi="Times New Roman" w:cs="Times New Roman"/>
                <w:i/>
                <w:iCs/>
              </w:rPr>
              <w:t>QUATERNARY SCIENCE REVIEWS</w:t>
            </w:r>
            <w:r>
              <w:rPr>
                <w:rFonts w:ascii="Times New Roman" w:eastAsia="Times New Roman" w:hAnsi="Times New Roman" w:cs="Times New Roman"/>
              </w:rPr>
              <w:t xml:space="preserve">, </w:t>
            </w:r>
            <w:r>
              <w:rPr>
                <w:rFonts w:ascii="Times New Roman" w:eastAsia="Times New Roman" w:hAnsi="Times New Roman" w:cs="Times New Roman"/>
                <w:i/>
                <w:iCs/>
              </w:rPr>
              <w:t>264</w:t>
            </w:r>
            <w:r>
              <w:rPr>
                <w:rFonts w:ascii="Times New Roman" w:eastAsia="Times New Roman" w:hAnsi="Times New Roman" w:cs="Times New Roman"/>
              </w:rPr>
              <w:t>. https://doi.org/10.1016/j.quascirev.2021.107005</w:t>
            </w:r>
          </w:p>
        </w:tc>
      </w:tr>
      <w:tr w:rsidR="00B03AB3" w14:paraId="150247E1" w14:textId="77777777" w:rsidTr="008F1F56">
        <w:tc>
          <w:tcPr>
            <w:tcW w:w="5000" w:type="pct"/>
          </w:tcPr>
          <w:p w14:paraId="2C227399" w14:textId="77777777" w:rsidR="00B03AB3" w:rsidRDefault="00000000" w:rsidP="00915440">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 xml:space="preserve">Wilson, O. J., Walters, R. J., Mayle, F. E., Lingner, D., &amp; Vibrans, A. C. (2019). Cold spot microrefugia hold the key to survival for Brazil’s Critically Endangered Araucaria tree. </w:t>
            </w:r>
            <w:r>
              <w:rPr>
                <w:rFonts w:ascii="Times New Roman" w:eastAsia="Times New Roman" w:hAnsi="Times New Roman" w:cs="Times New Roman"/>
                <w:i/>
                <w:iCs/>
              </w:rPr>
              <w:t>GLOBAL CHANGE BIOLOGY</w:t>
            </w:r>
            <w:r>
              <w:rPr>
                <w:rFonts w:ascii="Times New Roman" w:eastAsia="Times New Roman" w:hAnsi="Times New Roman" w:cs="Times New Roman"/>
              </w:rPr>
              <w:t xml:space="preserve">, </w:t>
            </w:r>
            <w:r>
              <w:rPr>
                <w:rFonts w:ascii="Times New Roman" w:eastAsia="Times New Roman" w:hAnsi="Times New Roman" w:cs="Times New Roman"/>
                <w:i/>
                <w:iCs/>
              </w:rPr>
              <w:t>25</w:t>
            </w:r>
            <w:r>
              <w:rPr>
                <w:rFonts w:ascii="Times New Roman" w:eastAsia="Times New Roman" w:hAnsi="Times New Roman" w:cs="Times New Roman"/>
              </w:rPr>
              <w:t>(12), 4339–4351. https://doi.org/10.1111/gcb.14755</w:t>
            </w:r>
          </w:p>
        </w:tc>
      </w:tr>
      <w:tr w:rsidR="00B03AB3" w14:paraId="1CED9C7F" w14:textId="77777777" w:rsidTr="008F1F56">
        <w:tc>
          <w:tcPr>
            <w:tcW w:w="5000" w:type="pct"/>
          </w:tcPr>
          <w:p w14:paraId="682D01E6" w14:textId="77777777" w:rsidR="00B03AB3" w:rsidRDefault="00000000" w:rsidP="00915440">
            <w:pPr>
              <w:pStyle w:val="ListParagraph"/>
              <w:numPr>
                <w:ilvl w:val="0"/>
                <w:numId w:val="2"/>
              </w:numPr>
              <w:rPr>
                <w:rFonts w:ascii="Times New Roman" w:eastAsia="Times New Roman" w:hAnsi="Times New Roman" w:cs="Times New Roman"/>
              </w:rPr>
            </w:pPr>
            <w:r w:rsidRPr="00124FF7">
              <w:rPr>
                <w:rFonts w:ascii="Times New Roman" w:eastAsia="Times New Roman" w:hAnsi="Times New Roman" w:cs="Times New Roman"/>
                <w:lang w:val="pt-BR"/>
              </w:rPr>
              <w:t>Zanin, M., Tessarolo</w:t>
            </w:r>
            <w:r w:rsidRPr="00124FF7">
              <w:rPr>
                <w:rFonts w:ascii="Times New Roman" w:eastAsia="Times New Roman" w:hAnsi="Times New Roman" w:cs="Times New Roman"/>
                <w:lang w:val="pt-BR"/>
              </w:rPr>
              <w:t xml:space="preserve">, G., Machado, N., &amp; Albernaz, A. L. M. (2017). </w:t>
            </w:r>
            <w:proofErr w:type="gramStart"/>
            <w:r>
              <w:rPr>
                <w:rFonts w:ascii="Times New Roman" w:eastAsia="Times New Roman" w:hAnsi="Times New Roman" w:cs="Times New Roman"/>
              </w:rPr>
              <w:t>Climatically-mediated</w:t>
            </w:r>
            <w:proofErr w:type="gramEnd"/>
            <w:r>
              <w:rPr>
                <w:rFonts w:ascii="Times New Roman" w:eastAsia="Times New Roman" w:hAnsi="Times New Roman" w:cs="Times New Roman"/>
              </w:rPr>
              <w:t xml:space="preserve"> landcover </w:t>
            </w:r>
            <w:proofErr w:type="gramStart"/>
            <w:r>
              <w:rPr>
                <w:rFonts w:ascii="Times New Roman" w:eastAsia="Times New Roman" w:hAnsi="Times New Roman" w:cs="Times New Roman"/>
              </w:rPr>
              <w:t>change:</w:t>
            </w:r>
            <w:proofErr w:type="gramEnd"/>
            <w:r>
              <w:rPr>
                <w:rFonts w:ascii="Times New Roman" w:eastAsia="Times New Roman" w:hAnsi="Times New Roman" w:cs="Times New Roman"/>
              </w:rPr>
              <w:t xml:space="preserve"> impacts on Brazilian territory. </w:t>
            </w:r>
            <w:r>
              <w:rPr>
                <w:rFonts w:ascii="Times New Roman" w:eastAsia="Times New Roman" w:hAnsi="Times New Roman" w:cs="Times New Roman"/>
                <w:i/>
                <w:iCs/>
              </w:rPr>
              <w:t>ANAIS DA ACADEMIA BRASILEIRA DE CIENCIAS</w:t>
            </w:r>
            <w:r>
              <w:rPr>
                <w:rFonts w:ascii="Times New Roman" w:eastAsia="Times New Roman" w:hAnsi="Times New Roman" w:cs="Times New Roman"/>
              </w:rPr>
              <w:t xml:space="preserve">, </w:t>
            </w:r>
            <w:r>
              <w:rPr>
                <w:rFonts w:ascii="Times New Roman" w:eastAsia="Times New Roman" w:hAnsi="Times New Roman" w:cs="Times New Roman"/>
                <w:i/>
                <w:iCs/>
              </w:rPr>
              <w:t>89</w:t>
            </w:r>
            <w:r>
              <w:rPr>
                <w:rFonts w:ascii="Times New Roman" w:eastAsia="Times New Roman" w:hAnsi="Times New Roman" w:cs="Times New Roman"/>
              </w:rPr>
              <w:t>(2), 939–952. https://doi.org/10.1590/0001-3765201720160226</w:t>
            </w:r>
          </w:p>
        </w:tc>
      </w:tr>
      <w:tr w:rsidR="00B03AB3" w14:paraId="4FC33D99" w14:textId="77777777" w:rsidTr="008F1F56">
        <w:tc>
          <w:tcPr>
            <w:tcW w:w="5000" w:type="pct"/>
          </w:tcPr>
          <w:p w14:paraId="1341BF3F"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Zwiener, V. P., Lira-Noriega, A., Grady, C. J., Padial, A. A., &amp; Vitule, J. R. S. (2018). </w:t>
            </w:r>
            <w:r>
              <w:rPr>
                <w:rFonts w:ascii="Times New Roman" w:eastAsia="Times New Roman" w:hAnsi="Times New Roman" w:cs="Times New Roman"/>
              </w:rPr>
              <w:t xml:space="preserve">Climate change as a driver of biotic homogenization of woody plants in the Atlantic Forest. </w:t>
            </w:r>
            <w:r>
              <w:rPr>
                <w:rFonts w:ascii="Times New Roman" w:eastAsia="Times New Roman" w:hAnsi="Times New Roman" w:cs="Times New Roman"/>
                <w:i/>
                <w:iCs/>
              </w:rPr>
              <w:t>GLOBAL ECOLOGY AND BIOGEOGRAPHY</w:t>
            </w:r>
            <w:r>
              <w:rPr>
                <w:rFonts w:ascii="Times New Roman" w:eastAsia="Times New Roman" w:hAnsi="Times New Roman" w:cs="Times New Roman"/>
              </w:rPr>
              <w:t xml:space="preserve">, </w:t>
            </w:r>
            <w:r>
              <w:rPr>
                <w:rFonts w:ascii="Times New Roman" w:eastAsia="Times New Roman" w:hAnsi="Times New Roman" w:cs="Times New Roman"/>
                <w:i/>
                <w:iCs/>
              </w:rPr>
              <w:t>27</w:t>
            </w:r>
            <w:r>
              <w:rPr>
                <w:rFonts w:ascii="Times New Roman" w:eastAsia="Times New Roman" w:hAnsi="Times New Roman" w:cs="Times New Roman"/>
              </w:rPr>
              <w:t>(3), 298–309. https://doi.org/10.1111/geb.12695</w:t>
            </w:r>
          </w:p>
        </w:tc>
      </w:tr>
      <w:tr w:rsidR="00B03AB3" w14:paraId="028EEB14" w14:textId="77777777" w:rsidTr="008F1F56">
        <w:tc>
          <w:tcPr>
            <w:tcW w:w="5000" w:type="pct"/>
          </w:tcPr>
          <w:p w14:paraId="0051EFFE" w14:textId="77777777" w:rsidR="00B03AB3" w:rsidRDefault="00000000" w:rsidP="00915440">
            <w:pPr>
              <w:pStyle w:val="ListParagraph"/>
              <w:numPr>
                <w:ilvl w:val="0"/>
                <w:numId w:val="2"/>
              </w:numPr>
              <w:rPr>
                <w:rFonts w:ascii="Times New Roman" w:eastAsia="Times New Roman" w:hAnsi="Times New Roman" w:cs="Times New Roman"/>
              </w:rPr>
            </w:pPr>
            <w:r w:rsidRPr="00D00D00">
              <w:rPr>
                <w:rFonts w:ascii="Times New Roman" w:eastAsia="Times New Roman" w:hAnsi="Times New Roman" w:cs="Times New Roman"/>
                <w:lang w:val="pt-BR"/>
              </w:rPr>
              <w:t xml:space="preserve">Zwiener, V. P., Padial, A. A., Marques, M. C. M., Faleiro, F. V, Loyola, R., &amp; Peterson, A. T. (2017). </w:t>
            </w:r>
            <w:r>
              <w:rPr>
                <w:rFonts w:ascii="Times New Roman" w:eastAsia="Times New Roman" w:hAnsi="Times New Roman" w:cs="Times New Roman"/>
              </w:rPr>
              <w:t xml:space="preserve">Planning for conservation and restoration under climate and land use change in the Brazilian Atlantic Forest. </w:t>
            </w:r>
            <w:r>
              <w:rPr>
                <w:rFonts w:ascii="Times New Roman" w:eastAsia="Times New Roman" w:hAnsi="Times New Roman" w:cs="Times New Roman"/>
                <w:i/>
                <w:iCs/>
              </w:rPr>
              <w:t>DIVERSITY AND DISTRIBUTIONS</w:t>
            </w:r>
            <w:r>
              <w:rPr>
                <w:rFonts w:ascii="Times New Roman" w:eastAsia="Times New Roman" w:hAnsi="Times New Roman" w:cs="Times New Roman"/>
              </w:rPr>
              <w:t xml:space="preserve">, </w:t>
            </w:r>
            <w:r>
              <w:rPr>
                <w:rFonts w:ascii="Times New Roman" w:eastAsia="Times New Roman" w:hAnsi="Times New Roman" w:cs="Times New Roman"/>
                <w:i/>
                <w:iCs/>
              </w:rPr>
              <w:t>23</w:t>
            </w:r>
            <w:r>
              <w:rPr>
                <w:rFonts w:ascii="Times New Roman" w:eastAsia="Times New Roman" w:hAnsi="Times New Roman" w:cs="Times New Roman"/>
              </w:rPr>
              <w:t>(8), 955–966. https://doi.org/10.1111/ddi.12588</w:t>
            </w:r>
          </w:p>
        </w:tc>
      </w:tr>
    </w:tbl>
    <w:p w14:paraId="41C8F396" w14:textId="77777777" w:rsidR="00B03AB3" w:rsidRDefault="00000000" w:rsidP="00915440">
      <w:pPr>
        <w:rPr>
          <w:rFonts w:ascii="Times New Roman" w:eastAsia="Times New Roman" w:hAnsi="Times New Roman" w:cs="Times New Roman"/>
          <w:b/>
          <w:bCs/>
          <w:lang w:val="pt-BR"/>
        </w:rPr>
      </w:pPr>
      <w:r>
        <w:br w:type="page"/>
      </w:r>
    </w:p>
    <w:p w14:paraId="72A3D3EC" w14:textId="77777777" w:rsidR="00B03AB3" w:rsidRDefault="00B03AB3" w:rsidP="00915440">
      <w:pPr>
        <w:rPr>
          <w:rFonts w:ascii="Times New Roman" w:eastAsia="Times New Roman" w:hAnsi="Times New Roman" w:cs="Times New Roman"/>
        </w:rPr>
      </w:pPr>
    </w:p>
    <w:p w14:paraId="5994FFB8" w14:textId="77777777" w:rsidR="004E4B96" w:rsidRDefault="00000000" w:rsidP="0016439B">
      <w:pPr>
        <w:pStyle w:val="BodyText"/>
        <w:spacing w:after="0" w:line="240" w:lineRule="auto"/>
      </w:pPr>
      <w:r>
        <w:rPr>
          <w:noProof/>
        </w:rPr>
        <w:drawing>
          <wp:inline distT="0" distB="0" distL="0" distR="0" wp14:anchorId="5BFC653A" wp14:editId="07777777">
            <wp:extent cx="5724525" cy="2343150"/>
            <wp:effectExtent l="0" t="0" r="0" b="0"/>
            <wp:docPr id="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1"/>
                    <pic:cNvPicPr>
                      <a:picLocks noChangeAspect="1" noChangeArrowheads="1"/>
                    </pic:cNvPicPr>
                  </pic:nvPicPr>
                  <pic:blipFill>
                    <a:blip r:embed="rId9"/>
                    <a:stretch>
                      <a:fillRect/>
                    </a:stretch>
                  </pic:blipFill>
                  <pic:spPr bwMode="auto">
                    <a:xfrm>
                      <a:off x="0" y="0"/>
                      <a:ext cx="5724525" cy="2343150"/>
                    </a:xfrm>
                    <a:prstGeom prst="rect">
                      <a:avLst/>
                    </a:prstGeom>
                  </pic:spPr>
                </pic:pic>
              </a:graphicData>
            </a:graphic>
          </wp:inline>
        </w:drawing>
      </w:r>
    </w:p>
    <w:p w14:paraId="54F41B11" w14:textId="442313BB" w:rsidR="0016439B" w:rsidRDefault="00000000" w:rsidP="0016439B">
      <w:pPr>
        <w:pStyle w:val="BodyText"/>
        <w:spacing w:after="0" w:line="240" w:lineRule="auto"/>
        <w:rPr>
          <w:rFonts w:ascii="Times New Roman;Times New Roman" w:hAnsi="Times New Roman;Times New Roman"/>
        </w:rPr>
      </w:pPr>
      <w:r>
        <w:rPr>
          <w:rFonts w:ascii="Times New Roman;Times New Roman" w:hAnsi="Times New Roman;Times New Roman"/>
          <w:b/>
        </w:rPr>
        <w:t>Fig. S1</w:t>
      </w:r>
      <w:r w:rsidR="0016439B">
        <w:rPr>
          <w:rFonts w:ascii="Times New Roman;Times New Roman" w:hAnsi="Times New Roman;Times New Roman"/>
          <w:b/>
        </w:rPr>
        <w:t>.</w:t>
      </w:r>
      <w:r>
        <w:t xml:space="preserve"> </w:t>
      </w:r>
      <w:r w:rsidR="0016439B" w:rsidRPr="0016439B">
        <w:rPr>
          <w:rFonts w:ascii="Times New Roman;Times New Roman" w:hAnsi="Times New Roman;Times New Roman"/>
        </w:rPr>
        <w:t>(A) Annual scientific production on climate change and Brazilian biodiversity. (B) Word cloud showing the 40 most frequent terms in the abstracts of the 111 included articles.</w:t>
      </w:r>
    </w:p>
    <w:p w14:paraId="44EAFD9C" w14:textId="33C2D863" w:rsidR="00B03AB3" w:rsidRDefault="00000000" w:rsidP="0016439B">
      <w:pPr>
        <w:pStyle w:val="BodyText"/>
        <w:spacing w:after="0" w:line="240" w:lineRule="auto"/>
        <w:jc w:val="both"/>
        <w:rPr>
          <w:rFonts w:ascii="Times New Roman" w:eastAsia="Times New Roman" w:hAnsi="Times New Roman" w:cs="Times New Roman"/>
        </w:rPr>
      </w:pPr>
      <w:r>
        <w:br w:type="page"/>
      </w:r>
    </w:p>
    <w:p w14:paraId="1CCDDEAC" w14:textId="0A543ED0" w:rsidR="004E4B96" w:rsidRDefault="000753BF" w:rsidP="00915440">
      <w:pPr>
        <w:rPr>
          <w:rFonts w:ascii="Times New Roman" w:eastAsia="Times New Roman" w:hAnsi="Times New Roman" w:cs="Times New Roman"/>
        </w:rPr>
      </w:pPr>
      <w:r w:rsidRPr="000C60AD">
        <w:rPr>
          <w:rFonts w:ascii="Times New Roman" w:eastAsia="Times New Roman" w:hAnsi="Times New Roman" w:cs="Times New Roman"/>
          <w:b/>
          <w:bCs/>
        </w:rPr>
        <w:lastRenderedPageBreak/>
        <w:t>Table S2.</w:t>
      </w:r>
      <w:r w:rsidRPr="000753BF">
        <w:rPr>
          <w:rFonts w:ascii="Times New Roman" w:eastAsia="Times New Roman" w:hAnsi="Times New Roman" w:cs="Times New Roman"/>
        </w:rPr>
        <w:t xml:space="preserve"> Exploratory data analysis using the Boruta algorithm with Random Forest to select a priori predictors for subsequent evidence-mapping and bibliometric analyses. Mean, median, minimum, and maximum importance, normalized hit rate, and Boruta decision are shown for each attribute (Kursa &amp; Rudnicki, 2010).</w:t>
      </w:r>
    </w:p>
    <w:p w14:paraId="106A8524" w14:textId="77777777" w:rsidR="000753BF" w:rsidRDefault="000753BF" w:rsidP="00915440">
      <w:pPr>
        <w:rPr>
          <w:rFonts w:ascii="Times New Roman" w:eastAsia="Times New Roman" w:hAnsi="Times New Roman" w:cs="Times New Roman"/>
        </w:rPr>
      </w:pPr>
    </w:p>
    <w:tbl>
      <w:tblPr>
        <w:tblW w:w="9695" w:type="dxa"/>
        <w:tblInd w:w="-60" w:type="dxa"/>
        <w:tblCellMar>
          <w:left w:w="0" w:type="dxa"/>
          <w:right w:w="0" w:type="dxa"/>
        </w:tblCellMar>
        <w:tblLook w:val="04A0" w:firstRow="1" w:lastRow="0" w:firstColumn="1" w:lastColumn="0" w:noHBand="0" w:noVBand="1"/>
      </w:tblPr>
      <w:tblGrid>
        <w:gridCol w:w="1815"/>
        <w:gridCol w:w="1406"/>
        <w:gridCol w:w="1350"/>
        <w:gridCol w:w="1248"/>
        <w:gridCol w:w="1293"/>
        <w:gridCol w:w="1167"/>
        <w:gridCol w:w="1416"/>
      </w:tblGrid>
      <w:tr w:rsidR="00B03AB3" w14:paraId="11D45B46" w14:textId="77777777" w:rsidTr="00CE5BF2">
        <w:trPr>
          <w:trHeight w:val="300"/>
        </w:trPr>
        <w:tc>
          <w:tcPr>
            <w:tcW w:w="1815" w:type="dxa"/>
            <w:tcBorders>
              <w:top w:val="single" w:sz="6" w:space="0" w:color="000000" w:themeColor="text1"/>
              <w:bottom w:val="single" w:sz="6" w:space="0" w:color="000000" w:themeColor="text1"/>
            </w:tcBorders>
            <w:vAlign w:val="center"/>
          </w:tcPr>
          <w:p w14:paraId="7A1E2CDE" w14:textId="77777777" w:rsidR="00B03AB3" w:rsidRDefault="7E02834B" w:rsidP="00915440">
            <w:pPr>
              <w:jc w:val="center"/>
              <w:rPr>
                <w:rFonts w:ascii="Times New Roman" w:eastAsia="Times New Roman" w:hAnsi="Times New Roman" w:cs="Times New Roman"/>
                <w:b/>
                <w:bCs/>
                <w:color w:val="000000"/>
              </w:rPr>
            </w:pPr>
            <w:r w:rsidRPr="7E02834B">
              <w:rPr>
                <w:rFonts w:ascii="Times New Roman" w:eastAsia="Times New Roman" w:hAnsi="Times New Roman" w:cs="Times New Roman"/>
                <w:b/>
                <w:bCs/>
                <w:color w:val="000000" w:themeColor="text1"/>
              </w:rPr>
              <w:t>Effects</w:t>
            </w:r>
          </w:p>
        </w:tc>
        <w:tc>
          <w:tcPr>
            <w:tcW w:w="1406" w:type="dxa"/>
            <w:tcBorders>
              <w:top w:val="single" w:sz="6" w:space="0" w:color="000000" w:themeColor="text1"/>
              <w:bottom w:val="single" w:sz="6" w:space="0" w:color="000000" w:themeColor="text1"/>
            </w:tcBorders>
            <w:vAlign w:val="center"/>
          </w:tcPr>
          <w:p w14:paraId="2C7A14FA" w14:textId="77777777" w:rsidR="00B03AB3" w:rsidRDefault="00000000" w:rsidP="0091544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meanImp</w:t>
            </w:r>
          </w:p>
        </w:tc>
        <w:tc>
          <w:tcPr>
            <w:tcW w:w="1350" w:type="dxa"/>
            <w:tcBorders>
              <w:top w:val="single" w:sz="6" w:space="0" w:color="000000" w:themeColor="text1"/>
              <w:bottom w:val="single" w:sz="6" w:space="0" w:color="000000" w:themeColor="text1"/>
            </w:tcBorders>
            <w:vAlign w:val="center"/>
          </w:tcPr>
          <w:p w14:paraId="03E8EF5C" w14:textId="77777777" w:rsidR="00B03AB3" w:rsidRDefault="7E02834B" w:rsidP="00915440">
            <w:pPr>
              <w:jc w:val="center"/>
              <w:rPr>
                <w:rFonts w:ascii="Times New Roman" w:eastAsia="Times New Roman" w:hAnsi="Times New Roman" w:cs="Times New Roman"/>
                <w:b/>
                <w:bCs/>
                <w:color w:val="000000"/>
              </w:rPr>
            </w:pPr>
            <w:r w:rsidRPr="7E02834B">
              <w:rPr>
                <w:rFonts w:ascii="Times New Roman" w:eastAsia="Times New Roman" w:hAnsi="Times New Roman" w:cs="Times New Roman"/>
                <w:b/>
                <w:bCs/>
                <w:color w:val="000000" w:themeColor="text1"/>
              </w:rPr>
              <w:t xml:space="preserve"> medianImp</w:t>
            </w:r>
          </w:p>
        </w:tc>
        <w:tc>
          <w:tcPr>
            <w:tcW w:w="1248" w:type="dxa"/>
            <w:tcBorders>
              <w:top w:val="single" w:sz="6" w:space="0" w:color="000000" w:themeColor="text1"/>
              <w:bottom w:val="single" w:sz="6" w:space="0" w:color="000000" w:themeColor="text1"/>
            </w:tcBorders>
            <w:vAlign w:val="center"/>
          </w:tcPr>
          <w:p w14:paraId="0B4E22C0" w14:textId="77777777" w:rsidR="00B03AB3" w:rsidRDefault="00000000" w:rsidP="0091544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minImp</w:t>
            </w:r>
          </w:p>
        </w:tc>
        <w:tc>
          <w:tcPr>
            <w:tcW w:w="1293" w:type="dxa"/>
            <w:tcBorders>
              <w:top w:val="single" w:sz="6" w:space="0" w:color="000000" w:themeColor="text1"/>
              <w:bottom w:val="single" w:sz="6" w:space="0" w:color="000000" w:themeColor="text1"/>
            </w:tcBorders>
            <w:vAlign w:val="center"/>
          </w:tcPr>
          <w:p w14:paraId="6B8EB997" w14:textId="77777777" w:rsidR="00B03AB3" w:rsidRDefault="00000000" w:rsidP="0091544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maxImp</w:t>
            </w:r>
          </w:p>
        </w:tc>
        <w:tc>
          <w:tcPr>
            <w:tcW w:w="1167" w:type="dxa"/>
            <w:tcBorders>
              <w:top w:val="single" w:sz="6" w:space="0" w:color="000000" w:themeColor="text1"/>
              <w:bottom w:val="single" w:sz="6" w:space="0" w:color="000000" w:themeColor="text1"/>
            </w:tcBorders>
            <w:vAlign w:val="center"/>
          </w:tcPr>
          <w:p w14:paraId="7EB6DCAA" w14:textId="77777777" w:rsidR="00B03AB3" w:rsidRDefault="00000000" w:rsidP="00915440">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Norm Hits</w:t>
            </w:r>
          </w:p>
        </w:tc>
        <w:tc>
          <w:tcPr>
            <w:tcW w:w="1416" w:type="dxa"/>
            <w:tcBorders>
              <w:top w:val="single" w:sz="6" w:space="0" w:color="000000" w:themeColor="text1"/>
              <w:bottom w:val="single" w:sz="6" w:space="0" w:color="000000" w:themeColor="text1"/>
            </w:tcBorders>
            <w:vAlign w:val="center"/>
          </w:tcPr>
          <w:p w14:paraId="52492A46" w14:textId="77777777" w:rsidR="00B03AB3" w:rsidRDefault="7E02834B" w:rsidP="00915440">
            <w:pPr>
              <w:jc w:val="center"/>
              <w:rPr>
                <w:rFonts w:ascii="Times New Roman" w:eastAsia="Times New Roman" w:hAnsi="Times New Roman" w:cs="Times New Roman"/>
                <w:b/>
                <w:bCs/>
                <w:color w:val="000000"/>
              </w:rPr>
            </w:pPr>
            <w:r w:rsidRPr="7E02834B">
              <w:rPr>
                <w:rFonts w:ascii="Times New Roman" w:eastAsia="Times New Roman" w:hAnsi="Times New Roman" w:cs="Times New Roman"/>
                <w:b/>
                <w:bCs/>
                <w:color w:val="000000" w:themeColor="text1"/>
              </w:rPr>
              <w:t xml:space="preserve"> Decision</w:t>
            </w:r>
          </w:p>
        </w:tc>
      </w:tr>
      <w:tr w:rsidR="00B03AB3" w14:paraId="5FEF0859" w14:textId="77777777" w:rsidTr="00CE5BF2">
        <w:trPr>
          <w:trHeight w:val="300"/>
        </w:trPr>
        <w:tc>
          <w:tcPr>
            <w:tcW w:w="1815" w:type="dxa"/>
            <w:vAlign w:val="bottom"/>
          </w:tcPr>
          <w:p w14:paraId="43A64198"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Climatic aspect</w:t>
            </w:r>
          </w:p>
        </w:tc>
        <w:tc>
          <w:tcPr>
            <w:tcW w:w="1406" w:type="dxa"/>
            <w:vAlign w:val="center"/>
          </w:tcPr>
          <w:p w14:paraId="7BEBB60D"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60.5</w:t>
            </w:r>
          </w:p>
        </w:tc>
        <w:tc>
          <w:tcPr>
            <w:tcW w:w="1350" w:type="dxa"/>
            <w:vAlign w:val="center"/>
          </w:tcPr>
          <w:p w14:paraId="7CA6996E"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60.5</w:t>
            </w:r>
          </w:p>
        </w:tc>
        <w:tc>
          <w:tcPr>
            <w:tcW w:w="1248" w:type="dxa"/>
            <w:vAlign w:val="center"/>
          </w:tcPr>
          <w:p w14:paraId="7A69ED2A"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56.1</w:t>
            </w:r>
          </w:p>
        </w:tc>
        <w:tc>
          <w:tcPr>
            <w:tcW w:w="1293" w:type="dxa"/>
            <w:vAlign w:val="center"/>
          </w:tcPr>
          <w:p w14:paraId="2FDC3388"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63.6</w:t>
            </w:r>
          </w:p>
        </w:tc>
        <w:tc>
          <w:tcPr>
            <w:tcW w:w="1167" w:type="dxa"/>
            <w:vAlign w:val="center"/>
          </w:tcPr>
          <w:p w14:paraId="649841BE"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00A03529"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0DA68B53" w14:textId="77777777" w:rsidTr="00CE5BF2">
        <w:trPr>
          <w:trHeight w:val="300"/>
        </w:trPr>
        <w:tc>
          <w:tcPr>
            <w:tcW w:w="1815" w:type="dxa"/>
            <w:vAlign w:val="bottom"/>
          </w:tcPr>
          <w:p w14:paraId="773C3E81"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Ecological level</w:t>
            </w:r>
          </w:p>
        </w:tc>
        <w:tc>
          <w:tcPr>
            <w:tcW w:w="1406" w:type="dxa"/>
            <w:vAlign w:val="center"/>
          </w:tcPr>
          <w:p w14:paraId="767EAB94"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84.1</w:t>
            </w:r>
          </w:p>
        </w:tc>
        <w:tc>
          <w:tcPr>
            <w:tcW w:w="1350" w:type="dxa"/>
            <w:vAlign w:val="center"/>
          </w:tcPr>
          <w:p w14:paraId="68F7DB0E"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83.6</w:t>
            </w:r>
          </w:p>
        </w:tc>
        <w:tc>
          <w:tcPr>
            <w:tcW w:w="1248" w:type="dxa"/>
            <w:vAlign w:val="center"/>
          </w:tcPr>
          <w:p w14:paraId="3399602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78.0</w:t>
            </w:r>
          </w:p>
        </w:tc>
        <w:tc>
          <w:tcPr>
            <w:tcW w:w="1293" w:type="dxa"/>
            <w:vAlign w:val="center"/>
          </w:tcPr>
          <w:p w14:paraId="1B8A0ADF"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90.1</w:t>
            </w:r>
          </w:p>
        </w:tc>
        <w:tc>
          <w:tcPr>
            <w:tcW w:w="1167" w:type="dxa"/>
            <w:vAlign w:val="center"/>
          </w:tcPr>
          <w:p w14:paraId="56B20A0C"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5140CC53"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612FA59D" w14:textId="77777777" w:rsidTr="00CE5BF2">
        <w:trPr>
          <w:trHeight w:val="300"/>
        </w:trPr>
        <w:tc>
          <w:tcPr>
            <w:tcW w:w="1815" w:type="dxa"/>
            <w:vAlign w:val="bottom"/>
          </w:tcPr>
          <w:p w14:paraId="100BDEC3"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Ecosystem </w:t>
            </w:r>
          </w:p>
        </w:tc>
        <w:tc>
          <w:tcPr>
            <w:tcW w:w="1406" w:type="dxa"/>
            <w:vAlign w:val="center"/>
          </w:tcPr>
          <w:p w14:paraId="608F3389"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86.8</w:t>
            </w:r>
          </w:p>
        </w:tc>
        <w:tc>
          <w:tcPr>
            <w:tcW w:w="1350" w:type="dxa"/>
            <w:vAlign w:val="center"/>
          </w:tcPr>
          <w:p w14:paraId="3D7C427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86.2</w:t>
            </w:r>
          </w:p>
        </w:tc>
        <w:tc>
          <w:tcPr>
            <w:tcW w:w="1248" w:type="dxa"/>
            <w:vAlign w:val="center"/>
          </w:tcPr>
          <w:p w14:paraId="030DE6A2"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293" w:type="dxa"/>
            <w:vAlign w:val="center"/>
          </w:tcPr>
          <w:p w14:paraId="10922A89"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92.1</w:t>
            </w:r>
          </w:p>
        </w:tc>
        <w:tc>
          <w:tcPr>
            <w:tcW w:w="1167" w:type="dxa"/>
            <w:vAlign w:val="center"/>
          </w:tcPr>
          <w:p w14:paraId="249FAAB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17A27B2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28D7353E" w14:textId="77777777" w:rsidTr="00CE5BF2">
        <w:trPr>
          <w:trHeight w:val="300"/>
        </w:trPr>
        <w:tc>
          <w:tcPr>
            <w:tcW w:w="1815" w:type="dxa"/>
            <w:vAlign w:val="bottom"/>
          </w:tcPr>
          <w:p w14:paraId="084E8551"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Coverage </w:t>
            </w:r>
          </w:p>
        </w:tc>
        <w:tc>
          <w:tcPr>
            <w:tcW w:w="1406" w:type="dxa"/>
            <w:vAlign w:val="center"/>
          </w:tcPr>
          <w:p w14:paraId="41CA306C"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86.2</w:t>
            </w:r>
          </w:p>
        </w:tc>
        <w:tc>
          <w:tcPr>
            <w:tcW w:w="1350" w:type="dxa"/>
            <w:vAlign w:val="center"/>
          </w:tcPr>
          <w:p w14:paraId="647A9465"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86.1</w:t>
            </w:r>
          </w:p>
        </w:tc>
        <w:tc>
          <w:tcPr>
            <w:tcW w:w="1248" w:type="dxa"/>
            <w:vAlign w:val="center"/>
          </w:tcPr>
          <w:p w14:paraId="086E94A9"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293" w:type="dxa"/>
            <w:vAlign w:val="center"/>
          </w:tcPr>
          <w:p w14:paraId="1AB6F9BE"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89.9</w:t>
            </w:r>
          </w:p>
        </w:tc>
        <w:tc>
          <w:tcPr>
            <w:tcW w:w="1167" w:type="dxa"/>
            <w:vAlign w:val="center"/>
          </w:tcPr>
          <w:p w14:paraId="19F14E3C"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32C78AD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6CCBCA76" w14:textId="77777777" w:rsidTr="00CE5BF2">
        <w:trPr>
          <w:trHeight w:val="300"/>
        </w:trPr>
        <w:tc>
          <w:tcPr>
            <w:tcW w:w="1815" w:type="dxa"/>
            <w:vAlign w:val="bottom"/>
          </w:tcPr>
          <w:p w14:paraId="667C9315"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Biological aspect</w:t>
            </w:r>
          </w:p>
        </w:tc>
        <w:tc>
          <w:tcPr>
            <w:tcW w:w="1406" w:type="dxa"/>
            <w:vAlign w:val="center"/>
          </w:tcPr>
          <w:p w14:paraId="13D9591C"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69.3</w:t>
            </w:r>
          </w:p>
        </w:tc>
        <w:tc>
          <w:tcPr>
            <w:tcW w:w="1350" w:type="dxa"/>
            <w:vAlign w:val="center"/>
          </w:tcPr>
          <w:p w14:paraId="484B8E4E"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68.7</w:t>
            </w:r>
          </w:p>
        </w:tc>
        <w:tc>
          <w:tcPr>
            <w:tcW w:w="1248" w:type="dxa"/>
            <w:vAlign w:val="center"/>
          </w:tcPr>
          <w:p w14:paraId="693268AB"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65.3</w:t>
            </w:r>
          </w:p>
        </w:tc>
        <w:tc>
          <w:tcPr>
            <w:tcW w:w="1293" w:type="dxa"/>
            <w:vAlign w:val="center"/>
          </w:tcPr>
          <w:p w14:paraId="3F1AE99E"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72.8</w:t>
            </w:r>
          </w:p>
        </w:tc>
        <w:tc>
          <w:tcPr>
            <w:tcW w:w="1167" w:type="dxa"/>
            <w:vAlign w:val="center"/>
          </w:tcPr>
          <w:p w14:paraId="065D2414"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4289773A"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1044C12A" w14:textId="77777777" w:rsidTr="00CE5BF2">
        <w:trPr>
          <w:trHeight w:val="300"/>
        </w:trPr>
        <w:tc>
          <w:tcPr>
            <w:tcW w:w="1815" w:type="dxa"/>
            <w:vAlign w:val="bottom"/>
          </w:tcPr>
          <w:p w14:paraId="01FA196F"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Publication Year</w:t>
            </w:r>
          </w:p>
        </w:tc>
        <w:tc>
          <w:tcPr>
            <w:tcW w:w="1406" w:type="dxa"/>
            <w:vAlign w:val="center"/>
          </w:tcPr>
          <w:p w14:paraId="7F750C72"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90.9</w:t>
            </w:r>
          </w:p>
        </w:tc>
        <w:tc>
          <w:tcPr>
            <w:tcW w:w="1350" w:type="dxa"/>
            <w:vAlign w:val="center"/>
          </w:tcPr>
          <w:p w14:paraId="5FB6328D"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90.6</w:t>
            </w:r>
          </w:p>
        </w:tc>
        <w:tc>
          <w:tcPr>
            <w:tcW w:w="1248" w:type="dxa"/>
            <w:vAlign w:val="center"/>
          </w:tcPr>
          <w:p w14:paraId="07354BE9"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87.3</w:t>
            </w:r>
          </w:p>
        </w:tc>
        <w:tc>
          <w:tcPr>
            <w:tcW w:w="1293" w:type="dxa"/>
            <w:vAlign w:val="center"/>
          </w:tcPr>
          <w:p w14:paraId="4158578E"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98.3</w:t>
            </w:r>
          </w:p>
        </w:tc>
        <w:tc>
          <w:tcPr>
            <w:tcW w:w="1167" w:type="dxa"/>
            <w:vAlign w:val="center"/>
          </w:tcPr>
          <w:p w14:paraId="2E32D521"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5EB548E2"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2F90B4D0" w14:textId="77777777" w:rsidTr="00CE5BF2">
        <w:trPr>
          <w:trHeight w:val="300"/>
        </w:trPr>
        <w:tc>
          <w:tcPr>
            <w:tcW w:w="1815" w:type="dxa"/>
            <w:vAlign w:val="bottom"/>
          </w:tcPr>
          <w:p w14:paraId="353D5BD2"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Effects </w:t>
            </w:r>
          </w:p>
        </w:tc>
        <w:tc>
          <w:tcPr>
            <w:tcW w:w="1406" w:type="dxa"/>
            <w:vAlign w:val="center"/>
          </w:tcPr>
          <w:p w14:paraId="2DC07ABB"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60.4</w:t>
            </w:r>
          </w:p>
        </w:tc>
        <w:tc>
          <w:tcPr>
            <w:tcW w:w="1350" w:type="dxa"/>
            <w:vAlign w:val="center"/>
          </w:tcPr>
          <w:p w14:paraId="6C46ECB6"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1248" w:type="dxa"/>
            <w:vAlign w:val="center"/>
          </w:tcPr>
          <w:p w14:paraId="41DD05FA"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57.5</w:t>
            </w:r>
          </w:p>
        </w:tc>
        <w:tc>
          <w:tcPr>
            <w:tcW w:w="1293" w:type="dxa"/>
            <w:vAlign w:val="center"/>
          </w:tcPr>
          <w:p w14:paraId="3FA5EC10"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64.07</w:t>
            </w:r>
          </w:p>
        </w:tc>
        <w:tc>
          <w:tcPr>
            <w:tcW w:w="1167" w:type="dxa"/>
            <w:vAlign w:val="center"/>
          </w:tcPr>
          <w:p w14:paraId="0C50080F"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76E1D0DB"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45CDDFF6" w14:textId="77777777" w:rsidTr="00CE5BF2">
        <w:trPr>
          <w:trHeight w:val="300"/>
        </w:trPr>
        <w:tc>
          <w:tcPr>
            <w:tcW w:w="1815" w:type="dxa"/>
            <w:vAlign w:val="bottom"/>
          </w:tcPr>
          <w:p w14:paraId="45CDDBDD"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Impacts </w:t>
            </w:r>
          </w:p>
        </w:tc>
        <w:tc>
          <w:tcPr>
            <w:tcW w:w="1406" w:type="dxa"/>
            <w:vAlign w:val="center"/>
          </w:tcPr>
          <w:p w14:paraId="44A089DC"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76.6</w:t>
            </w:r>
          </w:p>
        </w:tc>
        <w:tc>
          <w:tcPr>
            <w:tcW w:w="1350" w:type="dxa"/>
            <w:vAlign w:val="center"/>
          </w:tcPr>
          <w:p w14:paraId="398BEBD5"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76.4</w:t>
            </w:r>
          </w:p>
        </w:tc>
        <w:tc>
          <w:tcPr>
            <w:tcW w:w="1248" w:type="dxa"/>
            <w:vAlign w:val="center"/>
          </w:tcPr>
          <w:p w14:paraId="335CBABE"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73.2</w:t>
            </w:r>
          </w:p>
        </w:tc>
        <w:tc>
          <w:tcPr>
            <w:tcW w:w="1293" w:type="dxa"/>
            <w:vAlign w:val="center"/>
          </w:tcPr>
          <w:p w14:paraId="57628B6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80.3</w:t>
            </w:r>
          </w:p>
        </w:tc>
        <w:tc>
          <w:tcPr>
            <w:tcW w:w="1167" w:type="dxa"/>
            <w:vAlign w:val="center"/>
          </w:tcPr>
          <w:p w14:paraId="050B3AD0"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3CFF6681"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0A4D1B1E" w14:textId="77777777" w:rsidTr="00CE5BF2">
        <w:trPr>
          <w:trHeight w:val="300"/>
        </w:trPr>
        <w:tc>
          <w:tcPr>
            <w:tcW w:w="1815" w:type="dxa"/>
            <w:vAlign w:val="bottom"/>
          </w:tcPr>
          <w:p w14:paraId="455AED30"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Regions </w:t>
            </w:r>
          </w:p>
        </w:tc>
        <w:tc>
          <w:tcPr>
            <w:tcW w:w="1406" w:type="dxa"/>
            <w:vAlign w:val="center"/>
          </w:tcPr>
          <w:p w14:paraId="01A84245"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7.7</w:t>
            </w:r>
          </w:p>
        </w:tc>
        <w:tc>
          <w:tcPr>
            <w:tcW w:w="1350" w:type="dxa"/>
            <w:vAlign w:val="center"/>
          </w:tcPr>
          <w:p w14:paraId="5A1DB5C0"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8.0</w:t>
            </w:r>
          </w:p>
        </w:tc>
        <w:tc>
          <w:tcPr>
            <w:tcW w:w="1248" w:type="dxa"/>
            <w:vAlign w:val="center"/>
          </w:tcPr>
          <w:p w14:paraId="16388312"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 xml:space="preserve"> 6.3</w:t>
            </w:r>
          </w:p>
        </w:tc>
        <w:tc>
          <w:tcPr>
            <w:tcW w:w="1293" w:type="dxa"/>
            <w:vAlign w:val="center"/>
          </w:tcPr>
          <w:p w14:paraId="11A6515D"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9.0</w:t>
            </w:r>
          </w:p>
        </w:tc>
        <w:tc>
          <w:tcPr>
            <w:tcW w:w="1167" w:type="dxa"/>
            <w:vAlign w:val="center"/>
          </w:tcPr>
          <w:p w14:paraId="6B965A47"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6FE7E760"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283F4420" w14:textId="77777777" w:rsidTr="00CE5BF2">
        <w:trPr>
          <w:trHeight w:val="570"/>
        </w:trPr>
        <w:tc>
          <w:tcPr>
            <w:tcW w:w="1815" w:type="dxa"/>
            <w:vAlign w:val="bottom"/>
          </w:tcPr>
          <w:p w14:paraId="3C67C895" w14:textId="3BC8A1C0" w:rsidR="00B03AB3" w:rsidRDefault="7E02834B" w:rsidP="00915440">
            <w:pPr>
              <w:rPr>
                <w:rFonts w:ascii="Times New Roman" w:eastAsia="Times New Roman" w:hAnsi="Times New Roman" w:cs="Times New Roman"/>
                <w:color w:val="000000"/>
              </w:rPr>
            </w:pPr>
            <w:r w:rsidRPr="7E02834B">
              <w:rPr>
                <w:rFonts w:ascii="Times New Roman" w:eastAsia="Times New Roman" w:hAnsi="Times New Roman" w:cs="Times New Roman"/>
                <w:color w:val="000000" w:themeColor="text1"/>
              </w:rPr>
              <w:t xml:space="preserve">TaxonomicGroups </w:t>
            </w:r>
          </w:p>
        </w:tc>
        <w:tc>
          <w:tcPr>
            <w:tcW w:w="1406" w:type="dxa"/>
            <w:vAlign w:val="center"/>
          </w:tcPr>
          <w:p w14:paraId="23BA9580"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90.9</w:t>
            </w:r>
          </w:p>
        </w:tc>
        <w:tc>
          <w:tcPr>
            <w:tcW w:w="1350" w:type="dxa"/>
            <w:vAlign w:val="center"/>
          </w:tcPr>
          <w:p w14:paraId="55CEB026"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91.4</w:t>
            </w:r>
          </w:p>
        </w:tc>
        <w:tc>
          <w:tcPr>
            <w:tcW w:w="1248" w:type="dxa"/>
            <w:vAlign w:val="center"/>
          </w:tcPr>
          <w:p w14:paraId="53015329"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83.1</w:t>
            </w:r>
          </w:p>
        </w:tc>
        <w:tc>
          <w:tcPr>
            <w:tcW w:w="1293" w:type="dxa"/>
            <w:vAlign w:val="center"/>
          </w:tcPr>
          <w:p w14:paraId="17B0AC3D"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94.5</w:t>
            </w:r>
          </w:p>
        </w:tc>
        <w:tc>
          <w:tcPr>
            <w:tcW w:w="1167" w:type="dxa"/>
            <w:vAlign w:val="center"/>
          </w:tcPr>
          <w:p w14:paraId="511F3AB7"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vAlign w:val="center"/>
          </w:tcPr>
          <w:p w14:paraId="171E1A70"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r w:rsidR="00B03AB3" w14:paraId="0A031E94" w14:textId="77777777" w:rsidTr="00CE5BF2">
        <w:trPr>
          <w:trHeight w:val="300"/>
        </w:trPr>
        <w:tc>
          <w:tcPr>
            <w:tcW w:w="1815" w:type="dxa"/>
            <w:tcBorders>
              <w:bottom w:val="single" w:sz="6" w:space="0" w:color="000000" w:themeColor="text1"/>
            </w:tcBorders>
            <w:vAlign w:val="bottom"/>
          </w:tcPr>
          <w:p w14:paraId="41181C0B" w14:textId="77777777" w:rsidR="00B03AB3" w:rsidRDefault="00000000" w:rsidP="0091544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Biomes </w:t>
            </w:r>
          </w:p>
        </w:tc>
        <w:tc>
          <w:tcPr>
            <w:tcW w:w="1406" w:type="dxa"/>
            <w:tcBorders>
              <w:bottom w:val="single" w:sz="6" w:space="0" w:color="000000" w:themeColor="text1"/>
            </w:tcBorders>
            <w:vAlign w:val="center"/>
          </w:tcPr>
          <w:p w14:paraId="5AF9A076"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20.3</w:t>
            </w:r>
          </w:p>
        </w:tc>
        <w:tc>
          <w:tcPr>
            <w:tcW w:w="1350" w:type="dxa"/>
            <w:tcBorders>
              <w:bottom w:val="single" w:sz="6" w:space="0" w:color="000000" w:themeColor="text1"/>
            </w:tcBorders>
            <w:vAlign w:val="center"/>
          </w:tcPr>
          <w:p w14:paraId="548D9919"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20.2</w:t>
            </w:r>
          </w:p>
        </w:tc>
        <w:tc>
          <w:tcPr>
            <w:tcW w:w="1248" w:type="dxa"/>
            <w:tcBorders>
              <w:bottom w:val="single" w:sz="6" w:space="0" w:color="000000" w:themeColor="text1"/>
            </w:tcBorders>
            <w:vAlign w:val="center"/>
          </w:tcPr>
          <w:p w14:paraId="7A28DC5D" w14:textId="77777777" w:rsidR="00B03AB3" w:rsidRDefault="00000000" w:rsidP="00915440">
            <w:pPr>
              <w:jc w:val="center"/>
              <w:rPr>
                <w:rFonts w:ascii="Times New Roman" w:eastAsia="Times New Roman" w:hAnsi="Times New Roman" w:cs="Times New Roman"/>
                <w:color w:val="4EA72E" w:themeColor="accent6"/>
              </w:rPr>
            </w:pPr>
            <w:r>
              <w:rPr>
                <w:rFonts w:ascii="Times New Roman" w:eastAsia="Times New Roman" w:hAnsi="Times New Roman" w:cs="Times New Roman"/>
                <w:color w:val="000000"/>
              </w:rPr>
              <w:t>18.2</w:t>
            </w:r>
          </w:p>
        </w:tc>
        <w:tc>
          <w:tcPr>
            <w:tcW w:w="1293" w:type="dxa"/>
            <w:tcBorders>
              <w:bottom w:val="single" w:sz="6" w:space="0" w:color="000000" w:themeColor="text1"/>
            </w:tcBorders>
            <w:vAlign w:val="center"/>
          </w:tcPr>
          <w:p w14:paraId="0985FD88"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22.6</w:t>
            </w:r>
          </w:p>
        </w:tc>
        <w:tc>
          <w:tcPr>
            <w:tcW w:w="1167" w:type="dxa"/>
            <w:tcBorders>
              <w:bottom w:val="single" w:sz="6" w:space="0" w:color="000000" w:themeColor="text1"/>
            </w:tcBorders>
            <w:vAlign w:val="center"/>
          </w:tcPr>
          <w:p w14:paraId="39507054"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16" w:type="dxa"/>
            <w:tcBorders>
              <w:bottom w:val="single" w:sz="6" w:space="0" w:color="000000" w:themeColor="text1"/>
            </w:tcBorders>
            <w:vAlign w:val="center"/>
          </w:tcPr>
          <w:p w14:paraId="5881DE46" w14:textId="77777777" w:rsidR="00B03AB3" w:rsidRDefault="00000000" w:rsidP="0091544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Confirmed</w:t>
            </w:r>
          </w:p>
        </w:tc>
      </w:tr>
    </w:tbl>
    <w:p w14:paraId="6443E2C4" w14:textId="77777777" w:rsidR="000C60AD" w:rsidRDefault="000C60AD">
      <w:pPr>
        <w:rPr>
          <w:rFonts w:ascii="Times New Roman" w:eastAsia="Times New Roman" w:hAnsi="Times New Roman" w:cs="Times New Roman"/>
          <w:b/>
          <w:bCs/>
        </w:rPr>
      </w:pPr>
      <w:r>
        <w:rPr>
          <w:rFonts w:ascii="Times New Roman" w:eastAsia="Times New Roman" w:hAnsi="Times New Roman" w:cs="Times New Roman"/>
          <w:b/>
          <w:bCs/>
        </w:rPr>
        <w:br w:type="page"/>
      </w:r>
    </w:p>
    <w:p w14:paraId="3656B9AB"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25FB0CC8" wp14:editId="07777777">
            <wp:extent cx="5615940" cy="449262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rcRect l="-73" t="-92" r="-73" b="-92"/>
                    <a:stretch>
                      <a:fillRect/>
                    </a:stretch>
                  </pic:blipFill>
                  <pic:spPr bwMode="auto">
                    <a:xfrm>
                      <a:off x="0" y="0"/>
                      <a:ext cx="5615940" cy="4492625"/>
                    </a:xfrm>
                    <a:prstGeom prst="rect">
                      <a:avLst/>
                    </a:prstGeom>
                    <a:ln w="635">
                      <a:solidFill>
                        <a:srgbClr val="000000"/>
                      </a:solidFill>
                    </a:ln>
                  </pic:spPr>
                </pic:pic>
              </a:graphicData>
            </a:graphic>
          </wp:inline>
        </w:drawing>
      </w:r>
    </w:p>
    <w:p w14:paraId="45FB0818" w14:textId="6BDEB490" w:rsidR="00B03AB3" w:rsidRDefault="00705248" w:rsidP="00443644">
      <w:pPr>
        <w:suppressAutoHyphens w:val="0"/>
        <w:rPr>
          <w:rFonts w:ascii="Times New Roman" w:eastAsia="Times New Roman" w:hAnsi="Times New Roman" w:cs="Times New Roman"/>
        </w:rPr>
      </w:pPr>
      <w:r w:rsidRPr="00705248">
        <w:rPr>
          <w:rFonts w:ascii="Times New Roman" w:eastAsia="Times New Roman" w:hAnsi="Times New Roman" w:cs="Times New Roman"/>
          <w:b/>
          <w:bCs/>
          <w:color w:val="0E0E0E"/>
        </w:rPr>
        <w:t xml:space="preserve">Fig. S2. </w:t>
      </w:r>
      <w:r w:rsidRPr="00705248">
        <w:rPr>
          <w:rFonts w:ascii="Times New Roman" w:eastAsia="Times New Roman" w:hAnsi="Times New Roman" w:cs="Times New Roman"/>
          <w:color w:val="0E0E0E"/>
        </w:rPr>
        <w:t xml:space="preserve">Boxplot of variable importance obtained from exploratory data analysis using the </w:t>
      </w:r>
      <w:r w:rsidRPr="00705248">
        <w:rPr>
          <w:rFonts w:ascii="Times New Roman" w:eastAsia="Times New Roman" w:hAnsi="Times New Roman" w:cs="Times New Roman"/>
          <w:smallCaps/>
          <w:color w:val="0E0E0E"/>
        </w:rPr>
        <w:t>Boruta</w:t>
      </w:r>
      <w:r w:rsidRPr="00705248">
        <w:rPr>
          <w:rFonts w:ascii="Times New Roman" w:eastAsia="Times New Roman" w:hAnsi="Times New Roman" w:cs="Times New Roman"/>
          <w:color w:val="0E0E0E"/>
        </w:rPr>
        <w:t xml:space="preserve"> algorithm with Random Forest. This method was used to select a priori predictors for subsequent statistical analyses by comparing the importance of observed attributes with that of shadow attributes created by random permutation.</w:t>
      </w:r>
    </w:p>
    <w:p w14:paraId="049F31CB" w14:textId="77777777" w:rsidR="00B03AB3" w:rsidRDefault="00000000" w:rsidP="00915440">
      <w:pPr>
        <w:rPr>
          <w:rFonts w:ascii="Times New Roman" w:eastAsia="Times New Roman" w:hAnsi="Times New Roman" w:cs="Times New Roman"/>
        </w:rPr>
      </w:pPr>
      <w:r>
        <w:br w:type="page"/>
      </w:r>
    </w:p>
    <w:p w14:paraId="4F5E387B" w14:textId="7024F54E" w:rsidR="003A040F" w:rsidRDefault="009C4A84" w:rsidP="00915440">
      <w:pPr>
        <w:rPr>
          <w:rFonts w:ascii="Times New Roman" w:eastAsia="Times New Roman" w:hAnsi="Times New Roman" w:cs="Times New Roman"/>
        </w:rPr>
      </w:pPr>
      <w:r w:rsidRPr="009C4A84">
        <w:rPr>
          <w:rFonts w:ascii="Times New Roman" w:eastAsia="Times New Roman" w:hAnsi="Times New Roman" w:cs="Times New Roman"/>
          <w:b/>
          <w:bCs/>
        </w:rPr>
        <w:lastRenderedPageBreak/>
        <w:t xml:space="preserve">Table S3. </w:t>
      </w:r>
      <w:r w:rsidRPr="009C4A84">
        <w:rPr>
          <w:rFonts w:ascii="Times New Roman" w:eastAsia="Times New Roman" w:hAnsi="Times New Roman" w:cs="Times New Roman"/>
        </w:rPr>
        <w:t xml:space="preserve">Comparison of Bayesian </w:t>
      </w:r>
      <w:r w:rsidRPr="00EE07F8">
        <w:rPr>
          <w:rFonts w:ascii="Times New Roman" w:eastAsia="Times New Roman" w:hAnsi="Times New Roman" w:cs="Times New Roman"/>
          <w:smallCaps/>
        </w:rPr>
        <w:t>brms</w:t>
      </w:r>
      <w:r w:rsidRPr="009C4A84">
        <w:rPr>
          <w:rFonts w:ascii="Times New Roman" w:eastAsia="Times New Roman" w:hAnsi="Times New Roman" w:cs="Times New Roman"/>
        </w:rPr>
        <w:t xml:space="preserve"> models used to select the most appropriate error distribution (Poisson, zero-inflated Poisson, negative binomial, or zero-inflated negative binomial) and, subsequently, the best-supported model structure (global interaction, additive, single fixed-effect, or null model). Model fit was compared using the leave-one-out information criterion (LOOIC). The best-supported models (lowest LOOIC) are highlighted in bold.</w:t>
      </w:r>
    </w:p>
    <w:p w14:paraId="23298F96" w14:textId="77777777" w:rsidR="009C4A84" w:rsidRDefault="009C4A84" w:rsidP="00915440">
      <w:pPr>
        <w:rPr>
          <w:rFonts w:ascii="Times New Roman" w:eastAsia="Times New Roman" w:hAnsi="Times New Roman" w:cs="Times New Roman"/>
        </w:rPr>
      </w:pPr>
    </w:p>
    <w:tbl>
      <w:tblPr>
        <w:tblW w:w="9420" w:type="dxa"/>
        <w:tblInd w:w="-60" w:type="dxa"/>
        <w:tblCellMar>
          <w:left w:w="0" w:type="dxa"/>
          <w:right w:w="0" w:type="dxa"/>
        </w:tblCellMar>
        <w:tblLook w:val="04A0" w:firstRow="1" w:lastRow="0" w:firstColumn="1" w:lastColumn="0" w:noHBand="0" w:noVBand="1"/>
      </w:tblPr>
      <w:tblGrid>
        <w:gridCol w:w="2580"/>
        <w:gridCol w:w="855"/>
        <w:gridCol w:w="855"/>
        <w:gridCol w:w="855"/>
        <w:gridCol w:w="855"/>
        <w:gridCol w:w="855"/>
        <w:gridCol w:w="855"/>
        <w:gridCol w:w="855"/>
        <w:gridCol w:w="855"/>
      </w:tblGrid>
      <w:tr w:rsidR="00B03AB3" w14:paraId="62DCDCFD" w14:textId="77777777" w:rsidTr="423305BB">
        <w:trPr>
          <w:trHeight w:val="477"/>
        </w:trPr>
        <w:tc>
          <w:tcPr>
            <w:tcW w:w="2580" w:type="dxa"/>
            <w:tcBorders>
              <w:top w:val="single" w:sz="6" w:space="0" w:color="000000" w:themeColor="text1"/>
              <w:bottom w:val="single" w:sz="6" w:space="0" w:color="000000" w:themeColor="text1"/>
            </w:tcBorders>
            <w:vAlign w:val="center"/>
          </w:tcPr>
          <w:p w14:paraId="247A021E" w14:textId="4D7C3B3E"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Global Models</w:t>
            </w:r>
          </w:p>
        </w:tc>
        <w:tc>
          <w:tcPr>
            <w:tcW w:w="1710" w:type="dxa"/>
            <w:gridSpan w:val="2"/>
            <w:tcBorders>
              <w:top w:val="single" w:sz="6" w:space="0" w:color="000000" w:themeColor="text1"/>
              <w:bottom w:val="single" w:sz="6" w:space="0" w:color="000000" w:themeColor="text1"/>
            </w:tcBorders>
            <w:vAlign w:val="center"/>
          </w:tcPr>
          <w:p w14:paraId="66DA60CB" w14:textId="3E84E825"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Biomes x</w:t>
            </w:r>
            <w:r>
              <w:rPr>
                <w:rFonts w:ascii="Times New Roman;Times New Roman" w:hAnsi="Times New Roman;Times New Roman"/>
                <w:b/>
                <w:bCs/>
                <w:color w:val="000000"/>
                <w:sz w:val="18"/>
                <w:szCs w:val="18"/>
              </w:rPr>
              <w:br/>
            </w:r>
            <w:r>
              <w:rPr>
                <w:rFonts w:ascii="Times New Roman" w:eastAsia="Times New Roman" w:hAnsi="Times New Roman" w:cs="Times New Roman"/>
                <w:b/>
                <w:bCs/>
                <w:color w:val="000000"/>
                <w:sz w:val="18"/>
                <w:szCs w:val="18"/>
              </w:rPr>
              <w:t>Taxonomic groups</w:t>
            </w:r>
          </w:p>
        </w:tc>
        <w:tc>
          <w:tcPr>
            <w:tcW w:w="1710" w:type="dxa"/>
            <w:gridSpan w:val="2"/>
            <w:tcBorders>
              <w:top w:val="single" w:sz="6" w:space="0" w:color="000000" w:themeColor="text1"/>
              <w:bottom w:val="single" w:sz="6" w:space="0" w:color="000000" w:themeColor="text1"/>
            </w:tcBorders>
            <w:vAlign w:val="center"/>
          </w:tcPr>
          <w:p w14:paraId="05C4B13A" w14:textId="0BCAB00E"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Regions x</w:t>
            </w:r>
            <w:r>
              <w:rPr>
                <w:rFonts w:ascii="Times New Roman;Times New Roman" w:hAnsi="Times New Roman;Times New Roman"/>
                <w:b/>
                <w:bCs/>
                <w:color w:val="000000"/>
                <w:sz w:val="18"/>
                <w:szCs w:val="18"/>
              </w:rPr>
              <w:br/>
            </w:r>
            <w:r>
              <w:rPr>
                <w:rFonts w:ascii="Times New Roman" w:eastAsia="Times New Roman" w:hAnsi="Times New Roman" w:cs="Times New Roman"/>
                <w:b/>
                <w:bCs/>
                <w:color w:val="000000"/>
                <w:sz w:val="18"/>
                <w:szCs w:val="18"/>
              </w:rPr>
              <w:t>Taxonomic groups</w:t>
            </w:r>
          </w:p>
        </w:tc>
        <w:tc>
          <w:tcPr>
            <w:tcW w:w="1710" w:type="dxa"/>
            <w:gridSpan w:val="2"/>
            <w:tcBorders>
              <w:top w:val="single" w:sz="6" w:space="0" w:color="000000" w:themeColor="text1"/>
              <w:bottom w:val="single" w:sz="6" w:space="0" w:color="000000" w:themeColor="text1"/>
            </w:tcBorders>
            <w:vAlign w:val="center"/>
          </w:tcPr>
          <w:p w14:paraId="7933E40B" w14:textId="79D0D00A"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Effects x Impacts</w:t>
            </w:r>
          </w:p>
        </w:tc>
        <w:tc>
          <w:tcPr>
            <w:tcW w:w="1710" w:type="dxa"/>
            <w:gridSpan w:val="2"/>
            <w:tcBorders>
              <w:top w:val="single" w:sz="6" w:space="0" w:color="000000" w:themeColor="text1"/>
              <w:bottom w:val="single" w:sz="6" w:space="0" w:color="000000" w:themeColor="text1"/>
            </w:tcBorders>
            <w:vAlign w:val="center"/>
          </w:tcPr>
          <w:p w14:paraId="7D429376" w14:textId="5ACA105C"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Effects x</w:t>
            </w:r>
            <w:r>
              <w:rPr>
                <w:rFonts w:ascii="Times New Roman;Times New Roman" w:hAnsi="Times New Roman;Times New Roman"/>
                <w:b/>
                <w:bCs/>
                <w:color w:val="000000"/>
                <w:sz w:val="18"/>
                <w:szCs w:val="18"/>
              </w:rPr>
              <w:br/>
            </w:r>
            <w:r>
              <w:rPr>
                <w:rFonts w:ascii="Times New Roman" w:eastAsia="Times New Roman" w:hAnsi="Times New Roman" w:cs="Times New Roman"/>
                <w:b/>
                <w:bCs/>
                <w:color w:val="000000"/>
                <w:sz w:val="18"/>
                <w:szCs w:val="18"/>
              </w:rPr>
              <w:t>Taxonomic groups</w:t>
            </w:r>
          </w:p>
        </w:tc>
      </w:tr>
      <w:tr w:rsidR="00B03AB3" w14:paraId="69EB8210" w14:textId="77777777" w:rsidTr="423305BB">
        <w:trPr>
          <w:trHeight w:val="256"/>
        </w:trPr>
        <w:tc>
          <w:tcPr>
            <w:tcW w:w="2580" w:type="dxa"/>
            <w:tcBorders>
              <w:bottom w:val="single" w:sz="2" w:space="0" w:color="000000" w:themeColor="text1"/>
            </w:tcBorders>
            <w:tcMar>
              <w:top w:w="28" w:type="dxa"/>
              <w:left w:w="28" w:type="dxa"/>
              <w:bottom w:w="28" w:type="dxa"/>
              <w:right w:w="28" w:type="dxa"/>
            </w:tcMar>
            <w:vAlign w:val="center"/>
          </w:tcPr>
          <w:p w14:paraId="3D0D82DE" w14:textId="29EAD1D9"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Distribution selection</w:t>
            </w:r>
          </w:p>
        </w:tc>
        <w:tc>
          <w:tcPr>
            <w:tcW w:w="855" w:type="dxa"/>
            <w:tcBorders>
              <w:bottom w:val="single" w:sz="2" w:space="0" w:color="000000" w:themeColor="text1"/>
            </w:tcBorders>
            <w:tcMar>
              <w:top w:w="28" w:type="dxa"/>
              <w:left w:w="28" w:type="dxa"/>
              <w:bottom w:w="28" w:type="dxa"/>
              <w:right w:w="28" w:type="dxa"/>
            </w:tcMar>
            <w:vAlign w:val="center"/>
          </w:tcPr>
          <w:p w14:paraId="33185AA8"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bottom w:val="single" w:sz="2" w:space="0" w:color="000000" w:themeColor="text1"/>
            </w:tcBorders>
            <w:tcMar>
              <w:top w:w="28" w:type="dxa"/>
              <w:left w:w="28" w:type="dxa"/>
              <w:bottom w:w="28" w:type="dxa"/>
              <w:right w:w="28" w:type="dxa"/>
            </w:tcMar>
            <w:vAlign w:val="center"/>
          </w:tcPr>
          <w:p w14:paraId="0E72EAC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bottom w:val="single" w:sz="2" w:space="0" w:color="000000" w:themeColor="text1"/>
            </w:tcBorders>
            <w:tcMar>
              <w:top w:w="28" w:type="dxa"/>
              <w:left w:w="28" w:type="dxa"/>
              <w:bottom w:w="28" w:type="dxa"/>
              <w:right w:w="28" w:type="dxa"/>
            </w:tcMar>
            <w:vAlign w:val="center"/>
          </w:tcPr>
          <w:p w14:paraId="7653287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bottom w:val="single" w:sz="2" w:space="0" w:color="000000" w:themeColor="text1"/>
            </w:tcBorders>
            <w:tcMar>
              <w:top w:w="28" w:type="dxa"/>
              <w:left w:w="28" w:type="dxa"/>
              <w:bottom w:w="28" w:type="dxa"/>
              <w:right w:w="28" w:type="dxa"/>
            </w:tcMar>
            <w:vAlign w:val="center"/>
          </w:tcPr>
          <w:p w14:paraId="0B110C9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bottom w:val="single" w:sz="2" w:space="0" w:color="000000" w:themeColor="text1"/>
            </w:tcBorders>
            <w:tcMar>
              <w:top w:w="28" w:type="dxa"/>
              <w:left w:w="28" w:type="dxa"/>
              <w:bottom w:w="28" w:type="dxa"/>
              <w:right w:w="28" w:type="dxa"/>
            </w:tcMar>
            <w:vAlign w:val="center"/>
          </w:tcPr>
          <w:p w14:paraId="608CFA6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bottom w:val="single" w:sz="2" w:space="0" w:color="000000" w:themeColor="text1"/>
            </w:tcBorders>
            <w:tcMar>
              <w:top w:w="28" w:type="dxa"/>
              <w:left w:w="28" w:type="dxa"/>
              <w:bottom w:w="28" w:type="dxa"/>
              <w:right w:w="28" w:type="dxa"/>
            </w:tcMar>
            <w:vAlign w:val="center"/>
          </w:tcPr>
          <w:p w14:paraId="5C8AC6A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bottom w:val="single" w:sz="2" w:space="0" w:color="000000" w:themeColor="text1"/>
            </w:tcBorders>
            <w:tcMar>
              <w:top w:w="28" w:type="dxa"/>
              <w:left w:w="28" w:type="dxa"/>
              <w:bottom w:w="28" w:type="dxa"/>
              <w:right w:w="28" w:type="dxa"/>
            </w:tcMar>
            <w:vAlign w:val="center"/>
          </w:tcPr>
          <w:p w14:paraId="1E3A79A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bottom w:val="single" w:sz="2" w:space="0" w:color="000000" w:themeColor="text1"/>
            </w:tcBorders>
            <w:tcMar>
              <w:top w:w="28" w:type="dxa"/>
              <w:left w:w="28" w:type="dxa"/>
              <w:bottom w:w="28" w:type="dxa"/>
              <w:right w:w="28" w:type="dxa"/>
            </w:tcMar>
            <w:vAlign w:val="center"/>
          </w:tcPr>
          <w:p w14:paraId="064AE8E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r>
      <w:tr w:rsidR="00B03AB3" w14:paraId="34C9C669" w14:textId="77777777" w:rsidTr="423305BB">
        <w:trPr>
          <w:trHeight w:val="256"/>
        </w:trPr>
        <w:tc>
          <w:tcPr>
            <w:tcW w:w="2580" w:type="dxa"/>
            <w:vAlign w:val="center"/>
          </w:tcPr>
          <w:p w14:paraId="6BD8FA33" w14:textId="308143F4"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Poisson</w:t>
            </w:r>
          </w:p>
        </w:tc>
        <w:tc>
          <w:tcPr>
            <w:tcW w:w="855" w:type="dxa"/>
            <w:vAlign w:val="center"/>
          </w:tcPr>
          <w:p w14:paraId="60BE2F8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1090.8</w:t>
            </w:r>
          </w:p>
        </w:tc>
        <w:tc>
          <w:tcPr>
            <w:tcW w:w="855" w:type="dxa"/>
            <w:vAlign w:val="center"/>
          </w:tcPr>
          <w:p w14:paraId="20D39AD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60.4</w:t>
            </w:r>
          </w:p>
        </w:tc>
        <w:tc>
          <w:tcPr>
            <w:tcW w:w="855" w:type="dxa"/>
            <w:vAlign w:val="center"/>
          </w:tcPr>
          <w:p w14:paraId="2ED8C59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1098.7</w:t>
            </w:r>
          </w:p>
        </w:tc>
        <w:tc>
          <w:tcPr>
            <w:tcW w:w="855" w:type="dxa"/>
            <w:vAlign w:val="center"/>
          </w:tcPr>
          <w:p w14:paraId="1B4C2D5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51.4</w:t>
            </w:r>
          </w:p>
        </w:tc>
        <w:tc>
          <w:tcPr>
            <w:tcW w:w="855" w:type="dxa"/>
            <w:vAlign w:val="center"/>
          </w:tcPr>
          <w:p w14:paraId="6E2C062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471.2</w:t>
            </w:r>
          </w:p>
        </w:tc>
        <w:tc>
          <w:tcPr>
            <w:tcW w:w="855" w:type="dxa"/>
            <w:vAlign w:val="center"/>
          </w:tcPr>
          <w:p w14:paraId="734DCF8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40.1</w:t>
            </w:r>
          </w:p>
        </w:tc>
        <w:tc>
          <w:tcPr>
            <w:tcW w:w="855" w:type="dxa"/>
            <w:vAlign w:val="center"/>
          </w:tcPr>
          <w:p w14:paraId="4B229FD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503.3</w:t>
            </w:r>
          </w:p>
        </w:tc>
        <w:tc>
          <w:tcPr>
            <w:tcW w:w="855" w:type="dxa"/>
            <w:vAlign w:val="center"/>
          </w:tcPr>
          <w:p w14:paraId="324FF66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39.7</w:t>
            </w:r>
          </w:p>
        </w:tc>
      </w:tr>
      <w:tr w:rsidR="00B03AB3" w14:paraId="47B078AB" w14:textId="77777777" w:rsidTr="423305BB">
        <w:trPr>
          <w:trHeight w:val="256"/>
        </w:trPr>
        <w:tc>
          <w:tcPr>
            <w:tcW w:w="2580" w:type="dxa"/>
            <w:vAlign w:val="center"/>
          </w:tcPr>
          <w:p w14:paraId="193B79C7" w14:textId="6A18C479"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Negative Binomial</w:t>
            </w:r>
          </w:p>
        </w:tc>
        <w:tc>
          <w:tcPr>
            <w:tcW w:w="855" w:type="dxa"/>
            <w:vAlign w:val="center"/>
          </w:tcPr>
          <w:p w14:paraId="37FB10A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1090.0</w:t>
            </w:r>
          </w:p>
        </w:tc>
        <w:tc>
          <w:tcPr>
            <w:tcW w:w="855" w:type="dxa"/>
            <w:vAlign w:val="center"/>
          </w:tcPr>
          <w:p w14:paraId="6FDEB19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60.2</w:t>
            </w:r>
          </w:p>
        </w:tc>
        <w:tc>
          <w:tcPr>
            <w:tcW w:w="855" w:type="dxa"/>
            <w:vAlign w:val="center"/>
          </w:tcPr>
          <w:p w14:paraId="390D4D0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1099.9</w:t>
            </w:r>
          </w:p>
        </w:tc>
        <w:tc>
          <w:tcPr>
            <w:tcW w:w="855" w:type="dxa"/>
            <w:vAlign w:val="center"/>
          </w:tcPr>
          <w:p w14:paraId="474A18B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51.4</w:t>
            </w:r>
          </w:p>
        </w:tc>
        <w:tc>
          <w:tcPr>
            <w:tcW w:w="855" w:type="dxa"/>
            <w:vAlign w:val="center"/>
          </w:tcPr>
          <w:p w14:paraId="75E76CD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471.3</w:t>
            </w:r>
          </w:p>
        </w:tc>
        <w:tc>
          <w:tcPr>
            <w:tcW w:w="855" w:type="dxa"/>
            <w:vAlign w:val="center"/>
          </w:tcPr>
          <w:p w14:paraId="2758BB2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w:t>
            </w:r>
          </w:p>
        </w:tc>
        <w:tc>
          <w:tcPr>
            <w:tcW w:w="855" w:type="dxa"/>
            <w:vAlign w:val="center"/>
          </w:tcPr>
          <w:p w14:paraId="11C275C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505.9</w:t>
            </w:r>
          </w:p>
        </w:tc>
        <w:tc>
          <w:tcPr>
            <w:tcW w:w="855" w:type="dxa"/>
            <w:vAlign w:val="center"/>
          </w:tcPr>
          <w:p w14:paraId="02638E3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39.9</w:t>
            </w:r>
          </w:p>
        </w:tc>
      </w:tr>
      <w:tr w:rsidR="00B03AB3" w14:paraId="217A5241" w14:textId="77777777" w:rsidTr="423305BB">
        <w:trPr>
          <w:trHeight w:val="256"/>
        </w:trPr>
        <w:tc>
          <w:tcPr>
            <w:tcW w:w="2580" w:type="dxa"/>
            <w:vAlign w:val="center"/>
          </w:tcPr>
          <w:p w14:paraId="011B4A34" w14:textId="5336582E"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Zero-inflated Poisson</w:t>
            </w:r>
          </w:p>
        </w:tc>
        <w:tc>
          <w:tcPr>
            <w:tcW w:w="855" w:type="dxa"/>
            <w:vAlign w:val="center"/>
          </w:tcPr>
          <w:p w14:paraId="102B40C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1090.5</w:t>
            </w:r>
          </w:p>
        </w:tc>
        <w:tc>
          <w:tcPr>
            <w:tcW w:w="855" w:type="dxa"/>
            <w:vAlign w:val="center"/>
          </w:tcPr>
          <w:p w14:paraId="7E0D094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60.1</w:t>
            </w:r>
          </w:p>
        </w:tc>
        <w:tc>
          <w:tcPr>
            <w:tcW w:w="855" w:type="dxa"/>
            <w:vAlign w:val="center"/>
          </w:tcPr>
          <w:p w14:paraId="07A93BE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1099.7</w:t>
            </w:r>
          </w:p>
        </w:tc>
        <w:tc>
          <w:tcPr>
            <w:tcW w:w="855" w:type="dxa"/>
            <w:vAlign w:val="center"/>
          </w:tcPr>
          <w:p w14:paraId="184DD05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51.2</w:t>
            </w:r>
          </w:p>
        </w:tc>
        <w:tc>
          <w:tcPr>
            <w:tcW w:w="855" w:type="dxa"/>
            <w:vAlign w:val="center"/>
          </w:tcPr>
          <w:p w14:paraId="586CB86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472.1</w:t>
            </w:r>
          </w:p>
        </w:tc>
        <w:tc>
          <w:tcPr>
            <w:tcW w:w="855" w:type="dxa"/>
            <w:vAlign w:val="center"/>
          </w:tcPr>
          <w:p w14:paraId="55F5081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39.9</w:t>
            </w:r>
          </w:p>
        </w:tc>
        <w:tc>
          <w:tcPr>
            <w:tcW w:w="855" w:type="dxa"/>
            <w:vAlign w:val="center"/>
          </w:tcPr>
          <w:p w14:paraId="542E487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506.3</w:t>
            </w:r>
          </w:p>
        </w:tc>
        <w:tc>
          <w:tcPr>
            <w:tcW w:w="855" w:type="dxa"/>
            <w:vAlign w:val="center"/>
          </w:tcPr>
          <w:p w14:paraId="25B0143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w:t>
            </w:r>
          </w:p>
        </w:tc>
      </w:tr>
      <w:tr w:rsidR="00B03AB3" w14:paraId="4D0F81A6" w14:textId="77777777" w:rsidTr="423305BB">
        <w:trPr>
          <w:trHeight w:val="256"/>
        </w:trPr>
        <w:tc>
          <w:tcPr>
            <w:tcW w:w="2580" w:type="dxa"/>
            <w:vAlign w:val="center"/>
          </w:tcPr>
          <w:p w14:paraId="7FE16920" w14:textId="66E1D113"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Zero-inflated Negative Binomial</w:t>
            </w:r>
          </w:p>
        </w:tc>
        <w:tc>
          <w:tcPr>
            <w:tcW w:w="855" w:type="dxa"/>
            <w:vAlign w:val="center"/>
          </w:tcPr>
          <w:p w14:paraId="533A838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1094.8</w:t>
            </w:r>
          </w:p>
        </w:tc>
        <w:tc>
          <w:tcPr>
            <w:tcW w:w="855" w:type="dxa"/>
            <w:vAlign w:val="center"/>
          </w:tcPr>
          <w:p w14:paraId="072D182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60.6</w:t>
            </w:r>
          </w:p>
        </w:tc>
        <w:tc>
          <w:tcPr>
            <w:tcW w:w="855" w:type="dxa"/>
            <w:vAlign w:val="center"/>
          </w:tcPr>
          <w:p w14:paraId="72B51C9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1102.7</w:t>
            </w:r>
          </w:p>
        </w:tc>
        <w:tc>
          <w:tcPr>
            <w:tcW w:w="855" w:type="dxa"/>
            <w:vAlign w:val="center"/>
          </w:tcPr>
          <w:p w14:paraId="5864E25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51.3</w:t>
            </w:r>
          </w:p>
        </w:tc>
        <w:tc>
          <w:tcPr>
            <w:tcW w:w="855" w:type="dxa"/>
            <w:vAlign w:val="center"/>
          </w:tcPr>
          <w:p w14:paraId="5F704A2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472.9</w:t>
            </w:r>
          </w:p>
        </w:tc>
        <w:tc>
          <w:tcPr>
            <w:tcW w:w="855" w:type="dxa"/>
            <w:vAlign w:val="center"/>
          </w:tcPr>
          <w:p w14:paraId="1A8C956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w:t>
            </w:r>
          </w:p>
        </w:tc>
        <w:tc>
          <w:tcPr>
            <w:tcW w:w="855" w:type="dxa"/>
            <w:vAlign w:val="center"/>
          </w:tcPr>
          <w:p w14:paraId="30E9CD3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508.0</w:t>
            </w:r>
          </w:p>
        </w:tc>
        <w:tc>
          <w:tcPr>
            <w:tcW w:w="855" w:type="dxa"/>
            <w:vAlign w:val="center"/>
          </w:tcPr>
          <w:p w14:paraId="24FD541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w:t>
            </w:r>
          </w:p>
        </w:tc>
      </w:tr>
      <w:tr w:rsidR="00B03AB3" w14:paraId="319AE002" w14:textId="77777777" w:rsidTr="423305BB">
        <w:trPr>
          <w:trHeight w:val="256"/>
        </w:trPr>
        <w:tc>
          <w:tcPr>
            <w:tcW w:w="2580"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21DD129C" w14:textId="108B5D05" w:rsidR="00B03AB3" w:rsidRDefault="00000000" w:rsidP="00915440">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Model fit Selection</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1D2FB87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67C5C5B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7E7F746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23B46C1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2A2249F8"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43DD20C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20B5130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54AE4C8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r>
      <w:tr w:rsidR="00B03AB3" w14:paraId="2DE6EA5F" w14:textId="77777777" w:rsidTr="423305BB">
        <w:trPr>
          <w:trHeight w:val="256"/>
        </w:trPr>
        <w:tc>
          <w:tcPr>
            <w:tcW w:w="2580" w:type="dxa"/>
            <w:vAlign w:val="center"/>
          </w:tcPr>
          <w:p w14:paraId="71D3E8DF" w14:textId="2911AD59"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Global model</w:t>
            </w:r>
          </w:p>
        </w:tc>
        <w:tc>
          <w:tcPr>
            <w:tcW w:w="855" w:type="dxa"/>
            <w:vAlign w:val="center"/>
          </w:tcPr>
          <w:p w14:paraId="403E057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1090.8</w:t>
            </w:r>
          </w:p>
        </w:tc>
        <w:tc>
          <w:tcPr>
            <w:tcW w:w="855" w:type="dxa"/>
            <w:vAlign w:val="center"/>
          </w:tcPr>
          <w:p w14:paraId="75989B7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60.4</w:t>
            </w:r>
          </w:p>
        </w:tc>
        <w:tc>
          <w:tcPr>
            <w:tcW w:w="855" w:type="dxa"/>
            <w:vAlign w:val="center"/>
          </w:tcPr>
          <w:p w14:paraId="1AF0DB3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1098.7</w:t>
            </w:r>
          </w:p>
        </w:tc>
        <w:tc>
          <w:tcPr>
            <w:tcW w:w="855" w:type="dxa"/>
            <w:vAlign w:val="center"/>
          </w:tcPr>
          <w:p w14:paraId="6305AF0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51.4</w:t>
            </w:r>
          </w:p>
        </w:tc>
        <w:tc>
          <w:tcPr>
            <w:tcW w:w="855" w:type="dxa"/>
            <w:vAlign w:val="center"/>
          </w:tcPr>
          <w:p w14:paraId="68CF222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471.2</w:t>
            </w:r>
          </w:p>
        </w:tc>
        <w:tc>
          <w:tcPr>
            <w:tcW w:w="855" w:type="dxa"/>
            <w:vAlign w:val="center"/>
          </w:tcPr>
          <w:p w14:paraId="590A5BA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40.1</w:t>
            </w:r>
          </w:p>
        </w:tc>
        <w:tc>
          <w:tcPr>
            <w:tcW w:w="855" w:type="dxa"/>
            <w:vAlign w:val="center"/>
          </w:tcPr>
          <w:p w14:paraId="5C75270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503.3</w:t>
            </w:r>
          </w:p>
        </w:tc>
        <w:tc>
          <w:tcPr>
            <w:tcW w:w="855" w:type="dxa"/>
            <w:vAlign w:val="center"/>
          </w:tcPr>
          <w:p w14:paraId="0DB2985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w:t>
            </w:r>
          </w:p>
        </w:tc>
      </w:tr>
      <w:tr w:rsidR="00B03AB3" w14:paraId="4C4D10EA" w14:textId="77777777" w:rsidTr="423305BB">
        <w:trPr>
          <w:trHeight w:val="256"/>
        </w:trPr>
        <w:tc>
          <w:tcPr>
            <w:tcW w:w="2580" w:type="dxa"/>
            <w:vAlign w:val="center"/>
          </w:tcPr>
          <w:p w14:paraId="6E3245C1" w14:textId="26340128"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Additive model</w:t>
            </w:r>
          </w:p>
        </w:tc>
        <w:tc>
          <w:tcPr>
            <w:tcW w:w="855" w:type="dxa"/>
            <w:vAlign w:val="center"/>
          </w:tcPr>
          <w:p w14:paraId="2300C6C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1020.2</w:t>
            </w:r>
          </w:p>
        </w:tc>
        <w:tc>
          <w:tcPr>
            <w:tcW w:w="855" w:type="dxa"/>
            <w:vAlign w:val="center"/>
          </w:tcPr>
          <w:p w14:paraId="596DEBC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54.0 </w:t>
            </w:r>
          </w:p>
        </w:tc>
        <w:tc>
          <w:tcPr>
            <w:tcW w:w="855" w:type="dxa"/>
            <w:vAlign w:val="center"/>
          </w:tcPr>
          <w:p w14:paraId="0B3473D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1033.0</w:t>
            </w:r>
          </w:p>
        </w:tc>
        <w:tc>
          <w:tcPr>
            <w:tcW w:w="855" w:type="dxa"/>
            <w:vAlign w:val="center"/>
          </w:tcPr>
          <w:p w14:paraId="58630BD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47.6</w:t>
            </w:r>
          </w:p>
        </w:tc>
        <w:tc>
          <w:tcPr>
            <w:tcW w:w="855" w:type="dxa"/>
            <w:vAlign w:val="center"/>
          </w:tcPr>
          <w:p w14:paraId="38D4599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444.8</w:t>
            </w:r>
          </w:p>
        </w:tc>
        <w:tc>
          <w:tcPr>
            <w:tcW w:w="855" w:type="dxa"/>
            <w:vAlign w:val="center"/>
          </w:tcPr>
          <w:p w14:paraId="541B8C9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35.7</w:t>
            </w:r>
          </w:p>
        </w:tc>
        <w:tc>
          <w:tcPr>
            <w:tcW w:w="855" w:type="dxa"/>
            <w:vAlign w:val="center"/>
          </w:tcPr>
          <w:p w14:paraId="595DA99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483.9</w:t>
            </w:r>
          </w:p>
        </w:tc>
        <w:tc>
          <w:tcPr>
            <w:tcW w:w="855" w:type="dxa"/>
            <w:vAlign w:val="center"/>
          </w:tcPr>
          <w:p w14:paraId="791F863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36.7</w:t>
            </w:r>
          </w:p>
        </w:tc>
      </w:tr>
      <w:tr w:rsidR="00B03AB3" w14:paraId="764B27BE" w14:textId="77777777" w:rsidTr="423305BB">
        <w:trPr>
          <w:trHeight w:val="256"/>
        </w:trPr>
        <w:tc>
          <w:tcPr>
            <w:tcW w:w="2580" w:type="dxa"/>
            <w:vAlign w:val="center"/>
          </w:tcPr>
          <w:p w14:paraId="1CA21292" w14:textId="341D1C7F"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Only the 1st fixed effect model</w:t>
            </w:r>
          </w:p>
        </w:tc>
        <w:tc>
          <w:tcPr>
            <w:tcW w:w="855" w:type="dxa"/>
            <w:vAlign w:val="center"/>
          </w:tcPr>
          <w:p w14:paraId="1E0D8D0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1177.9</w:t>
            </w:r>
          </w:p>
        </w:tc>
        <w:tc>
          <w:tcPr>
            <w:tcW w:w="855" w:type="dxa"/>
            <w:vAlign w:val="center"/>
          </w:tcPr>
          <w:p w14:paraId="687AD1D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60.9 </w:t>
            </w:r>
          </w:p>
        </w:tc>
        <w:tc>
          <w:tcPr>
            <w:tcW w:w="855" w:type="dxa"/>
            <w:vAlign w:val="center"/>
          </w:tcPr>
          <w:p w14:paraId="5D29AAB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1279.1</w:t>
            </w:r>
          </w:p>
        </w:tc>
        <w:tc>
          <w:tcPr>
            <w:tcW w:w="855" w:type="dxa"/>
            <w:vAlign w:val="center"/>
          </w:tcPr>
          <w:p w14:paraId="31EDD97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62.8</w:t>
            </w:r>
          </w:p>
        </w:tc>
        <w:tc>
          <w:tcPr>
            <w:tcW w:w="855" w:type="dxa"/>
            <w:vAlign w:val="center"/>
          </w:tcPr>
          <w:p w14:paraId="29285B6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720.8</w:t>
            </w:r>
          </w:p>
        </w:tc>
        <w:tc>
          <w:tcPr>
            <w:tcW w:w="855" w:type="dxa"/>
            <w:vAlign w:val="center"/>
          </w:tcPr>
          <w:p w14:paraId="1276DC9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70.1</w:t>
            </w:r>
          </w:p>
        </w:tc>
        <w:tc>
          <w:tcPr>
            <w:tcW w:w="855" w:type="dxa"/>
            <w:vAlign w:val="center"/>
          </w:tcPr>
          <w:p w14:paraId="39BE988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636.5 </w:t>
            </w:r>
          </w:p>
        </w:tc>
        <w:tc>
          <w:tcPr>
            <w:tcW w:w="855" w:type="dxa"/>
            <w:vAlign w:val="center"/>
          </w:tcPr>
          <w:p w14:paraId="308EC35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55.9</w:t>
            </w:r>
          </w:p>
        </w:tc>
      </w:tr>
      <w:tr w:rsidR="00B03AB3" w14:paraId="594A0762" w14:textId="77777777" w:rsidTr="423305BB">
        <w:trPr>
          <w:trHeight w:val="256"/>
        </w:trPr>
        <w:tc>
          <w:tcPr>
            <w:tcW w:w="2580" w:type="dxa"/>
            <w:vAlign w:val="center"/>
          </w:tcPr>
          <w:p w14:paraId="5DC799BE" w14:textId="5BDAFA1E"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Only the 2nd fixed effect model</w:t>
            </w:r>
          </w:p>
        </w:tc>
        <w:tc>
          <w:tcPr>
            <w:tcW w:w="855" w:type="dxa"/>
            <w:vAlign w:val="center"/>
          </w:tcPr>
          <w:p w14:paraId="0A49568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1054.4</w:t>
            </w:r>
          </w:p>
        </w:tc>
        <w:tc>
          <w:tcPr>
            <w:tcW w:w="855" w:type="dxa"/>
            <w:vAlign w:val="center"/>
          </w:tcPr>
          <w:p w14:paraId="22ADD82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54.8 </w:t>
            </w:r>
          </w:p>
        </w:tc>
        <w:tc>
          <w:tcPr>
            <w:tcW w:w="855" w:type="dxa"/>
            <w:vAlign w:val="center"/>
          </w:tcPr>
          <w:p w14:paraId="5D72BB5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1045.8</w:t>
            </w:r>
          </w:p>
        </w:tc>
        <w:tc>
          <w:tcPr>
            <w:tcW w:w="855" w:type="dxa"/>
            <w:vAlign w:val="center"/>
          </w:tcPr>
          <w:p w14:paraId="445F5AF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47.3</w:t>
            </w:r>
          </w:p>
        </w:tc>
        <w:tc>
          <w:tcPr>
            <w:tcW w:w="855" w:type="dxa"/>
            <w:vAlign w:val="center"/>
          </w:tcPr>
          <w:p w14:paraId="0965075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648.3</w:t>
            </w:r>
          </w:p>
        </w:tc>
        <w:tc>
          <w:tcPr>
            <w:tcW w:w="855" w:type="dxa"/>
            <w:vAlign w:val="center"/>
          </w:tcPr>
          <w:p w14:paraId="7734D5F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53.1</w:t>
            </w:r>
          </w:p>
        </w:tc>
        <w:tc>
          <w:tcPr>
            <w:tcW w:w="855" w:type="dxa"/>
            <w:vAlign w:val="center"/>
          </w:tcPr>
          <w:p w14:paraId="6AADF3C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607.8</w:t>
            </w:r>
          </w:p>
        </w:tc>
        <w:tc>
          <w:tcPr>
            <w:tcW w:w="855" w:type="dxa"/>
            <w:vAlign w:val="center"/>
          </w:tcPr>
          <w:p w14:paraId="3916DBB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44.2</w:t>
            </w:r>
          </w:p>
        </w:tc>
      </w:tr>
      <w:tr w:rsidR="00B03AB3" w14:paraId="6DC6F29C" w14:textId="77777777" w:rsidTr="423305BB">
        <w:trPr>
          <w:trHeight w:val="256"/>
        </w:trPr>
        <w:tc>
          <w:tcPr>
            <w:tcW w:w="2580" w:type="dxa"/>
            <w:tcBorders>
              <w:bottom w:val="single" w:sz="2" w:space="0" w:color="000000" w:themeColor="text1"/>
            </w:tcBorders>
            <w:tcMar>
              <w:top w:w="28" w:type="dxa"/>
              <w:left w:w="28" w:type="dxa"/>
              <w:bottom w:w="28" w:type="dxa"/>
              <w:right w:w="28" w:type="dxa"/>
            </w:tcMar>
            <w:vAlign w:val="center"/>
          </w:tcPr>
          <w:p w14:paraId="4D476D63" w14:textId="7ABA43C3"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Null model</w:t>
            </w:r>
          </w:p>
        </w:tc>
        <w:tc>
          <w:tcPr>
            <w:tcW w:w="855" w:type="dxa"/>
            <w:tcBorders>
              <w:bottom w:val="single" w:sz="2" w:space="0" w:color="000000" w:themeColor="text1"/>
            </w:tcBorders>
            <w:tcMar>
              <w:top w:w="28" w:type="dxa"/>
              <w:left w:w="28" w:type="dxa"/>
              <w:bottom w:w="28" w:type="dxa"/>
              <w:right w:w="28" w:type="dxa"/>
            </w:tcMar>
            <w:vAlign w:val="center"/>
          </w:tcPr>
          <w:p w14:paraId="3DE73A6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1206.1</w:t>
            </w:r>
          </w:p>
        </w:tc>
        <w:tc>
          <w:tcPr>
            <w:tcW w:w="855" w:type="dxa"/>
            <w:tcBorders>
              <w:bottom w:val="single" w:sz="2" w:space="0" w:color="000000" w:themeColor="text1"/>
            </w:tcBorders>
            <w:tcMar>
              <w:top w:w="28" w:type="dxa"/>
              <w:left w:w="28" w:type="dxa"/>
              <w:bottom w:w="28" w:type="dxa"/>
              <w:right w:w="28" w:type="dxa"/>
            </w:tcMar>
            <w:vAlign w:val="center"/>
          </w:tcPr>
          <w:p w14:paraId="4C1AAC6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64.9</w:t>
            </w:r>
          </w:p>
        </w:tc>
        <w:tc>
          <w:tcPr>
            <w:tcW w:w="855" w:type="dxa"/>
            <w:tcBorders>
              <w:bottom w:val="single" w:sz="2" w:space="0" w:color="000000" w:themeColor="text1"/>
            </w:tcBorders>
            <w:tcMar>
              <w:top w:w="28" w:type="dxa"/>
              <w:left w:w="28" w:type="dxa"/>
              <w:bottom w:w="28" w:type="dxa"/>
              <w:right w:w="28" w:type="dxa"/>
            </w:tcMar>
            <w:vAlign w:val="center"/>
          </w:tcPr>
          <w:p w14:paraId="67F730A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1287.5</w:t>
            </w:r>
          </w:p>
        </w:tc>
        <w:tc>
          <w:tcPr>
            <w:tcW w:w="855" w:type="dxa"/>
            <w:tcBorders>
              <w:bottom w:val="single" w:sz="2" w:space="0" w:color="000000" w:themeColor="text1"/>
            </w:tcBorders>
            <w:tcMar>
              <w:top w:w="28" w:type="dxa"/>
              <w:left w:w="28" w:type="dxa"/>
              <w:bottom w:w="28" w:type="dxa"/>
              <w:right w:w="28" w:type="dxa"/>
            </w:tcMar>
            <w:vAlign w:val="center"/>
          </w:tcPr>
          <w:p w14:paraId="3F49B28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63.6</w:t>
            </w:r>
          </w:p>
        </w:tc>
        <w:tc>
          <w:tcPr>
            <w:tcW w:w="855" w:type="dxa"/>
            <w:tcBorders>
              <w:bottom w:val="single" w:sz="2" w:space="0" w:color="000000" w:themeColor="text1"/>
            </w:tcBorders>
            <w:tcMar>
              <w:top w:w="28" w:type="dxa"/>
              <w:left w:w="28" w:type="dxa"/>
              <w:bottom w:w="28" w:type="dxa"/>
              <w:right w:w="28" w:type="dxa"/>
            </w:tcMar>
            <w:vAlign w:val="center"/>
          </w:tcPr>
          <w:p w14:paraId="3E11BD6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905.9</w:t>
            </w:r>
          </w:p>
        </w:tc>
        <w:tc>
          <w:tcPr>
            <w:tcW w:w="855" w:type="dxa"/>
            <w:tcBorders>
              <w:bottom w:val="single" w:sz="2" w:space="0" w:color="000000" w:themeColor="text1"/>
            </w:tcBorders>
            <w:tcMar>
              <w:top w:w="28" w:type="dxa"/>
              <w:left w:w="28" w:type="dxa"/>
              <w:bottom w:w="28" w:type="dxa"/>
              <w:right w:w="28" w:type="dxa"/>
            </w:tcMar>
            <w:vAlign w:val="center"/>
          </w:tcPr>
          <w:p w14:paraId="1336EB1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99.2</w:t>
            </w:r>
          </w:p>
        </w:tc>
        <w:tc>
          <w:tcPr>
            <w:tcW w:w="855" w:type="dxa"/>
            <w:tcBorders>
              <w:bottom w:val="single" w:sz="2" w:space="0" w:color="000000" w:themeColor="text1"/>
            </w:tcBorders>
            <w:tcMar>
              <w:top w:w="28" w:type="dxa"/>
              <w:left w:w="28" w:type="dxa"/>
              <w:bottom w:w="28" w:type="dxa"/>
              <w:right w:w="28" w:type="dxa"/>
            </w:tcMar>
            <w:vAlign w:val="center"/>
          </w:tcPr>
          <w:p w14:paraId="1B1012F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751.7</w:t>
            </w:r>
          </w:p>
        </w:tc>
        <w:tc>
          <w:tcPr>
            <w:tcW w:w="855" w:type="dxa"/>
            <w:tcBorders>
              <w:bottom w:val="single" w:sz="2" w:space="0" w:color="000000" w:themeColor="text1"/>
            </w:tcBorders>
            <w:tcMar>
              <w:top w:w="28" w:type="dxa"/>
              <w:left w:w="28" w:type="dxa"/>
              <w:bottom w:w="28" w:type="dxa"/>
              <w:right w:w="28" w:type="dxa"/>
            </w:tcMar>
            <w:vAlign w:val="center"/>
          </w:tcPr>
          <w:p w14:paraId="1B0BF1A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70.2</w:t>
            </w:r>
          </w:p>
        </w:tc>
      </w:tr>
      <w:tr w:rsidR="00B03AB3" w14:paraId="6F4CFB55" w14:textId="77777777" w:rsidTr="423305BB">
        <w:trPr>
          <w:trHeight w:val="256"/>
        </w:trPr>
        <w:tc>
          <w:tcPr>
            <w:tcW w:w="2580" w:type="dxa"/>
            <w:tcBorders>
              <w:bottom w:val="single" w:sz="2" w:space="0" w:color="000000" w:themeColor="text1"/>
            </w:tcBorders>
            <w:tcMar>
              <w:top w:w="28" w:type="dxa"/>
              <w:left w:w="28" w:type="dxa"/>
              <w:bottom w:w="28" w:type="dxa"/>
              <w:right w:w="28" w:type="dxa"/>
            </w:tcMar>
            <w:vAlign w:val="center"/>
          </w:tcPr>
          <w:p w14:paraId="26797BB0" w14:textId="176ECBC1"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Distribution selection</w:t>
            </w:r>
          </w:p>
        </w:tc>
        <w:tc>
          <w:tcPr>
            <w:tcW w:w="855" w:type="dxa"/>
            <w:tcBorders>
              <w:bottom w:val="single" w:sz="2" w:space="0" w:color="000000" w:themeColor="text1"/>
            </w:tcBorders>
            <w:tcMar>
              <w:top w:w="28" w:type="dxa"/>
              <w:left w:w="28" w:type="dxa"/>
              <w:bottom w:w="28" w:type="dxa"/>
              <w:right w:w="28" w:type="dxa"/>
            </w:tcMar>
            <w:vAlign w:val="center"/>
          </w:tcPr>
          <w:p w14:paraId="3D1D871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bottom w:val="single" w:sz="2" w:space="0" w:color="000000" w:themeColor="text1"/>
            </w:tcBorders>
            <w:tcMar>
              <w:top w:w="28" w:type="dxa"/>
              <w:left w:w="28" w:type="dxa"/>
              <w:bottom w:w="28" w:type="dxa"/>
              <w:right w:w="28" w:type="dxa"/>
            </w:tcMar>
            <w:vAlign w:val="center"/>
          </w:tcPr>
          <w:p w14:paraId="7DB6F3B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bottom w:val="single" w:sz="2" w:space="0" w:color="000000" w:themeColor="text1"/>
            </w:tcBorders>
            <w:tcMar>
              <w:top w:w="28" w:type="dxa"/>
              <w:left w:w="28" w:type="dxa"/>
              <w:bottom w:w="28" w:type="dxa"/>
              <w:right w:w="28" w:type="dxa"/>
            </w:tcMar>
            <w:vAlign w:val="center"/>
          </w:tcPr>
          <w:p w14:paraId="2E1BAA7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bottom w:val="single" w:sz="2" w:space="0" w:color="000000" w:themeColor="text1"/>
            </w:tcBorders>
            <w:tcMar>
              <w:top w:w="28" w:type="dxa"/>
              <w:left w:w="28" w:type="dxa"/>
              <w:bottom w:w="28" w:type="dxa"/>
              <w:right w:w="28" w:type="dxa"/>
            </w:tcMar>
            <w:vAlign w:val="center"/>
          </w:tcPr>
          <w:p w14:paraId="0B7837A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bottom w:val="single" w:sz="2" w:space="0" w:color="000000" w:themeColor="text1"/>
            </w:tcBorders>
            <w:tcMar>
              <w:top w:w="28" w:type="dxa"/>
              <w:left w:w="28" w:type="dxa"/>
              <w:bottom w:w="28" w:type="dxa"/>
              <w:right w:w="28" w:type="dxa"/>
            </w:tcMar>
            <w:vAlign w:val="center"/>
          </w:tcPr>
          <w:p w14:paraId="372563B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bottom w:val="single" w:sz="2" w:space="0" w:color="000000" w:themeColor="text1"/>
            </w:tcBorders>
            <w:tcMar>
              <w:top w:w="28" w:type="dxa"/>
              <w:left w:w="28" w:type="dxa"/>
              <w:bottom w:w="28" w:type="dxa"/>
              <w:right w:w="28" w:type="dxa"/>
            </w:tcMar>
            <w:vAlign w:val="center"/>
          </w:tcPr>
          <w:p w14:paraId="365A7FD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bottom w:val="single" w:sz="2" w:space="0" w:color="000000" w:themeColor="text1"/>
            </w:tcBorders>
            <w:tcMar>
              <w:top w:w="28" w:type="dxa"/>
              <w:left w:w="28" w:type="dxa"/>
              <w:bottom w:w="28" w:type="dxa"/>
              <w:right w:w="28" w:type="dxa"/>
            </w:tcMar>
            <w:vAlign w:val="center"/>
          </w:tcPr>
          <w:p w14:paraId="164AF4C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bottom w:val="single" w:sz="2" w:space="0" w:color="000000" w:themeColor="text1"/>
            </w:tcBorders>
            <w:tcMar>
              <w:top w:w="28" w:type="dxa"/>
              <w:left w:w="28" w:type="dxa"/>
              <w:bottom w:w="28" w:type="dxa"/>
              <w:right w:w="28" w:type="dxa"/>
            </w:tcMar>
            <w:vAlign w:val="center"/>
          </w:tcPr>
          <w:p w14:paraId="5902C336"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r>
      <w:tr w:rsidR="00B03AB3" w14:paraId="284BD31C" w14:textId="77777777" w:rsidTr="423305BB">
        <w:trPr>
          <w:trHeight w:val="256"/>
        </w:trPr>
        <w:tc>
          <w:tcPr>
            <w:tcW w:w="2580" w:type="dxa"/>
            <w:vAlign w:val="center"/>
          </w:tcPr>
          <w:p w14:paraId="7D665B8D" w14:textId="56C67B23"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Poisson</w:t>
            </w:r>
          </w:p>
        </w:tc>
        <w:tc>
          <w:tcPr>
            <w:tcW w:w="855" w:type="dxa"/>
            <w:vAlign w:val="center"/>
          </w:tcPr>
          <w:p w14:paraId="75BB254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w:t>
            </w:r>
          </w:p>
        </w:tc>
        <w:tc>
          <w:tcPr>
            <w:tcW w:w="855" w:type="dxa"/>
            <w:vAlign w:val="center"/>
          </w:tcPr>
          <w:p w14:paraId="58BDF8A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c>
          <w:tcPr>
            <w:tcW w:w="855" w:type="dxa"/>
            <w:vAlign w:val="center"/>
          </w:tcPr>
          <w:p w14:paraId="4B58431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6A09E91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855" w:type="dxa"/>
            <w:vAlign w:val="center"/>
          </w:tcPr>
          <w:p w14:paraId="2322F00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33E67AC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855" w:type="dxa"/>
            <w:vAlign w:val="center"/>
          </w:tcPr>
          <w:p w14:paraId="7B7EFE0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1BBD13F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B03AB3" w14:paraId="353E72C8" w14:textId="77777777" w:rsidTr="423305BB">
        <w:trPr>
          <w:trHeight w:val="256"/>
        </w:trPr>
        <w:tc>
          <w:tcPr>
            <w:tcW w:w="2580" w:type="dxa"/>
            <w:vAlign w:val="center"/>
          </w:tcPr>
          <w:p w14:paraId="7987A085" w14:textId="001EA31E"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Negative Binomial</w:t>
            </w:r>
          </w:p>
        </w:tc>
        <w:tc>
          <w:tcPr>
            <w:tcW w:w="855" w:type="dxa"/>
            <w:vAlign w:val="center"/>
          </w:tcPr>
          <w:p w14:paraId="3311358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0BE1480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855" w:type="dxa"/>
            <w:vAlign w:val="center"/>
          </w:tcPr>
          <w:p w14:paraId="0C661A1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855" w:type="dxa"/>
            <w:vAlign w:val="center"/>
          </w:tcPr>
          <w:p w14:paraId="39D7D50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855" w:type="dxa"/>
            <w:vAlign w:val="center"/>
          </w:tcPr>
          <w:p w14:paraId="352B17F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p>
        </w:tc>
        <w:tc>
          <w:tcPr>
            <w:tcW w:w="855" w:type="dxa"/>
            <w:vAlign w:val="center"/>
          </w:tcPr>
          <w:p w14:paraId="11F9B57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w:t>
            </w:r>
          </w:p>
        </w:tc>
        <w:tc>
          <w:tcPr>
            <w:tcW w:w="855" w:type="dxa"/>
            <w:vAlign w:val="center"/>
          </w:tcPr>
          <w:p w14:paraId="67F1C22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855" w:type="dxa"/>
            <w:vAlign w:val="center"/>
          </w:tcPr>
          <w:p w14:paraId="4B3AA50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r>
      <w:tr w:rsidR="00B03AB3" w14:paraId="38A29C6F" w14:textId="77777777" w:rsidTr="423305BB">
        <w:trPr>
          <w:trHeight w:val="256"/>
        </w:trPr>
        <w:tc>
          <w:tcPr>
            <w:tcW w:w="2580" w:type="dxa"/>
            <w:vAlign w:val="center"/>
          </w:tcPr>
          <w:p w14:paraId="68AC30C7" w14:textId="326467E0"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Zero-inflated Poisson</w:t>
            </w:r>
          </w:p>
        </w:tc>
        <w:tc>
          <w:tcPr>
            <w:tcW w:w="855" w:type="dxa"/>
            <w:vAlign w:val="center"/>
          </w:tcPr>
          <w:p w14:paraId="3851D27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w:t>
            </w:r>
          </w:p>
        </w:tc>
        <w:tc>
          <w:tcPr>
            <w:tcW w:w="855" w:type="dxa"/>
            <w:vAlign w:val="center"/>
          </w:tcPr>
          <w:p w14:paraId="2F7BA2E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w:t>
            </w:r>
          </w:p>
        </w:tc>
        <w:tc>
          <w:tcPr>
            <w:tcW w:w="855" w:type="dxa"/>
            <w:vAlign w:val="center"/>
          </w:tcPr>
          <w:p w14:paraId="2D8A907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855" w:type="dxa"/>
            <w:vAlign w:val="center"/>
          </w:tcPr>
          <w:p w14:paraId="658371F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855" w:type="dxa"/>
            <w:vAlign w:val="center"/>
          </w:tcPr>
          <w:p w14:paraId="7B98A4A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w:t>
            </w:r>
          </w:p>
        </w:tc>
        <w:tc>
          <w:tcPr>
            <w:tcW w:w="855" w:type="dxa"/>
            <w:vAlign w:val="center"/>
          </w:tcPr>
          <w:p w14:paraId="219532A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855" w:type="dxa"/>
            <w:vAlign w:val="center"/>
          </w:tcPr>
          <w:p w14:paraId="6AD52D3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w:t>
            </w:r>
          </w:p>
        </w:tc>
        <w:tc>
          <w:tcPr>
            <w:tcW w:w="855" w:type="dxa"/>
            <w:vAlign w:val="center"/>
          </w:tcPr>
          <w:p w14:paraId="46D6F5A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w:t>
            </w:r>
          </w:p>
        </w:tc>
      </w:tr>
      <w:tr w:rsidR="00B03AB3" w14:paraId="36586B31" w14:textId="77777777" w:rsidTr="423305BB">
        <w:trPr>
          <w:trHeight w:val="256"/>
        </w:trPr>
        <w:tc>
          <w:tcPr>
            <w:tcW w:w="2580" w:type="dxa"/>
            <w:vAlign w:val="center"/>
          </w:tcPr>
          <w:p w14:paraId="6C46B2C0" w14:textId="50F1DC22"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Zero-inflated Negative Binomial</w:t>
            </w:r>
          </w:p>
        </w:tc>
        <w:tc>
          <w:tcPr>
            <w:tcW w:w="855" w:type="dxa"/>
            <w:vAlign w:val="center"/>
          </w:tcPr>
          <w:p w14:paraId="391E209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w:t>
            </w:r>
          </w:p>
        </w:tc>
        <w:tc>
          <w:tcPr>
            <w:tcW w:w="855" w:type="dxa"/>
            <w:vAlign w:val="center"/>
          </w:tcPr>
          <w:p w14:paraId="1E01AE0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c>
          <w:tcPr>
            <w:tcW w:w="855" w:type="dxa"/>
            <w:vAlign w:val="center"/>
          </w:tcPr>
          <w:p w14:paraId="23FF23C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w:t>
            </w:r>
          </w:p>
        </w:tc>
        <w:tc>
          <w:tcPr>
            <w:tcW w:w="855" w:type="dxa"/>
            <w:vAlign w:val="center"/>
          </w:tcPr>
          <w:p w14:paraId="1A508AC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855" w:type="dxa"/>
            <w:vAlign w:val="center"/>
          </w:tcPr>
          <w:p w14:paraId="437128E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w:t>
            </w:r>
          </w:p>
        </w:tc>
        <w:tc>
          <w:tcPr>
            <w:tcW w:w="855" w:type="dxa"/>
            <w:vAlign w:val="center"/>
          </w:tcPr>
          <w:p w14:paraId="63508DC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855" w:type="dxa"/>
            <w:vAlign w:val="center"/>
          </w:tcPr>
          <w:p w14:paraId="4BF9D5B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w:t>
            </w:r>
          </w:p>
        </w:tc>
        <w:tc>
          <w:tcPr>
            <w:tcW w:w="855" w:type="dxa"/>
            <w:vAlign w:val="center"/>
          </w:tcPr>
          <w:p w14:paraId="415FAE8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B03AB3" w14:paraId="6FBE793B" w14:textId="77777777" w:rsidTr="423305BB">
        <w:trPr>
          <w:trHeight w:val="256"/>
        </w:trPr>
        <w:tc>
          <w:tcPr>
            <w:tcW w:w="2580"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5A9DA7DE" w14:textId="6996F1D2"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 Model fit Selection</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0DF3A7D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78F7BB1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55BC915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4B614B5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094F28F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3CC905A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1653AA66"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ΔLOOIC</w:t>
            </w:r>
          </w:p>
        </w:tc>
        <w:tc>
          <w:tcPr>
            <w:tcW w:w="855" w:type="dxa"/>
            <w:tcBorders>
              <w:top w:val="single" w:sz="2" w:space="0" w:color="000000" w:themeColor="text1"/>
              <w:bottom w:val="single" w:sz="2" w:space="0" w:color="000000" w:themeColor="text1"/>
            </w:tcBorders>
            <w:tcMar>
              <w:top w:w="28" w:type="dxa"/>
              <w:left w:w="28" w:type="dxa"/>
              <w:bottom w:w="28" w:type="dxa"/>
              <w:right w:w="28" w:type="dxa"/>
            </w:tcMar>
            <w:vAlign w:val="center"/>
          </w:tcPr>
          <w:p w14:paraId="3F05828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r>
      <w:tr w:rsidR="00B03AB3" w14:paraId="623C6B65" w14:textId="77777777" w:rsidTr="423305BB">
        <w:trPr>
          <w:trHeight w:val="256"/>
        </w:trPr>
        <w:tc>
          <w:tcPr>
            <w:tcW w:w="2580" w:type="dxa"/>
            <w:vAlign w:val="center"/>
          </w:tcPr>
          <w:p w14:paraId="33BAEC19" w14:textId="5EC7ED96"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Global model</w:t>
            </w:r>
          </w:p>
        </w:tc>
        <w:tc>
          <w:tcPr>
            <w:tcW w:w="855" w:type="dxa"/>
            <w:vAlign w:val="center"/>
          </w:tcPr>
          <w:p w14:paraId="1C00C5C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-70.6</w:t>
            </w:r>
          </w:p>
        </w:tc>
        <w:tc>
          <w:tcPr>
            <w:tcW w:w="855" w:type="dxa"/>
            <w:vAlign w:val="center"/>
          </w:tcPr>
          <w:p w14:paraId="7374F46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w:t>
            </w:r>
          </w:p>
        </w:tc>
        <w:tc>
          <w:tcPr>
            <w:tcW w:w="855" w:type="dxa"/>
            <w:vAlign w:val="center"/>
          </w:tcPr>
          <w:p w14:paraId="62E374E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- 65.7</w:t>
            </w:r>
          </w:p>
        </w:tc>
        <w:tc>
          <w:tcPr>
            <w:tcW w:w="855" w:type="dxa"/>
            <w:vAlign w:val="center"/>
          </w:tcPr>
          <w:p w14:paraId="7334410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w:t>
            </w:r>
          </w:p>
        </w:tc>
        <w:tc>
          <w:tcPr>
            <w:tcW w:w="855" w:type="dxa"/>
            <w:vAlign w:val="center"/>
          </w:tcPr>
          <w:p w14:paraId="2188226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-26.3</w:t>
            </w:r>
          </w:p>
        </w:tc>
        <w:tc>
          <w:tcPr>
            <w:tcW w:w="855" w:type="dxa"/>
            <w:vAlign w:val="center"/>
          </w:tcPr>
          <w:p w14:paraId="280B52B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w:t>
            </w:r>
          </w:p>
        </w:tc>
        <w:tc>
          <w:tcPr>
            <w:tcW w:w="855" w:type="dxa"/>
            <w:vAlign w:val="center"/>
          </w:tcPr>
          <w:p w14:paraId="0B69521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w:t>
            </w:r>
          </w:p>
        </w:tc>
        <w:tc>
          <w:tcPr>
            <w:tcW w:w="855" w:type="dxa"/>
            <w:vAlign w:val="center"/>
          </w:tcPr>
          <w:p w14:paraId="1294EA9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w:t>
            </w:r>
          </w:p>
        </w:tc>
      </w:tr>
      <w:tr w:rsidR="00B03AB3" w14:paraId="4A35C0F4" w14:textId="77777777" w:rsidTr="423305BB">
        <w:trPr>
          <w:trHeight w:val="256"/>
        </w:trPr>
        <w:tc>
          <w:tcPr>
            <w:tcW w:w="2580" w:type="dxa"/>
            <w:vAlign w:val="center"/>
          </w:tcPr>
          <w:p w14:paraId="5CA64E62" w14:textId="36F28DB3"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Additive model</w:t>
            </w:r>
          </w:p>
        </w:tc>
        <w:tc>
          <w:tcPr>
            <w:tcW w:w="855" w:type="dxa"/>
            <w:vAlign w:val="center"/>
          </w:tcPr>
          <w:p w14:paraId="5531F93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09FA2A7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855" w:type="dxa"/>
            <w:vAlign w:val="center"/>
          </w:tcPr>
          <w:p w14:paraId="0213FF8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237AFA4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855" w:type="dxa"/>
            <w:vAlign w:val="center"/>
          </w:tcPr>
          <w:p w14:paraId="370D6AA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3AD8BB8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855" w:type="dxa"/>
            <w:vAlign w:val="center"/>
          </w:tcPr>
          <w:p w14:paraId="05F7728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855" w:type="dxa"/>
            <w:vAlign w:val="center"/>
          </w:tcPr>
          <w:p w14:paraId="3AC2E41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B03AB3" w14:paraId="55252432" w14:textId="77777777" w:rsidTr="423305BB">
        <w:trPr>
          <w:trHeight w:val="256"/>
        </w:trPr>
        <w:tc>
          <w:tcPr>
            <w:tcW w:w="2580" w:type="dxa"/>
            <w:vAlign w:val="center"/>
          </w:tcPr>
          <w:p w14:paraId="438B90DE" w14:textId="02C83381"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Only the 1st fixed effect model</w:t>
            </w:r>
          </w:p>
        </w:tc>
        <w:tc>
          <w:tcPr>
            <w:tcW w:w="855" w:type="dxa"/>
            <w:vAlign w:val="center"/>
          </w:tcPr>
          <w:p w14:paraId="75A3E6E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-155.4</w:t>
            </w:r>
          </w:p>
        </w:tc>
        <w:tc>
          <w:tcPr>
            <w:tcW w:w="855" w:type="dxa"/>
            <w:vAlign w:val="center"/>
          </w:tcPr>
          <w:p w14:paraId="4841125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30.4</w:t>
            </w:r>
          </w:p>
        </w:tc>
        <w:tc>
          <w:tcPr>
            <w:tcW w:w="855" w:type="dxa"/>
            <w:vAlign w:val="center"/>
          </w:tcPr>
          <w:p w14:paraId="189763D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-246.1</w:t>
            </w:r>
          </w:p>
        </w:tc>
        <w:tc>
          <w:tcPr>
            <w:tcW w:w="855" w:type="dxa"/>
            <w:vAlign w:val="center"/>
          </w:tcPr>
          <w:p w14:paraId="6165171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40.2</w:t>
            </w:r>
          </w:p>
        </w:tc>
        <w:tc>
          <w:tcPr>
            <w:tcW w:w="855" w:type="dxa"/>
            <w:vAlign w:val="center"/>
          </w:tcPr>
          <w:p w14:paraId="4928A51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-203.4</w:t>
            </w:r>
          </w:p>
        </w:tc>
        <w:tc>
          <w:tcPr>
            <w:tcW w:w="855" w:type="dxa"/>
            <w:vAlign w:val="center"/>
          </w:tcPr>
          <w:p w14:paraId="6E48D8A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35.8</w:t>
            </w:r>
          </w:p>
        </w:tc>
        <w:tc>
          <w:tcPr>
            <w:tcW w:w="855" w:type="dxa"/>
            <w:vAlign w:val="center"/>
          </w:tcPr>
          <w:p w14:paraId="5DD4C11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-152.3</w:t>
            </w:r>
          </w:p>
        </w:tc>
        <w:tc>
          <w:tcPr>
            <w:tcW w:w="855" w:type="dxa"/>
            <w:vAlign w:val="center"/>
          </w:tcPr>
          <w:p w14:paraId="1918782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38.9</w:t>
            </w:r>
          </w:p>
        </w:tc>
      </w:tr>
      <w:tr w:rsidR="00B03AB3" w14:paraId="6D741736" w14:textId="77777777" w:rsidTr="423305BB">
        <w:trPr>
          <w:trHeight w:val="256"/>
        </w:trPr>
        <w:tc>
          <w:tcPr>
            <w:tcW w:w="2580" w:type="dxa"/>
            <w:vAlign w:val="center"/>
          </w:tcPr>
          <w:p w14:paraId="637B591A" w14:textId="556C805A"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Only the 2nd fixed effect model</w:t>
            </w:r>
          </w:p>
        </w:tc>
        <w:tc>
          <w:tcPr>
            <w:tcW w:w="855" w:type="dxa"/>
            <w:vAlign w:val="center"/>
          </w:tcPr>
          <w:p w14:paraId="3C8BEB8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-34.1</w:t>
            </w:r>
          </w:p>
        </w:tc>
        <w:tc>
          <w:tcPr>
            <w:tcW w:w="855" w:type="dxa"/>
            <w:vAlign w:val="center"/>
          </w:tcPr>
          <w:p w14:paraId="122000C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14.2</w:t>
            </w:r>
          </w:p>
        </w:tc>
        <w:tc>
          <w:tcPr>
            <w:tcW w:w="855" w:type="dxa"/>
            <w:vAlign w:val="center"/>
          </w:tcPr>
          <w:p w14:paraId="584FBB0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-12.8</w:t>
            </w:r>
          </w:p>
        </w:tc>
        <w:tc>
          <w:tcPr>
            <w:tcW w:w="855" w:type="dxa"/>
            <w:vAlign w:val="center"/>
          </w:tcPr>
          <w:p w14:paraId="7F77F7E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w:t>
            </w:r>
          </w:p>
        </w:tc>
        <w:tc>
          <w:tcPr>
            <w:tcW w:w="855" w:type="dxa"/>
            <w:vAlign w:val="center"/>
          </w:tcPr>
          <w:p w14:paraId="23B77F2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-276.0</w:t>
            </w:r>
          </w:p>
        </w:tc>
        <w:tc>
          <w:tcPr>
            <w:tcW w:w="855" w:type="dxa"/>
            <w:vAlign w:val="center"/>
          </w:tcPr>
          <w:p w14:paraId="295A80D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53.3</w:t>
            </w:r>
          </w:p>
        </w:tc>
        <w:tc>
          <w:tcPr>
            <w:tcW w:w="855" w:type="dxa"/>
            <w:vAlign w:val="center"/>
          </w:tcPr>
          <w:p w14:paraId="23DB927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-123.3</w:t>
            </w:r>
          </w:p>
        </w:tc>
        <w:tc>
          <w:tcPr>
            <w:tcW w:w="855" w:type="dxa"/>
            <w:vAlign w:val="center"/>
          </w:tcPr>
          <w:p w14:paraId="0A85E4A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w:t>
            </w:r>
          </w:p>
        </w:tc>
      </w:tr>
      <w:tr w:rsidR="00B03AB3" w14:paraId="527B3CA6" w14:textId="77777777" w:rsidTr="423305BB">
        <w:trPr>
          <w:trHeight w:val="256"/>
        </w:trPr>
        <w:tc>
          <w:tcPr>
            <w:tcW w:w="2580" w:type="dxa"/>
            <w:tcBorders>
              <w:bottom w:val="single" w:sz="6" w:space="0" w:color="000000" w:themeColor="text1"/>
            </w:tcBorders>
            <w:vAlign w:val="center"/>
          </w:tcPr>
          <w:p w14:paraId="77A1DE04" w14:textId="782A1DDA"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Null model</w:t>
            </w:r>
          </w:p>
        </w:tc>
        <w:tc>
          <w:tcPr>
            <w:tcW w:w="855" w:type="dxa"/>
            <w:tcBorders>
              <w:bottom w:val="single" w:sz="6" w:space="0" w:color="000000" w:themeColor="text1"/>
            </w:tcBorders>
            <w:vAlign w:val="center"/>
          </w:tcPr>
          <w:p w14:paraId="3E6C690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-185.8</w:t>
            </w:r>
          </w:p>
        </w:tc>
        <w:tc>
          <w:tcPr>
            <w:tcW w:w="855" w:type="dxa"/>
            <w:tcBorders>
              <w:bottom w:val="single" w:sz="6" w:space="0" w:color="000000" w:themeColor="text1"/>
            </w:tcBorders>
            <w:vAlign w:val="center"/>
          </w:tcPr>
          <w:p w14:paraId="095C38A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38.6</w:t>
            </w:r>
          </w:p>
        </w:tc>
        <w:tc>
          <w:tcPr>
            <w:tcW w:w="855" w:type="dxa"/>
            <w:tcBorders>
              <w:bottom w:val="single" w:sz="6" w:space="0" w:color="000000" w:themeColor="text1"/>
            </w:tcBorders>
            <w:vAlign w:val="center"/>
          </w:tcPr>
          <w:p w14:paraId="30D08DA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-254.6</w:t>
            </w:r>
          </w:p>
        </w:tc>
        <w:tc>
          <w:tcPr>
            <w:tcW w:w="855" w:type="dxa"/>
            <w:tcBorders>
              <w:bottom w:val="single" w:sz="6" w:space="0" w:color="000000" w:themeColor="text1"/>
            </w:tcBorders>
            <w:vAlign w:val="center"/>
          </w:tcPr>
          <w:p w14:paraId="696863A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42.5</w:t>
            </w:r>
          </w:p>
        </w:tc>
        <w:tc>
          <w:tcPr>
            <w:tcW w:w="855" w:type="dxa"/>
            <w:tcBorders>
              <w:bottom w:val="single" w:sz="6" w:space="0" w:color="000000" w:themeColor="text1"/>
            </w:tcBorders>
            <w:vAlign w:val="center"/>
          </w:tcPr>
          <w:p w14:paraId="05D68A1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-461.0</w:t>
            </w:r>
          </w:p>
        </w:tc>
        <w:tc>
          <w:tcPr>
            <w:tcW w:w="855" w:type="dxa"/>
            <w:tcBorders>
              <w:bottom w:val="single" w:sz="6" w:space="0" w:color="000000" w:themeColor="text1"/>
            </w:tcBorders>
            <w:vAlign w:val="center"/>
          </w:tcPr>
          <w:p w14:paraId="76984A5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85.1</w:t>
            </w:r>
          </w:p>
        </w:tc>
        <w:tc>
          <w:tcPr>
            <w:tcW w:w="855" w:type="dxa"/>
            <w:tcBorders>
              <w:bottom w:val="single" w:sz="6" w:space="0" w:color="000000" w:themeColor="text1"/>
            </w:tcBorders>
            <w:vAlign w:val="center"/>
          </w:tcPr>
          <w:p w14:paraId="0B1E5FD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-267.9</w:t>
            </w:r>
          </w:p>
        </w:tc>
        <w:tc>
          <w:tcPr>
            <w:tcW w:w="855" w:type="dxa"/>
            <w:tcBorders>
              <w:bottom w:val="single" w:sz="6" w:space="0" w:color="000000" w:themeColor="text1"/>
            </w:tcBorders>
            <w:vAlign w:val="center"/>
          </w:tcPr>
          <w:p w14:paraId="41EAC73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56.4</w:t>
            </w:r>
          </w:p>
        </w:tc>
      </w:tr>
    </w:tbl>
    <w:p w14:paraId="7AA01545" w14:textId="77777777" w:rsidR="00EE07F8" w:rsidRDefault="00EE07F8">
      <w:pPr>
        <w:rPr>
          <w:rFonts w:ascii="Times New Roman" w:eastAsia="Times New Roman" w:hAnsi="Times New Roman" w:cs="Times New Roman"/>
          <w:b/>
          <w:bCs/>
        </w:rPr>
      </w:pPr>
      <w:r>
        <w:rPr>
          <w:rFonts w:ascii="Times New Roman" w:eastAsia="Times New Roman" w:hAnsi="Times New Roman" w:cs="Times New Roman"/>
          <w:b/>
          <w:bCs/>
        </w:rPr>
        <w:br w:type="page"/>
      </w:r>
    </w:p>
    <w:p w14:paraId="4DDBEF00"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10FA2A2D" wp14:editId="07777777">
            <wp:extent cx="5788660" cy="4631055"/>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1"/>
                    <a:srcRect l="-110" t="-138" r="-110" b="-138"/>
                    <a:stretch>
                      <a:fillRect/>
                    </a:stretch>
                  </pic:blipFill>
                  <pic:spPr bwMode="auto">
                    <a:xfrm>
                      <a:off x="0" y="0"/>
                      <a:ext cx="5788660" cy="4631055"/>
                    </a:xfrm>
                    <a:prstGeom prst="rect">
                      <a:avLst/>
                    </a:prstGeom>
                    <a:ln w="635">
                      <a:solidFill>
                        <a:srgbClr val="000000"/>
                      </a:solidFill>
                    </a:ln>
                  </pic:spPr>
                </pic:pic>
              </a:graphicData>
            </a:graphic>
          </wp:inline>
        </w:drawing>
      </w:r>
    </w:p>
    <w:p w14:paraId="3461D779" w14:textId="3D5F122F" w:rsidR="00B03AB3" w:rsidRDefault="00490928" w:rsidP="00915440">
      <w:pPr>
        <w:rPr>
          <w:rFonts w:ascii="Times New Roman" w:eastAsia="Times New Roman" w:hAnsi="Times New Roman" w:cs="Times New Roman"/>
        </w:rPr>
      </w:pPr>
      <w:r w:rsidRPr="00085EB9">
        <w:rPr>
          <w:rFonts w:ascii="Times New Roman" w:eastAsia="Times New Roman" w:hAnsi="Times New Roman" w:cs="Times New Roman"/>
          <w:b/>
          <w:bCs/>
        </w:rPr>
        <w:t xml:space="preserve">Fig. S3. </w:t>
      </w:r>
      <w:r w:rsidRPr="00490928">
        <w:rPr>
          <w:rFonts w:ascii="Times New Roman" w:eastAsia="Times New Roman" w:hAnsi="Times New Roman" w:cs="Times New Roman"/>
        </w:rPr>
        <w:t xml:space="preserve">Pairwise posterior contrasts in estimated publication counts among Brazilian biomes from the additive Bayesian </w:t>
      </w:r>
      <w:r w:rsidRPr="00490928">
        <w:rPr>
          <w:rFonts w:ascii="Times New Roman" w:eastAsia="Times New Roman" w:hAnsi="Times New Roman" w:cs="Times New Roman"/>
          <w:smallCaps/>
        </w:rPr>
        <w:t>brms</w:t>
      </w:r>
      <w:r w:rsidRPr="00490928">
        <w:rPr>
          <w:rFonts w:ascii="Times New Roman" w:eastAsia="Times New Roman" w:hAnsi="Times New Roman" w:cs="Times New Roman"/>
        </w:rPr>
        <w:t xml:space="preserve"> model for biomes and taxonomic groups. Green bars indicate contrasts clearly differentiated by the model, whereas red bars indicate contrasts not clearly differentiated.</w:t>
      </w:r>
    </w:p>
    <w:p w14:paraId="3CF2D8B6"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7544220B" wp14:editId="07777777">
            <wp:extent cx="5770880" cy="4617085"/>
            <wp:effectExtent l="0" t="0" r="0"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2"/>
                    <a:srcRect l="-110" t="-138" r="-110" b="-138"/>
                    <a:stretch>
                      <a:fillRect/>
                    </a:stretch>
                  </pic:blipFill>
                  <pic:spPr bwMode="auto">
                    <a:xfrm>
                      <a:off x="0" y="0"/>
                      <a:ext cx="5770880" cy="4617085"/>
                    </a:xfrm>
                    <a:prstGeom prst="rect">
                      <a:avLst/>
                    </a:prstGeom>
                    <a:ln w="635">
                      <a:solidFill>
                        <a:srgbClr val="000000"/>
                      </a:solidFill>
                    </a:ln>
                  </pic:spPr>
                </pic:pic>
              </a:graphicData>
            </a:graphic>
          </wp:inline>
        </w:drawing>
      </w:r>
    </w:p>
    <w:p w14:paraId="0FB78278" w14:textId="65D485A6" w:rsidR="00B03AB3" w:rsidRDefault="00085EB9" w:rsidP="00915440">
      <w:pPr>
        <w:rPr>
          <w:rFonts w:ascii="Times New Roman" w:eastAsia="Times New Roman" w:hAnsi="Times New Roman" w:cs="Times New Roman"/>
          <w:b/>
          <w:bCs/>
        </w:rPr>
      </w:pPr>
      <w:r w:rsidRPr="00085EB9">
        <w:rPr>
          <w:rFonts w:ascii="Times New Roman" w:eastAsia="Times New Roman" w:hAnsi="Times New Roman" w:cs="Times New Roman"/>
          <w:b/>
          <w:bCs/>
        </w:rPr>
        <w:t>Fig. S4.</w:t>
      </w:r>
      <w:r w:rsidRPr="00085EB9">
        <w:rPr>
          <w:rFonts w:ascii="Times New Roman" w:eastAsia="Times New Roman" w:hAnsi="Times New Roman" w:cs="Times New Roman"/>
        </w:rPr>
        <w:t xml:space="preserve"> Pairwise posterior contrasts in estimated publication counts among taxonomic groups from the additive Bayesian </w:t>
      </w:r>
      <w:r w:rsidRPr="00BF33D2">
        <w:rPr>
          <w:rFonts w:ascii="Times New Roman" w:eastAsia="Times New Roman" w:hAnsi="Times New Roman" w:cs="Times New Roman"/>
          <w:smallCaps/>
        </w:rPr>
        <w:t>brms</w:t>
      </w:r>
      <w:r w:rsidRPr="00085EB9">
        <w:rPr>
          <w:rFonts w:ascii="Times New Roman" w:eastAsia="Times New Roman" w:hAnsi="Times New Roman" w:cs="Times New Roman"/>
        </w:rPr>
        <w:t xml:space="preserve"> model for biomes and taxonomic groups. Green bars indicate contrasts clearly differentiated by the model, whereas red bars indicate contrasts not clearly differentiated.</w:t>
      </w:r>
    </w:p>
    <w:p w14:paraId="1FC39945" w14:textId="4C4F3071" w:rsidR="00F210CD" w:rsidRDefault="00F210CD">
      <w:pPr>
        <w:rPr>
          <w:rFonts w:ascii="Times New Roman" w:eastAsia="Times New Roman" w:hAnsi="Times New Roman" w:cs="Times New Roman"/>
          <w:b/>
          <w:bCs/>
        </w:rPr>
      </w:pPr>
      <w:r>
        <w:rPr>
          <w:rFonts w:ascii="Times New Roman" w:eastAsia="Times New Roman" w:hAnsi="Times New Roman" w:cs="Times New Roman"/>
          <w:b/>
          <w:bCs/>
        </w:rPr>
        <w:br w:type="page"/>
      </w:r>
    </w:p>
    <w:p w14:paraId="0562CB0E"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28632A93" wp14:editId="07777777">
            <wp:extent cx="5657850" cy="3681095"/>
            <wp:effectExtent l="0" t="0" r="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3"/>
                    <a:srcRect l="-158" t="-243" r="-158" b="-243"/>
                    <a:stretch>
                      <a:fillRect/>
                    </a:stretch>
                  </pic:blipFill>
                  <pic:spPr bwMode="auto">
                    <a:xfrm>
                      <a:off x="0" y="0"/>
                      <a:ext cx="5657850" cy="3681095"/>
                    </a:xfrm>
                    <a:prstGeom prst="rect">
                      <a:avLst/>
                    </a:prstGeom>
                    <a:ln w="635">
                      <a:solidFill>
                        <a:srgbClr val="000000"/>
                      </a:solidFill>
                    </a:ln>
                  </pic:spPr>
                </pic:pic>
              </a:graphicData>
            </a:graphic>
          </wp:inline>
        </w:drawing>
      </w:r>
    </w:p>
    <w:p w14:paraId="6AD0370C" w14:textId="13B7B0FA" w:rsidR="00F210CD" w:rsidRDefault="001E0687">
      <w:pPr>
        <w:rPr>
          <w:rFonts w:ascii="Times New Roman" w:eastAsia="Times New Roman" w:hAnsi="Times New Roman" w:cs="Times New Roman"/>
        </w:rPr>
      </w:pPr>
      <w:r w:rsidRPr="001E0687">
        <w:rPr>
          <w:rFonts w:ascii="Times New Roman" w:eastAsia="Times New Roman" w:hAnsi="Times New Roman" w:cs="Times New Roman"/>
          <w:b/>
          <w:bCs/>
        </w:rPr>
        <w:t>Fig. S5.</w:t>
      </w:r>
      <w:r w:rsidRPr="001E0687">
        <w:rPr>
          <w:rFonts w:ascii="Times New Roman" w:eastAsia="Times New Roman" w:hAnsi="Times New Roman" w:cs="Times New Roman"/>
        </w:rPr>
        <w:t xml:space="preserve"> Pairwise posterior contrasts in estimated publication counts among Brazilian geographic regions from the additive Bayesian </w:t>
      </w:r>
      <w:r w:rsidRPr="001E0687">
        <w:rPr>
          <w:rFonts w:ascii="Times New Roman" w:eastAsia="Times New Roman" w:hAnsi="Times New Roman" w:cs="Times New Roman"/>
          <w:smallCaps/>
        </w:rPr>
        <w:t>brms</w:t>
      </w:r>
      <w:r w:rsidRPr="001E0687">
        <w:rPr>
          <w:rFonts w:ascii="Times New Roman" w:eastAsia="Times New Roman" w:hAnsi="Times New Roman" w:cs="Times New Roman"/>
        </w:rPr>
        <w:t xml:space="preserve"> model for regions and taxonomic groups. Green bars indicate contrasts clearly differentiated by the model, whereas red bars indicate contrasts not clearly differentiated.</w:t>
      </w:r>
      <w:r w:rsidR="00F210CD">
        <w:rPr>
          <w:rFonts w:ascii="Times New Roman" w:eastAsia="Times New Roman" w:hAnsi="Times New Roman" w:cs="Times New Roman"/>
        </w:rPr>
        <w:br w:type="page"/>
      </w:r>
    </w:p>
    <w:p w14:paraId="34CE0A41"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67171466" wp14:editId="07777777">
            <wp:extent cx="5758180" cy="460629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4"/>
                    <a:srcRect l="-110" t="-138" r="-110" b="-138"/>
                    <a:stretch>
                      <a:fillRect/>
                    </a:stretch>
                  </pic:blipFill>
                  <pic:spPr bwMode="auto">
                    <a:xfrm>
                      <a:off x="0" y="0"/>
                      <a:ext cx="5758180" cy="4606290"/>
                    </a:xfrm>
                    <a:prstGeom prst="rect">
                      <a:avLst/>
                    </a:prstGeom>
                    <a:ln w="635">
                      <a:solidFill>
                        <a:srgbClr val="000000"/>
                      </a:solidFill>
                    </a:ln>
                  </pic:spPr>
                </pic:pic>
              </a:graphicData>
            </a:graphic>
          </wp:inline>
        </w:drawing>
      </w:r>
    </w:p>
    <w:p w14:paraId="6F958AE1" w14:textId="70798C8D" w:rsidR="00406A07" w:rsidRDefault="00406A07">
      <w:pPr>
        <w:rPr>
          <w:rFonts w:ascii="Times New Roman" w:eastAsia="Times New Roman" w:hAnsi="Times New Roman" w:cs="Times New Roman"/>
        </w:rPr>
      </w:pPr>
      <w:r w:rsidRPr="00406A07">
        <w:rPr>
          <w:rFonts w:ascii="Times New Roman" w:eastAsia="Times New Roman" w:hAnsi="Times New Roman" w:cs="Times New Roman"/>
          <w:b/>
          <w:bCs/>
        </w:rPr>
        <w:t>Fig. S6.</w:t>
      </w:r>
      <w:r w:rsidRPr="00406A07">
        <w:rPr>
          <w:rFonts w:ascii="Times New Roman" w:eastAsia="Times New Roman" w:hAnsi="Times New Roman" w:cs="Times New Roman"/>
        </w:rPr>
        <w:t xml:space="preserve"> Pairwise posterior contrasts in estimated publication counts among taxonomic groups from the additive Bayesian </w:t>
      </w:r>
      <w:r w:rsidRPr="00406A07">
        <w:rPr>
          <w:rFonts w:ascii="Times New Roman" w:eastAsia="Times New Roman" w:hAnsi="Times New Roman" w:cs="Times New Roman"/>
          <w:smallCaps/>
        </w:rPr>
        <w:t>brms</w:t>
      </w:r>
      <w:r w:rsidRPr="00406A07">
        <w:rPr>
          <w:rFonts w:ascii="Times New Roman" w:eastAsia="Times New Roman" w:hAnsi="Times New Roman" w:cs="Times New Roman"/>
        </w:rPr>
        <w:t xml:space="preserve"> model for regions and taxonomic groups. Green bars indicate contrasts clearly differentiated by the model, whereas red bars indicate contrasts not clearly differentiated.</w:t>
      </w:r>
      <w:r>
        <w:rPr>
          <w:rFonts w:ascii="Times New Roman" w:eastAsia="Times New Roman" w:hAnsi="Times New Roman" w:cs="Times New Roman"/>
        </w:rPr>
        <w:br w:type="page"/>
      </w:r>
    </w:p>
    <w:p w14:paraId="62EBF3C5"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6B0D4D9E" wp14:editId="07777777">
            <wp:extent cx="5766435" cy="3848735"/>
            <wp:effectExtent l="0" t="0" r="0" b="0"/>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5"/>
                    <a:srcRect l="979" t="4208" r="1579" b="3818"/>
                    <a:stretch>
                      <a:fillRect/>
                    </a:stretch>
                  </pic:blipFill>
                  <pic:spPr bwMode="auto">
                    <a:xfrm>
                      <a:off x="0" y="0"/>
                      <a:ext cx="5766435" cy="3848735"/>
                    </a:xfrm>
                    <a:prstGeom prst="rect">
                      <a:avLst/>
                    </a:prstGeom>
                    <a:ln w="635">
                      <a:solidFill>
                        <a:srgbClr val="000000"/>
                      </a:solidFill>
                    </a:ln>
                  </pic:spPr>
                </pic:pic>
              </a:graphicData>
            </a:graphic>
          </wp:inline>
        </w:drawing>
      </w:r>
    </w:p>
    <w:p w14:paraId="6783118A" w14:textId="1E2AC50C" w:rsidR="00F874D9" w:rsidRDefault="007F6A15">
      <w:pPr>
        <w:rPr>
          <w:rFonts w:ascii="Times New Roman" w:eastAsia="Times New Roman" w:hAnsi="Times New Roman" w:cs="Times New Roman"/>
        </w:rPr>
      </w:pPr>
      <w:r w:rsidRPr="007F6A15">
        <w:rPr>
          <w:rFonts w:ascii="Times New Roman" w:eastAsia="Times New Roman" w:hAnsi="Times New Roman" w:cs="Times New Roman"/>
          <w:b/>
          <w:bCs/>
        </w:rPr>
        <w:t>Fig. S7.</w:t>
      </w:r>
      <w:r w:rsidRPr="007F6A15">
        <w:rPr>
          <w:rFonts w:ascii="Times New Roman" w:eastAsia="Times New Roman" w:hAnsi="Times New Roman" w:cs="Times New Roman"/>
        </w:rPr>
        <w:t xml:space="preserve"> Pairwise posterior contrasts in estimated publication counts among reported effect classes from the additive Bayesian </w:t>
      </w:r>
      <w:r w:rsidRPr="00247482">
        <w:rPr>
          <w:rFonts w:ascii="Times New Roman" w:eastAsia="Times New Roman" w:hAnsi="Times New Roman" w:cs="Times New Roman"/>
          <w:smallCaps/>
        </w:rPr>
        <w:t>brms</w:t>
      </w:r>
      <w:r w:rsidRPr="007F6A15">
        <w:rPr>
          <w:rFonts w:ascii="Times New Roman" w:eastAsia="Times New Roman" w:hAnsi="Times New Roman" w:cs="Times New Roman"/>
        </w:rPr>
        <w:t xml:space="preserve"> model for effects and impact types. Red bars indicate contrasts not clearly differentiated by the model.</w:t>
      </w:r>
      <w:r w:rsidR="00F874D9">
        <w:rPr>
          <w:rFonts w:ascii="Times New Roman" w:eastAsia="Times New Roman" w:hAnsi="Times New Roman" w:cs="Times New Roman"/>
        </w:rPr>
        <w:br w:type="page"/>
      </w:r>
    </w:p>
    <w:p w14:paraId="2C443060" w14:textId="4D60EE31" w:rsidR="00B03AB3" w:rsidRDefault="423305BB" w:rsidP="00915440">
      <w:pPr>
        <w:rPr>
          <w:rFonts w:ascii="Times New Roman" w:eastAsia="Times New Roman" w:hAnsi="Times New Roman" w:cs="Times New Roman"/>
        </w:rPr>
      </w:pPr>
      <w:r>
        <w:rPr>
          <w:noProof/>
        </w:rPr>
        <w:lastRenderedPageBreak/>
        <w:drawing>
          <wp:inline distT="0" distB="0" distL="0" distR="0" wp14:anchorId="4E48E482" wp14:editId="19F0123F">
            <wp:extent cx="5558910" cy="3684270"/>
            <wp:effectExtent l="635" t="635" r="635" b="635"/>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
                    <pic:cNvPicPr/>
                  </pic:nvPicPr>
                  <pic:blipFill>
                    <a:blip r:embed="rId16" cstate="print">
                      <a:extLst>
                        <a:ext uri="{28A0092B-C50C-407E-A947-70E740481C1C}">
                          <a14:useLocalDpi xmlns:a14="http://schemas.microsoft.com/office/drawing/2010/main" val="0"/>
                        </a:ext>
                      </a:extLst>
                    </a:blip>
                    <a:srcRect l="-94" t="3095" r="1070" b="4042"/>
                    <a:stretch>
                      <a:fillRect/>
                    </a:stretch>
                  </pic:blipFill>
                  <pic:spPr>
                    <a:xfrm>
                      <a:off x="0" y="0"/>
                      <a:ext cx="5558910" cy="3684270"/>
                    </a:xfrm>
                    <a:prstGeom prst="rect">
                      <a:avLst/>
                    </a:prstGeom>
                    <a:ln w="635">
                      <a:solidFill>
                        <a:schemeClr val="tx1"/>
                      </a:solidFill>
                    </a:ln>
                  </pic:spPr>
                </pic:pic>
              </a:graphicData>
            </a:graphic>
          </wp:inline>
        </w:drawing>
      </w:r>
    </w:p>
    <w:p w14:paraId="4F6AFA6E" w14:textId="05BE0169" w:rsidR="00247482" w:rsidRDefault="00247482">
      <w:pPr>
        <w:rPr>
          <w:rFonts w:ascii="Times New Roman" w:eastAsia="Times New Roman" w:hAnsi="Times New Roman" w:cs="Times New Roman"/>
        </w:rPr>
      </w:pPr>
      <w:r w:rsidRPr="00247482">
        <w:rPr>
          <w:rFonts w:ascii="Times New Roman" w:eastAsia="Times New Roman" w:hAnsi="Times New Roman" w:cs="Times New Roman"/>
          <w:b/>
          <w:bCs/>
        </w:rPr>
        <w:t>Fig. S8.</w:t>
      </w:r>
      <w:r w:rsidRPr="00247482">
        <w:rPr>
          <w:rFonts w:ascii="Times New Roman" w:eastAsia="Times New Roman" w:hAnsi="Times New Roman" w:cs="Times New Roman"/>
        </w:rPr>
        <w:t xml:space="preserve"> Pairwise posterior contrasts in estimated publication counts among impact categories from the additive Bayesian </w:t>
      </w:r>
      <w:r w:rsidRPr="00247482">
        <w:rPr>
          <w:rFonts w:ascii="Times New Roman" w:eastAsia="Times New Roman" w:hAnsi="Times New Roman" w:cs="Times New Roman"/>
          <w:smallCaps/>
        </w:rPr>
        <w:t>brms</w:t>
      </w:r>
      <w:r w:rsidRPr="00247482">
        <w:rPr>
          <w:rFonts w:ascii="Times New Roman" w:eastAsia="Times New Roman" w:hAnsi="Times New Roman" w:cs="Times New Roman"/>
        </w:rPr>
        <w:t xml:space="preserve"> model for effects and impact types. Green bars indicate contrasts clearly differentiated by the model, whereas red bars indicate contrasts not clearly differentiated.</w:t>
      </w:r>
      <w:r>
        <w:rPr>
          <w:rFonts w:ascii="Times New Roman" w:eastAsia="Times New Roman" w:hAnsi="Times New Roman" w:cs="Times New Roman"/>
        </w:rPr>
        <w:br w:type="page"/>
      </w:r>
    </w:p>
    <w:p w14:paraId="6D98A12B" w14:textId="77777777" w:rsidR="00B03AB3" w:rsidRDefault="00000000" w:rsidP="00915440">
      <w:pPr>
        <w:rPr>
          <w:rFonts w:ascii="Times New Roman" w:eastAsia="Times New Roman" w:hAnsi="Times New Roman" w:cs="Times New Roman"/>
        </w:rPr>
      </w:pPr>
      <w:r>
        <w:rPr>
          <w:noProof/>
        </w:rPr>
        <w:lastRenderedPageBreak/>
        <w:drawing>
          <wp:inline distT="0" distB="0" distL="0" distR="0" wp14:anchorId="362264A2" wp14:editId="07777777">
            <wp:extent cx="5840730" cy="4000500"/>
            <wp:effectExtent l="0" t="0" r="0" b="0"/>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17"/>
                    <a:srcRect l="1134" t="1835" r="404" b="2758"/>
                    <a:stretch>
                      <a:fillRect/>
                    </a:stretch>
                  </pic:blipFill>
                  <pic:spPr bwMode="auto">
                    <a:xfrm>
                      <a:off x="0" y="0"/>
                      <a:ext cx="5840730" cy="4000500"/>
                    </a:xfrm>
                    <a:prstGeom prst="rect">
                      <a:avLst/>
                    </a:prstGeom>
                    <a:ln w="635">
                      <a:solidFill>
                        <a:srgbClr val="000000"/>
                      </a:solidFill>
                    </a:ln>
                  </pic:spPr>
                </pic:pic>
              </a:graphicData>
            </a:graphic>
          </wp:inline>
        </w:drawing>
      </w:r>
    </w:p>
    <w:p w14:paraId="5BF28635" w14:textId="73533AB2" w:rsidR="00A2487B" w:rsidRDefault="006C5FEB">
      <w:pPr>
        <w:rPr>
          <w:rFonts w:ascii="Times New Roman" w:eastAsia="Times New Roman" w:hAnsi="Times New Roman" w:cs="Times New Roman"/>
        </w:rPr>
      </w:pPr>
      <w:r w:rsidRPr="006C5FEB">
        <w:rPr>
          <w:rFonts w:ascii="Times New Roman" w:eastAsia="Times New Roman" w:hAnsi="Times New Roman" w:cs="Times New Roman"/>
          <w:b/>
          <w:bCs/>
        </w:rPr>
        <w:t>Fig. S9.</w:t>
      </w:r>
      <w:r w:rsidRPr="006C5FEB">
        <w:rPr>
          <w:rFonts w:ascii="Times New Roman" w:eastAsia="Times New Roman" w:hAnsi="Times New Roman" w:cs="Times New Roman"/>
        </w:rPr>
        <w:t xml:space="preserve"> Pairwise posterior contrasts in estimated publication counts among reported effect classes from the additive Bayesian </w:t>
      </w:r>
      <w:r w:rsidRPr="006C5FEB">
        <w:rPr>
          <w:rFonts w:ascii="Times New Roman" w:eastAsia="Times New Roman" w:hAnsi="Times New Roman" w:cs="Times New Roman"/>
          <w:smallCaps/>
        </w:rPr>
        <w:t>brms</w:t>
      </w:r>
      <w:r w:rsidRPr="006C5FEB">
        <w:rPr>
          <w:rFonts w:ascii="Times New Roman" w:eastAsia="Times New Roman" w:hAnsi="Times New Roman" w:cs="Times New Roman"/>
        </w:rPr>
        <w:t xml:space="preserve"> model for effects and taxonomic groups. Green bars indicate contrasts clearly differentiated by the model, whereas red bars indicate contrasts not clearly differentiated.</w:t>
      </w:r>
      <w:r w:rsidR="00A2487B">
        <w:rPr>
          <w:rFonts w:ascii="Times New Roman" w:eastAsia="Times New Roman" w:hAnsi="Times New Roman" w:cs="Times New Roman"/>
        </w:rPr>
        <w:br w:type="page"/>
      </w:r>
    </w:p>
    <w:p w14:paraId="2946DB82" w14:textId="77777777" w:rsidR="00B03AB3" w:rsidRDefault="00000000" w:rsidP="00915440">
      <w:pPr>
        <w:rPr>
          <w:rFonts w:ascii="Times New Roman" w:eastAsia="Times New Roman" w:hAnsi="Times New Roman" w:cs="Times New Roman"/>
          <w:b/>
          <w:bCs/>
        </w:rPr>
      </w:pPr>
      <w:r>
        <w:rPr>
          <w:noProof/>
        </w:rPr>
        <w:lastRenderedPageBreak/>
        <w:drawing>
          <wp:inline distT="0" distB="0" distL="0" distR="0" wp14:anchorId="342528F9" wp14:editId="07777777">
            <wp:extent cx="5835650" cy="3899535"/>
            <wp:effectExtent l="0" t="0" r="0" b="0"/>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18"/>
                    <a:srcRect l="919" t="2929" r="707" b="4075"/>
                    <a:stretch>
                      <a:fillRect/>
                    </a:stretch>
                  </pic:blipFill>
                  <pic:spPr bwMode="auto">
                    <a:xfrm>
                      <a:off x="0" y="0"/>
                      <a:ext cx="5835650" cy="3899535"/>
                    </a:xfrm>
                    <a:prstGeom prst="rect">
                      <a:avLst/>
                    </a:prstGeom>
                    <a:ln w="635">
                      <a:solidFill>
                        <a:srgbClr val="000000"/>
                      </a:solidFill>
                    </a:ln>
                  </pic:spPr>
                </pic:pic>
              </a:graphicData>
            </a:graphic>
          </wp:inline>
        </w:drawing>
      </w:r>
    </w:p>
    <w:p w14:paraId="5997CC1D" w14:textId="485FBFC1" w:rsidR="00B03AB3" w:rsidRDefault="0062570E" w:rsidP="00915440">
      <w:pPr>
        <w:rPr>
          <w:rFonts w:ascii="Times New Roman" w:eastAsia="Times New Roman" w:hAnsi="Times New Roman" w:cs="Times New Roman"/>
        </w:rPr>
      </w:pPr>
      <w:r w:rsidRPr="0062570E">
        <w:rPr>
          <w:rFonts w:ascii="Times New Roman" w:eastAsia="Times New Roman" w:hAnsi="Times New Roman" w:cs="Times New Roman"/>
          <w:b/>
          <w:bCs/>
        </w:rPr>
        <w:t>Fig. S10.</w:t>
      </w:r>
      <w:r w:rsidRPr="0062570E">
        <w:rPr>
          <w:rFonts w:ascii="Times New Roman" w:eastAsia="Times New Roman" w:hAnsi="Times New Roman" w:cs="Times New Roman"/>
        </w:rPr>
        <w:t xml:space="preserve"> Pairwise posterior contrasts in estimated publication counts among taxonomic groups from the additive Bayesian </w:t>
      </w:r>
      <w:r w:rsidRPr="0062570E">
        <w:rPr>
          <w:rFonts w:ascii="Times New Roman" w:eastAsia="Times New Roman" w:hAnsi="Times New Roman" w:cs="Times New Roman"/>
          <w:smallCaps/>
        </w:rPr>
        <w:t>brms</w:t>
      </w:r>
      <w:r w:rsidRPr="0062570E">
        <w:rPr>
          <w:rFonts w:ascii="Times New Roman" w:eastAsia="Times New Roman" w:hAnsi="Times New Roman" w:cs="Times New Roman"/>
        </w:rPr>
        <w:t xml:space="preserve"> model for effects and taxonomic groups. Green bars indicate contrasts clearly differentiated by the model, whereas red bars indicate contrasts not clearly differentiated.</w:t>
      </w:r>
    </w:p>
    <w:p w14:paraId="110FFD37" w14:textId="77777777" w:rsidR="00B03AB3" w:rsidRDefault="00000000" w:rsidP="00915440">
      <w:pPr>
        <w:rPr>
          <w:rFonts w:ascii="Times New Roman" w:eastAsia="Times New Roman" w:hAnsi="Times New Roman" w:cs="Times New Roman"/>
        </w:rPr>
      </w:pPr>
      <w:r>
        <w:br w:type="page"/>
      </w:r>
    </w:p>
    <w:p w14:paraId="57A5006A" w14:textId="3165849D" w:rsidR="423305BB" w:rsidRDefault="0085227A" w:rsidP="00915440">
      <w:pPr>
        <w:rPr>
          <w:rFonts w:ascii="Times New Roman" w:eastAsia="Times New Roman" w:hAnsi="Times New Roman" w:cs="Times New Roman"/>
        </w:rPr>
      </w:pPr>
      <w:r w:rsidRPr="0012607D">
        <w:rPr>
          <w:rFonts w:ascii="Times New Roman" w:eastAsia="Times New Roman" w:hAnsi="Times New Roman" w:cs="Times New Roman"/>
          <w:b/>
          <w:bCs/>
        </w:rPr>
        <w:lastRenderedPageBreak/>
        <w:t>Table S4.</w:t>
      </w:r>
      <w:r w:rsidRPr="0085227A">
        <w:rPr>
          <w:rFonts w:ascii="Times New Roman" w:eastAsia="Times New Roman" w:hAnsi="Times New Roman" w:cs="Times New Roman"/>
        </w:rPr>
        <w:t xml:space="preserve"> Total number of known fauna and flora species, number of threatened species, number of publications on climate change and biodiversity in Brazil, and territorial extent by biome, taxonomic group, and Brazilian geographic region. Threatened species are additionally broken down by risk category (CR = critically endangered, EN = endangered, VU = vulnerable) for each taxonomic group (source: IBGE, 2024). For regions, the number of postgraduate programs and courses related to biodiversity is also shown (CAPES, 2024). For each factor, normality was assessed with the Shapiro test, and correlations with publication counts were evaluated using Pearson’s correlation coefficient (R), or Spearman’s rank correlation (*) when normality was not met; R² values are also reported. ** = non-significant. *** = invertebrates + insects.</w:t>
      </w:r>
    </w:p>
    <w:p w14:paraId="66FC847F" w14:textId="77777777" w:rsidR="0076546B" w:rsidRPr="0076546B" w:rsidRDefault="0076546B" w:rsidP="00915440">
      <w:pPr>
        <w:rPr>
          <w:rFonts w:ascii="Times New Roman" w:eastAsia="Times New Roman" w:hAnsi="Times New Roman" w:cs="Times New Roman"/>
          <w:color w:val="000000" w:themeColor="text1"/>
        </w:rPr>
      </w:pPr>
    </w:p>
    <w:tbl>
      <w:tblPr>
        <w:tblW w:w="9412" w:type="dxa"/>
        <w:tblInd w:w="-34" w:type="dxa"/>
        <w:tblCellMar>
          <w:left w:w="28" w:type="dxa"/>
          <w:right w:w="28" w:type="dxa"/>
        </w:tblCellMar>
        <w:tblLook w:val="04A0" w:firstRow="1" w:lastRow="0" w:firstColumn="1" w:lastColumn="0" w:noHBand="0" w:noVBand="1"/>
      </w:tblPr>
      <w:tblGrid>
        <w:gridCol w:w="2160"/>
        <w:gridCol w:w="1147"/>
        <w:gridCol w:w="1221"/>
        <w:gridCol w:w="1222"/>
        <w:gridCol w:w="1222"/>
        <w:gridCol w:w="1221"/>
        <w:gridCol w:w="1219"/>
      </w:tblGrid>
      <w:tr w:rsidR="00B03AB3" w14:paraId="4E809B82" w14:textId="77777777" w:rsidTr="423305BB">
        <w:trPr>
          <w:trHeight w:val="276"/>
        </w:trPr>
        <w:tc>
          <w:tcPr>
            <w:tcW w:w="2160" w:type="dxa"/>
            <w:vMerge w:val="restart"/>
            <w:tcBorders>
              <w:top w:val="single" w:sz="2" w:space="0" w:color="000000" w:themeColor="text1"/>
              <w:bottom w:val="single" w:sz="2" w:space="0" w:color="000000" w:themeColor="text1"/>
            </w:tcBorders>
            <w:vAlign w:val="center"/>
          </w:tcPr>
          <w:p w14:paraId="4FD551F8"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Biomes</w:t>
            </w:r>
          </w:p>
        </w:tc>
        <w:tc>
          <w:tcPr>
            <w:tcW w:w="2368" w:type="dxa"/>
            <w:gridSpan w:val="2"/>
            <w:tcBorders>
              <w:top w:val="single" w:sz="2" w:space="0" w:color="000000" w:themeColor="text1"/>
              <w:bottom w:val="single" w:sz="2" w:space="0" w:color="000000" w:themeColor="text1"/>
            </w:tcBorders>
            <w:vAlign w:val="center"/>
          </w:tcPr>
          <w:p w14:paraId="5AD43984" w14:textId="7BFE5F13" w:rsidR="00B03AB3" w:rsidRDefault="423305BB" w:rsidP="00915440">
            <w:pPr>
              <w:jc w:val="center"/>
              <w:rPr>
                <w:rFonts w:ascii="Times New Roman" w:eastAsia="Times New Roman" w:hAnsi="Times New Roman" w:cs="Times New Roman"/>
                <w:b/>
                <w:bCs/>
                <w:sz w:val="18"/>
                <w:szCs w:val="18"/>
              </w:rPr>
            </w:pPr>
            <w:r w:rsidRPr="423305BB">
              <w:rPr>
                <w:rFonts w:ascii="Times New Roman" w:eastAsia="Times New Roman" w:hAnsi="Times New Roman" w:cs="Times New Roman"/>
                <w:b/>
                <w:bCs/>
                <w:sz w:val="18"/>
                <w:szCs w:val="18"/>
              </w:rPr>
              <w:t>Fauna (all groups)</w:t>
            </w:r>
          </w:p>
        </w:tc>
        <w:tc>
          <w:tcPr>
            <w:tcW w:w="2444" w:type="dxa"/>
            <w:gridSpan w:val="2"/>
            <w:tcBorders>
              <w:top w:val="single" w:sz="2" w:space="0" w:color="000000" w:themeColor="text1"/>
              <w:bottom w:val="single" w:sz="2" w:space="0" w:color="000000" w:themeColor="text1"/>
            </w:tcBorders>
            <w:vAlign w:val="center"/>
          </w:tcPr>
          <w:p w14:paraId="29912746"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Flora (Plants)</w:t>
            </w:r>
          </w:p>
        </w:tc>
        <w:tc>
          <w:tcPr>
            <w:tcW w:w="1221" w:type="dxa"/>
            <w:vMerge w:val="restart"/>
            <w:tcBorders>
              <w:top w:val="single" w:sz="2" w:space="0" w:color="000000" w:themeColor="text1"/>
              <w:bottom w:val="single" w:sz="2" w:space="0" w:color="000000" w:themeColor="text1"/>
            </w:tcBorders>
            <w:vAlign w:val="center"/>
          </w:tcPr>
          <w:p w14:paraId="289F8D9D"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Extension (km</w:t>
            </w:r>
            <w:r>
              <w:rPr>
                <w:rFonts w:ascii="Times New Roman" w:eastAsia="Times New Roman" w:hAnsi="Times New Roman" w:cs="Times New Roman"/>
                <w:b/>
                <w:bCs/>
                <w:sz w:val="18"/>
                <w:szCs w:val="18"/>
                <w:vertAlign w:val="superscript"/>
              </w:rPr>
              <w:t>2</w:t>
            </w:r>
            <w:r>
              <w:rPr>
                <w:rFonts w:ascii="Times New Roman" w:eastAsia="Times New Roman" w:hAnsi="Times New Roman" w:cs="Times New Roman"/>
                <w:b/>
                <w:bCs/>
                <w:sz w:val="18"/>
                <w:szCs w:val="18"/>
              </w:rPr>
              <w:t>)</w:t>
            </w:r>
          </w:p>
        </w:tc>
        <w:tc>
          <w:tcPr>
            <w:tcW w:w="1219" w:type="dxa"/>
            <w:vMerge w:val="restart"/>
            <w:tcBorders>
              <w:top w:val="single" w:sz="2" w:space="0" w:color="000000" w:themeColor="text1"/>
              <w:bottom w:val="single" w:sz="2" w:space="0" w:color="000000" w:themeColor="text1"/>
            </w:tcBorders>
            <w:vAlign w:val="center"/>
          </w:tcPr>
          <w:p w14:paraId="71496E5D"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Publications</w:t>
            </w:r>
          </w:p>
        </w:tc>
      </w:tr>
      <w:tr w:rsidR="00B03AB3" w14:paraId="61D65A36" w14:textId="77777777" w:rsidTr="423305BB">
        <w:trPr>
          <w:trHeight w:val="276"/>
        </w:trPr>
        <w:tc>
          <w:tcPr>
            <w:tcW w:w="2160" w:type="dxa"/>
            <w:vMerge/>
            <w:vAlign w:val="center"/>
          </w:tcPr>
          <w:p w14:paraId="6B699379" w14:textId="77777777" w:rsidR="00B03AB3" w:rsidRDefault="00B03AB3" w:rsidP="00915440">
            <w:pPr>
              <w:rPr>
                <w:rFonts w:ascii="Times New Roman" w:eastAsia="Times New Roman" w:hAnsi="Times New Roman" w:cs="Times New Roman"/>
              </w:rPr>
            </w:pPr>
          </w:p>
        </w:tc>
        <w:tc>
          <w:tcPr>
            <w:tcW w:w="1147" w:type="dxa"/>
            <w:tcBorders>
              <w:bottom w:val="single" w:sz="2" w:space="0" w:color="000000" w:themeColor="text1"/>
            </w:tcBorders>
            <w:vAlign w:val="center"/>
          </w:tcPr>
          <w:p w14:paraId="46FE0C09"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1221" w:type="dxa"/>
            <w:tcBorders>
              <w:bottom w:val="single" w:sz="2" w:space="0" w:color="000000" w:themeColor="text1"/>
            </w:tcBorders>
            <w:vAlign w:val="center"/>
          </w:tcPr>
          <w:p w14:paraId="74FF32EB"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Threatened</w:t>
            </w:r>
          </w:p>
        </w:tc>
        <w:tc>
          <w:tcPr>
            <w:tcW w:w="1222" w:type="dxa"/>
            <w:tcBorders>
              <w:bottom w:val="single" w:sz="2" w:space="0" w:color="000000" w:themeColor="text1"/>
            </w:tcBorders>
            <w:vAlign w:val="center"/>
          </w:tcPr>
          <w:p w14:paraId="51E8FDB7"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1222" w:type="dxa"/>
            <w:tcBorders>
              <w:bottom w:val="single" w:sz="2" w:space="0" w:color="000000" w:themeColor="text1"/>
            </w:tcBorders>
            <w:vAlign w:val="center"/>
          </w:tcPr>
          <w:p w14:paraId="336B7C62"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Threatened</w:t>
            </w:r>
          </w:p>
        </w:tc>
        <w:tc>
          <w:tcPr>
            <w:tcW w:w="1221" w:type="dxa"/>
            <w:vMerge/>
            <w:vAlign w:val="center"/>
          </w:tcPr>
          <w:p w14:paraId="3FE9F23F" w14:textId="77777777" w:rsidR="00B03AB3" w:rsidRDefault="00B03AB3" w:rsidP="00915440">
            <w:pPr>
              <w:rPr>
                <w:rFonts w:ascii="Times New Roman" w:eastAsia="Times New Roman" w:hAnsi="Times New Roman" w:cs="Times New Roman"/>
              </w:rPr>
            </w:pPr>
          </w:p>
        </w:tc>
        <w:tc>
          <w:tcPr>
            <w:tcW w:w="1219" w:type="dxa"/>
            <w:vMerge/>
            <w:vAlign w:val="center"/>
          </w:tcPr>
          <w:p w14:paraId="1F72F646" w14:textId="77777777" w:rsidR="00B03AB3" w:rsidRDefault="00B03AB3" w:rsidP="00915440">
            <w:pPr>
              <w:rPr>
                <w:rFonts w:ascii="Times New Roman" w:eastAsia="Times New Roman" w:hAnsi="Times New Roman" w:cs="Times New Roman"/>
              </w:rPr>
            </w:pPr>
          </w:p>
        </w:tc>
      </w:tr>
      <w:tr w:rsidR="00B03AB3" w14:paraId="5CB081BC" w14:textId="77777777" w:rsidTr="423305BB">
        <w:trPr>
          <w:trHeight w:val="276"/>
        </w:trPr>
        <w:tc>
          <w:tcPr>
            <w:tcW w:w="2160" w:type="dxa"/>
            <w:vAlign w:val="center"/>
          </w:tcPr>
          <w:p w14:paraId="7AF5BB3F"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Atlantic Forest</w:t>
            </w:r>
          </w:p>
        </w:tc>
        <w:tc>
          <w:tcPr>
            <w:tcW w:w="1147" w:type="dxa"/>
          </w:tcPr>
          <w:p w14:paraId="00E08127"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6.911</w:t>
            </w:r>
          </w:p>
        </w:tc>
        <w:tc>
          <w:tcPr>
            <w:tcW w:w="1221" w:type="dxa"/>
          </w:tcPr>
          <w:p w14:paraId="05055AB4"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682</w:t>
            </w:r>
          </w:p>
        </w:tc>
        <w:tc>
          <w:tcPr>
            <w:tcW w:w="1222" w:type="dxa"/>
          </w:tcPr>
          <w:p w14:paraId="70ECA785"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4,900</w:t>
            </w:r>
          </w:p>
        </w:tc>
        <w:tc>
          <w:tcPr>
            <w:tcW w:w="1222" w:type="dxa"/>
          </w:tcPr>
          <w:p w14:paraId="75DF8449"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1.991</w:t>
            </w:r>
          </w:p>
        </w:tc>
        <w:tc>
          <w:tcPr>
            <w:tcW w:w="1221" w:type="dxa"/>
            <w:vAlign w:val="center"/>
          </w:tcPr>
          <w:p w14:paraId="755C675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1,110,182</w:t>
            </w:r>
          </w:p>
        </w:tc>
        <w:tc>
          <w:tcPr>
            <w:tcW w:w="1219" w:type="dxa"/>
            <w:vAlign w:val="center"/>
          </w:tcPr>
          <w:p w14:paraId="6E55690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r>
      <w:tr w:rsidR="00B03AB3" w14:paraId="3164C037" w14:textId="77777777" w:rsidTr="423305BB">
        <w:trPr>
          <w:trHeight w:val="276"/>
        </w:trPr>
        <w:tc>
          <w:tcPr>
            <w:tcW w:w="2160" w:type="dxa"/>
            <w:vAlign w:val="center"/>
          </w:tcPr>
          <w:p w14:paraId="739DD0FC"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Cerrado</w:t>
            </w:r>
          </w:p>
        </w:tc>
        <w:tc>
          <w:tcPr>
            <w:tcW w:w="1147" w:type="dxa"/>
          </w:tcPr>
          <w:p w14:paraId="06CC3B8F"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5.209</w:t>
            </w:r>
          </w:p>
        </w:tc>
        <w:tc>
          <w:tcPr>
            <w:tcW w:w="1221" w:type="dxa"/>
          </w:tcPr>
          <w:p w14:paraId="336A3AF0"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375</w:t>
            </w:r>
          </w:p>
        </w:tc>
        <w:tc>
          <w:tcPr>
            <w:tcW w:w="1222" w:type="dxa"/>
          </w:tcPr>
          <w:p w14:paraId="19D4E2ED"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2.176</w:t>
            </w:r>
          </w:p>
        </w:tc>
        <w:tc>
          <w:tcPr>
            <w:tcW w:w="1222" w:type="dxa"/>
          </w:tcPr>
          <w:p w14:paraId="5C0BB93A"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755</w:t>
            </w:r>
          </w:p>
        </w:tc>
        <w:tc>
          <w:tcPr>
            <w:tcW w:w="1221" w:type="dxa"/>
            <w:vAlign w:val="center"/>
          </w:tcPr>
          <w:p w14:paraId="0F3EAEF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2,036,448</w:t>
            </w:r>
          </w:p>
        </w:tc>
        <w:tc>
          <w:tcPr>
            <w:tcW w:w="1219" w:type="dxa"/>
            <w:vAlign w:val="center"/>
          </w:tcPr>
          <w:p w14:paraId="43FBD11F"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r>
      <w:tr w:rsidR="00B03AB3" w14:paraId="3224984E" w14:textId="77777777" w:rsidTr="423305BB">
        <w:trPr>
          <w:trHeight w:val="276"/>
        </w:trPr>
        <w:tc>
          <w:tcPr>
            <w:tcW w:w="2160" w:type="dxa"/>
            <w:vAlign w:val="center"/>
          </w:tcPr>
          <w:p w14:paraId="3F82C656"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Caatinga</w:t>
            </w:r>
          </w:p>
        </w:tc>
        <w:tc>
          <w:tcPr>
            <w:tcW w:w="1147" w:type="dxa"/>
          </w:tcPr>
          <w:p w14:paraId="4D38BB3D"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2.381</w:t>
            </w:r>
          </w:p>
        </w:tc>
        <w:tc>
          <w:tcPr>
            <w:tcW w:w="1221" w:type="dxa"/>
          </w:tcPr>
          <w:p w14:paraId="1A790F9D"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212</w:t>
            </w:r>
          </w:p>
        </w:tc>
        <w:tc>
          <w:tcPr>
            <w:tcW w:w="1222" w:type="dxa"/>
          </w:tcPr>
          <w:p w14:paraId="63B5BEB3"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839</w:t>
            </w:r>
          </w:p>
        </w:tc>
        <w:tc>
          <w:tcPr>
            <w:tcW w:w="1222" w:type="dxa"/>
          </w:tcPr>
          <w:p w14:paraId="6ACC075C"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255</w:t>
            </w:r>
          </w:p>
        </w:tc>
        <w:tc>
          <w:tcPr>
            <w:tcW w:w="1221" w:type="dxa"/>
            <w:vAlign w:val="center"/>
          </w:tcPr>
          <w:p w14:paraId="5B25BB7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844,453</w:t>
            </w:r>
          </w:p>
        </w:tc>
        <w:tc>
          <w:tcPr>
            <w:tcW w:w="1219" w:type="dxa"/>
            <w:vAlign w:val="center"/>
          </w:tcPr>
          <w:p w14:paraId="245D991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r>
      <w:tr w:rsidR="00B03AB3" w14:paraId="6BD6A8A7" w14:textId="77777777" w:rsidTr="423305BB">
        <w:trPr>
          <w:trHeight w:val="276"/>
        </w:trPr>
        <w:tc>
          <w:tcPr>
            <w:tcW w:w="2160" w:type="dxa"/>
            <w:vAlign w:val="center"/>
          </w:tcPr>
          <w:p w14:paraId="18A5CE61"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Amazonia</w:t>
            </w:r>
          </w:p>
        </w:tc>
        <w:tc>
          <w:tcPr>
            <w:tcW w:w="1147" w:type="dxa"/>
          </w:tcPr>
          <w:p w14:paraId="6832380E"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6.721</w:t>
            </w:r>
          </w:p>
        </w:tc>
        <w:tc>
          <w:tcPr>
            <w:tcW w:w="1221" w:type="dxa"/>
          </w:tcPr>
          <w:p w14:paraId="76760613"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234</w:t>
            </w:r>
          </w:p>
        </w:tc>
        <w:tc>
          <w:tcPr>
            <w:tcW w:w="1222" w:type="dxa"/>
          </w:tcPr>
          <w:p w14:paraId="54E7E9F7"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1.625</w:t>
            </w:r>
          </w:p>
        </w:tc>
        <w:tc>
          <w:tcPr>
            <w:tcW w:w="1222" w:type="dxa"/>
          </w:tcPr>
          <w:p w14:paraId="50E7CC70"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1221" w:type="dxa"/>
            <w:vAlign w:val="center"/>
          </w:tcPr>
          <w:p w14:paraId="794D2AB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4,196,943</w:t>
            </w:r>
          </w:p>
        </w:tc>
        <w:tc>
          <w:tcPr>
            <w:tcW w:w="1219" w:type="dxa"/>
            <w:vAlign w:val="center"/>
          </w:tcPr>
          <w:p w14:paraId="7CE58F4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33</w:t>
            </w:r>
          </w:p>
        </w:tc>
      </w:tr>
      <w:tr w:rsidR="00B03AB3" w14:paraId="1FF635DB" w14:textId="77777777" w:rsidTr="423305BB">
        <w:trPr>
          <w:trHeight w:val="276"/>
        </w:trPr>
        <w:tc>
          <w:tcPr>
            <w:tcW w:w="2160" w:type="dxa"/>
            <w:vAlign w:val="center"/>
          </w:tcPr>
          <w:p w14:paraId="68589524"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Pampa</w:t>
            </w:r>
          </w:p>
        </w:tc>
        <w:tc>
          <w:tcPr>
            <w:tcW w:w="1147" w:type="dxa"/>
          </w:tcPr>
          <w:p w14:paraId="5376ED37"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1.761</w:t>
            </w:r>
          </w:p>
        </w:tc>
        <w:tc>
          <w:tcPr>
            <w:tcW w:w="1221" w:type="dxa"/>
          </w:tcPr>
          <w:p w14:paraId="3D8C1C99"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118</w:t>
            </w:r>
          </w:p>
        </w:tc>
        <w:tc>
          <w:tcPr>
            <w:tcW w:w="1222" w:type="dxa"/>
          </w:tcPr>
          <w:p w14:paraId="744D5BC7"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424</w:t>
            </w:r>
          </w:p>
        </w:tc>
        <w:tc>
          <w:tcPr>
            <w:tcW w:w="1222" w:type="dxa"/>
          </w:tcPr>
          <w:p w14:paraId="52DEB7E5"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121</w:t>
            </w:r>
          </w:p>
        </w:tc>
        <w:tc>
          <w:tcPr>
            <w:tcW w:w="1221" w:type="dxa"/>
            <w:vAlign w:val="center"/>
          </w:tcPr>
          <w:p w14:paraId="1CDCC8F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176,496</w:t>
            </w:r>
          </w:p>
        </w:tc>
        <w:tc>
          <w:tcPr>
            <w:tcW w:w="1219" w:type="dxa"/>
            <w:vAlign w:val="center"/>
          </w:tcPr>
          <w:p w14:paraId="72E4F76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r>
      <w:tr w:rsidR="00B03AB3" w14:paraId="79F68FC7" w14:textId="77777777" w:rsidTr="423305BB">
        <w:trPr>
          <w:trHeight w:val="276"/>
        </w:trPr>
        <w:tc>
          <w:tcPr>
            <w:tcW w:w="2160" w:type="dxa"/>
            <w:vAlign w:val="center"/>
          </w:tcPr>
          <w:p w14:paraId="37545F4E"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Pantanal</w:t>
            </w:r>
          </w:p>
        </w:tc>
        <w:tc>
          <w:tcPr>
            <w:tcW w:w="1147" w:type="dxa"/>
          </w:tcPr>
          <w:p w14:paraId="70376CE2"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1.654</w:t>
            </w:r>
          </w:p>
        </w:tc>
        <w:tc>
          <w:tcPr>
            <w:tcW w:w="1221" w:type="dxa"/>
          </w:tcPr>
          <w:p w14:paraId="3F6FB1E0"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53</w:t>
            </w:r>
          </w:p>
        </w:tc>
        <w:tc>
          <w:tcPr>
            <w:tcW w:w="1222" w:type="dxa"/>
          </w:tcPr>
          <w:p w14:paraId="35B351E1"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172</w:t>
            </w:r>
          </w:p>
        </w:tc>
        <w:tc>
          <w:tcPr>
            <w:tcW w:w="1222" w:type="dxa"/>
          </w:tcPr>
          <w:p w14:paraId="4B34824B"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c>
          <w:tcPr>
            <w:tcW w:w="1221" w:type="dxa"/>
            <w:vAlign w:val="center"/>
          </w:tcPr>
          <w:p w14:paraId="50E225E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150,335</w:t>
            </w:r>
          </w:p>
        </w:tc>
        <w:tc>
          <w:tcPr>
            <w:tcW w:w="1219" w:type="dxa"/>
            <w:vAlign w:val="center"/>
          </w:tcPr>
          <w:p w14:paraId="44C2641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r>
      <w:tr w:rsidR="00B03AB3" w14:paraId="542B56BC" w14:textId="77777777" w:rsidTr="423305BB">
        <w:trPr>
          <w:trHeight w:val="276"/>
        </w:trPr>
        <w:tc>
          <w:tcPr>
            <w:tcW w:w="2160" w:type="dxa"/>
            <w:tcBorders>
              <w:bottom w:val="single" w:sz="2" w:space="0" w:color="000000" w:themeColor="text1"/>
            </w:tcBorders>
            <w:vAlign w:val="center"/>
          </w:tcPr>
          <w:p w14:paraId="30090472"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Coastal Marine</w:t>
            </w:r>
          </w:p>
        </w:tc>
        <w:tc>
          <w:tcPr>
            <w:tcW w:w="1147" w:type="dxa"/>
            <w:tcBorders>
              <w:bottom w:val="single" w:sz="2" w:space="0" w:color="000000" w:themeColor="text1"/>
            </w:tcBorders>
          </w:tcPr>
          <w:p w14:paraId="4894AC07"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2.286</w:t>
            </w:r>
          </w:p>
        </w:tc>
        <w:tc>
          <w:tcPr>
            <w:tcW w:w="1221" w:type="dxa"/>
            <w:tcBorders>
              <w:bottom w:val="single" w:sz="2" w:space="0" w:color="000000" w:themeColor="text1"/>
            </w:tcBorders>
          </w:tcPr>
          <w:p w14:paraId="324D8258"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171</w:t>
            </w:r>
          </w:p>
        </w:tc>
        <w:tc>
          <w:tcPr>
            <w:tcW w:w="1222" w:type="dxa"/>
            <w:tcBorders>
              <w:bottom w:val="single" w:sz="2" w:space="0" w:color="000000" w:themeColor="text1"/>
            </w:tcBorders>
          </w:tcPr>
          <w:p w14:paraId="09D9AC6E"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222" w:type="dxa"/>
            <w:tcBorders>
              <w:bottom w:val="single" w:sz="2" w:space="0" w:color="000000" w:themeColor="text1"/>
            </w:tcBorders>
          </w:tcPr>
          <w:p w14:paraId="2A9CB6E2"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221" w:type="dxa"/>
            <w:tcBorders>
              <w:bottom w:val="single" w:sz="2" w:space="0" w:color="000000" w:themeColor="text1"/>
            </w:tcBorders>
            <w:vAlign w:val="center"/>
          </w:tcPr>
          <w:p w14:paraId="4ACDA56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3,600,000</w:t>
            </w:r>
          </w:p>
        </w:tc>
        <w:tc>
          <w:tcPr>
            <w:tcW w:w="1219" w:type="dxa"/>
            <w:tcBorders>
              <w:bottom w:val="single" w:sz="2" w:space="0" w:color="000000" w:themeColor="text1"/>
            </w:tcBorders>
            <w:vAlign w:val="center"/>
          </w:tcPr>
          <w:p w14:paraId="4B73E58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B03AB3" w14:paraId="187DAE3B" w14:textId="77777777" w:rsidTr="423305BB">
        <w:trPr>
          <w:trHeight w:val="276"/>
        </w:trPr>
        <w:tc>
          <w:tcPr>
            <w:tcW w:w="2160" w:type="dxa"/>
            <w:vAlign w:val="center"/>
          </w:tcPr>
          <w:p w14:paraId="73DC910B"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Normal Distribution</w:t>
            </w:r>
          </w:p>
        </w:tc>
        <w:tc>
          <w:tcPr>
            <w:tcW w:w="1147" w:type="dxa"/>
            <w:vAlign w:val="center"/>
          </w:tcPr>
          <w:p w14:paraId="5B7FDD25"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221" w:type="dxa"/>
            <w:vAlign w:val="center"/>
          </w:tcPr>
          <w:p w14:paraId="55239733"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222" w:type="dxa"/>
            <w:vAlign w:val="center"/>
          </w:tcPr>
          <w:p w14:paraId="55764F03"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222" w:type="dxa"/>
            <w:vAlign w:val="center"/>
          </w:tcPr>
          <w:p w14:paraId="65804BD3"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21" w:type="dxa"/>
            <w:vAlign w:val="center"/>
          </w:tcPr>
          <w:p w14:paraId="65F0DFC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219" w:type="dxa"/>
            <w:vAlign w:val="center"/>
          </w:tcPr>
          <w:p w14:paraId="604D630B"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B03AB3" w14:paraId="2FF4A6B0" w14:textId="77777777" w:rsidTr="423305BB">
        <w:trPr>
          <w:trHeight w:val="289"/>
        </w:trPr>
        <w:tc>
          <w:tcPr>
            <w:tcW w:w="2160" w:type="dxa"/>
            <w:vAlign w:val="center"/>
          </w:tcPr>
          <w:p w14:paraId="5A83DC81"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Shapiro Test</w:t>
            </w:r>
          </w:p>
        </w:tc>
        <w:tc>
          <w:tcPr>
            <w:tcW w:w="1147" w:type="dxa"/>
          </w:tcPr>
          <w:p w14:paraId="07BB6AAF"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0.97</w:t>
            </w:r>
          </w:p>
          <w:p w14:paraId="693C1507"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0.93</w:t>
            </w:r>
          </w:p>
        </w:tc>
        <w:tc>
          <w:tcPr>
            <w:tcW w:w="1221" w:type="dxa"/>
          </w:tcPr>
          <w:p w14:paraId="1FB013E2"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W = 0.86 </w:t>
            </w:r>
          </w:p>
          <w:p w14:paraId="13A49F4E"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0.17</w:t>
            </w:r>
          </w:p>
        </w:tc>
        <w:tc>
          <w:tcPr>
            <w:tcW w:w="1222" w:type="dxa"/>
          </w:tcPr>
          <w:p w14:paraId="25E0B488"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0.85</w:t>
            </w:r>
          </w:p>
          <w:p w14:paraId="2E7ADC4F"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0.17</w:t>
            </w:r>
          </w:p>
        </w:tc>
        <w:tc>
          <w:tcPr>
            <w:tcW w:w="1222" w:type="dxa"/>
          </w:tcPr>
          <w:p w14:paraId="402DA344"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W = 0.76 </w:t>
            </w:r>
          </w:p>
          <w:p w14:paraId="32EF31FA"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0.03</w:t>
            </w:r>
          </w:p>
        </w:tc>
        <w:tc>
          <w:tcPr>
            <w:tcW w:w="1221" w:type="dxa"/>
            <w:vAlign w:val="bottom"/>
          </w:tcPr>
          <w:p w14:paraId="05A3F31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W = 0.88 </w:t>
            </w:r>
          </w:p>
          <w:p w14:paraId="03F3B50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0.23</w:t>
            </w:r>
          </w:p>
        </w:tc>
        <w:tc>
          <w:tcPr>
            <w:tcW w:w="1219" w:type="dxa"/>
            <w:vAlign w:val="bottom"/>
          </w:tcPr>
          <w:p w14:paraId="696BB45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W = 0.97 </w:t>
            </w:r>
          </w:p>
          <w:p w14:paraId="6EDCC66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0.93</w:t>
            </w:r>
          </w:p>
        </w:tc>
      </w:tr>
      <w:tr w:rsidR="00B03AB3" w14:paraId="48B016B6" w14:textId="77777777" w:rsidTr="423305BB">
        <w:trPr>
          <w:trHeight w:val="276"/>
        </w:trPr>
        <w:tc>
          <w:tcPr>
            <w:tcW w:w="2160" w:type="dxa"/>
            <w:vAlign w:val="center"/>
          </w:tcPr>
          <w:p w14:paraId="184656DD"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Correlation (R)</w:t>
            </w:r>
          </w:p>
        </w:tc>
        <w:tc>
          <w:tcPr>
            <w:tcW w:w="1147" w:type="dxa"/>
          </w:tcPr>
          <w:p w14:paraId="46034F62"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0.72</w:t>
            </w:r>
          </w:p>
        </w:tc>
        <w:tc>
          <w:tcPr>
            <w:tcW w:w="1221" w:type="dxa"/>
          </w:tcPr>
          <w:p w14:paraId="56D9AFFD"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0.87</w:t>
            </w:r>
          </w:p>
        </w:tc>
        <w:tc>
          <w:tcPr>
            <w:tcW w:w="1222" w:type="dxa"/>
          </w:tcPr>
          <w:p w14:paraId="4D29471E"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1222" w:type="dxa"/>
          </w:tcPr>
          <w:p w14:paraId="0E6AC48A"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0.94*</w:t>
            </w:r>
          </w:p>
        </w:tc>
        <w:tc>
          <w:tcPr>
            <w:tcW w:w="1221" w:type="dxa"/>
            <w:vAlign w:val="center"/>
          </w:tcPr>
          <w:p w14:paraId="3F57F78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w:t>
            </w:r>
          </w:p>
        </w:tc>
        <w:tc>
          <w:tcPr>
            <w:tcW w:w="1219" w:type="dxa"/>
            <w:vAlign w:val="center"/>
          </w:tcPr>
          <w:p w14:paraId="0A5B706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B03AB3" w14:paraId="7FC476BE" w14:textId="77777777" w:rsidTr="423305BB">
        <w:trPr>
          <w:trHeight w:val="276"/>
        </w:trPr>
        <w:tc>
          <w:tcPr>
            <w:tcW w:w="2160" w:type="dxa"/>
            <w:tcBorders>
              <w:bottom w:val="single" w:sz="2" w:space="0" w:color="000000" w:themeColor="text1"/>
            </w:tcBorders>
            <w:vAlign w:val="center"/>
          </w:tcPr>
          <w:p w14:paraId="536DA23C"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Coef. of Determination (R²)</w:t>
            </w:r>
          </w:p>
        </w:tc>
        <w:tc>
          <w:tcPr>
            <w:tcW w:w="1147" w:type="dxa"/>
            <w:tcBorders>
              <w:bottom w:val="single" w:sz="2" w:space="0" w:color="000000" w:themeColor="text1"/>
            </w:tcBorders>
            <w:vAlign w:val="center"/>
          </w:tcPr>
          <w:p w14:paraId="0B328909"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w:t>
            </w:r>
          </w:p>
        </w:tc>
        <w:tc>
          <w:tcPr>
            <w:tcW w:w="1221" w:type="dxa"/>
            <w:tcBorders>
              <w:bottom w:val="single" w:sz="2" w:space="0" w:color="000000" w:themeColor="text1"/>
            </w:tcBorders>
            <w:vAlign w:val="center"/>
          </w:tcPr>
          <w:p w14:paraId="484D263E"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0.75</w:t>
            </w:r>
          </w:p>
        </w:tc>
        <w:tc>
          <w:tcPr>
            <w:tcW w:w="1222" w:type="dxa"/>
            <w:tcBorders>
              <w:bottom w:val="single" w:sz="2" w:space="0" w:color="000000" w:themeColor="text1"/>
            </w:tcBorders>
            <w:vAlign w:val="center"/>
          </w:tcPr>
          <w:p w14:paraId="018BDB7B"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0.82</w:t>
            </w:r>
          </w:p>
        </w:tc>
        <w:tc>
          <w:tcPr>
            <w:tcW w:w="1222" w:type="dxa"/>
            <w:tcBorders>
              <w:bottom w:val="single" w:sz="2" w:space="0" w:color="000000" w:themeColor="text1"/>
            </w:tcBorders>
            <w:vAlign w:val="center"/>
          </w:tcPr>
          <w:p w14:paraId="3DB18438" w14:textId="77777777" w:rsidR="00B03AB3" w:rsidRDefault="00000000" w:rsidP="00915440">
            <w:pPr>
              <w:pStyle w:val="TableContent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0.89</w:t>
            </w:r>
          </w:p>
        </w:tc>
        <w:tc>
          <w:tcPr>
            <w:tcW w:w="1221" w:type="dxa"/>
            <w:tcBorders>
              <w:bottom w:val="single" w:sz="2" w:space="0" w:color="000000" w:themeColor="text1"/>
            </w:tcBorders>
            <w:vAlign w:val="center"/>
          </w:tcPr>
          <w:p w14:paraId="7C8EB9A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219" w:type="dxa"/>
            <w:tcBorders>
              <w:bottom w:val="single" w:sz="2" w:space="0" w:color="000000" w:themeColor="text1"/>
            </w:tcBorders>
            <w:vAlign w:val="center"/>
          </w:tcPr>
          <w:p w14:paraId="6DF7B9A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B03AB3" w14:paraId="6152C2DB" w14:textId="77777777" w:rsidTr="423305BB">
        <w:trPr>
          <w:trHeight w:val="276"/>
        </w:trPr>
        <w:tc>
          <w:tcPr>
            <w:tcW w:w="2160" w:type="dxa"/>
            <w:vMerge w:val="restart"/>
            <w:tcBorders>
              <w:top w:val="single" w:sz="2" w:space="0" w:color="000000" w:themeColor="text1"/>
              <w:bottom w:val="single" w:sz="2" w:space="0" w:color="000000" w:themeColor="text1"/>
            </w:tcBorders>
            <w:vAlign w:val="center"/>
          </w:tcPr>
          <w:p w14:paraId="57DDC691"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Taxonomic group</w:t>
            </w:r>
          </w:p>
        </w:tc>
        <w:tc>
          <w:tcPr>
            <w:tcW w:w="1147" w:type="dxa"/>
            <w:vMerge w:val="restart"/>
            <w:tcBorders>
              <w:top w:val="single" w:sz="2" w:space="0" w:color="000000" w:themeColor="text1"/>
              <w:bottom w:val="single" w:sz="2" w:space="0" w:color="000000" w:themeColor="text1"/>
            </w:tcBorders>
            <w:vAlign w:val="center"/>
          </w:tcPr>
          <w:p w14:paraId="4B4370B4"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1221" w:type="dxa"/>
            <w:vMerge w:val="restart"/>
            <w:tcBorders>
              <w:top w:val="single" w:sz="2" w:space="0" w:color="000000" w:themeColor="text1"/>
              <w:bottom w:val="single" w:sz="2" w:space="0" w:color="000000" w:themeColor="text1"/>
            </w:tcBorders>
            <w:vAlign w:val="center"/>
          </w:tcPr>
          <w:p w14:paraId="6FBD45D6"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Threatened</w:t>
            </w:r>
          </w:p>
        </w:tc>
        <w:tc>
          <w:tcPr>
            <w:tcW w:w="3665" w:type="dxa"/>
            <w:gridSpan w:val="3"/>
            <w:tcBorders>
              <w:top w:val="single" w:sz="2" w:space="0" w:color="000000" w:themeColor="text1"/>
              <w:bottom w:val="single" w:sz="2" w:space="0" w:color="000000" w:themeColor="text1"/>
            </w:tcBorders>
            <w:vAlign w:val="center"/>
          </w:tcPr>
          <w:p w14:paraId="626A00C4"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Risk categories</w:t>
            </w:r>
          </w:p>
        </w:tc>
        <w:tc>
          <w:tcPr>
            <w:tcW w:w="1219" w:type="dxa"/>
            <w:vMerge w:val="restart"/>
            <w:tcBorders>
              <w:top w:val="single" w:sz="2" w:space="0" w:color="000000" w:themeColor="text1"/>
              <w:bottom w:val="single" w:sz="2" w:space="0" w:color="000000" w:themeColor="text1"/>
            </w:tcBorders>
            <w:vAlign w:val="center"/>
          </w:tcPr>
          <w:p w14:paraId="1A647B91"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Publications </w:t>
            </w:r>
          </w:p>
        </w:tc>
      </w:tr>
      <w:tr w:rsidR="00B03AB3" w14:paraId="68C507CF" w14:textId="77777777" w:rsidTr="423305BB">
        <w:trPr>
          <w:trHeight w:val="276"/>
        </w:trPr>
        <w:tc>
          <w:tcPr>
            <w:tcW w:w="2160" w:type="dxa"/>
            <w:vMerge/>
            <w:vAlign w:val="center"/>
          </w:tcPr>
          <w:p w14:paraId="08CE6F91" w14:textId="77777777" w:rsidR="00B03AB3" w:rsidRDefault="00B03AB3" w:rsidP="00915440">
            <w:pPr>
              <w:rPr>
                <w:rFonts w:ascii="Times New Roman" w:eastAsia="Times New Roman" w:hAnsi="Times New Roman" w:cs="Times New Roman"/>
              </w:rPr>
            </w:pPr>
          </w:p>
        </w:tc>
        <w:tc>
          <w:tcPr>
            <w:tcW w:w="1147" w:type="dxa"/>
            <w:vMerge/>
            <w:vAlign w:val="center"/>
          </w:tcPr>
          <w:p w14:paraId="61CDCEAD" w14:textId="77777777" w:rsidR="00B03AB3" w:rsidRDefault="00B03AB3" w:rsidP="00915440">
            <w:pPr>
              <w:rPr>
                <w:rFonts w:ascii="Times New Roman" w:eastAsia="Times New Roman" w:hAnsi="Times New Roman" w:cs="Times New Roman"/>
              </w:rPr>
            </w:pPr>
          </w:p>
        </w:tc>
        <w:tc>
          <w:tcPr>
            <w:tcW w:w="1221" w:type="dxa"/>
            <w:vMerge/>
            <w:vAlign w:val="center"/>
          </w:tcPr>
          <w:p w14:paraId="6BB9E253" w14:textId="77777777" w:rsidR="00B03AB3" w:rsidRDefault="00B03AB3" w:rsidP="00915440">
            <w:pPr>
              <w:rPr>
                <w:rFonts w:ascii="Times New Roman" w:eastAsia="Times New Roman" w:hAnsi="Times New Roman" w:cs="Times New Roman"/>
              </w:rPr>
            </w:pPr>
          </w:p>
        </w:tc>
        <w:tc>
          <w:tcPr>
            <w:tcW w:w="1222" w:type="dxa"/>
            <w:tcBorders>
              <w:bottom w:val="single" w:sz="2" w:space="0" w:color="000000" w:themeColor="text1"/>
            </w:tcBorders>
            <w:vAlign w:val="center"/>
          </w:tcPr>
          <w:p w14:paraId="56F8574A"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CR</w:t>
            </w:r>
          </w:p>
        </w:tc>
        <w:tc>
          <w:tcPr>
            <w:tcW w:w="1222" w:type="dxa"/>
            <w:tcBorders>
              <w:bottom w:val="single" w:sz="2" w:space="0" w:color="000000" w:themeColor="text1"/>
            </w:tcBorders>
            <w:vAlign w:val="center"/>
          </w:tcPr>
          <w:p w14:paraId="289206EB"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EN</w:t>
            </w:r>
          </w:p>
        </w:tc>
        <w:tc>
          <w:tcPr>
            <w:tcW w:w="1221" w:type="dxa"/>
            <w:tcBorders>
              <w:bottom w:val="single" w:sz="2" w:space="0" w:color="000000" w:themeColor="text1"/>
            </w:tcBorders>
            <w:vAlign w:val="center"/>
          </w:tcPr>
          <w:p w14:paraId="2E0C2FA5"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VU</w:t>
            </w:r>
          </w:p>
        </w:tc>
        <w:tc>
          <w:tcPr>
            <w:tcW w:w="1219" w:type="dxa"/>
            <w:vMerge/>
            <w:vAlign w:val="center"/>
          </w:tcPr>
          <w:p w14:paraId="23DE523C" w14:textId="77777777" w:rsidR="00B03AB3" w:rsidRDefault="00B03AB3" w:rsidP="00915440">
            <w:pPr>
              <w:rPr>
                <w:rFonts w:ascii="Times New Roman" w:eastAsia="Times New Roman" w:hAnsi="Times New Roman" w:cs="Times New Roman"/>
              </w:rPr>
            </w:pPr>
          </w:p>
        </w:tc>
      </w:tr>
      <w:tr w:rsidR="00B03AB3" w14:paraId="501BCFFD" w14:textId="77777777" w:rsidTr="423305BB">
        <w:trPr>
          <w:trHeight w:val="300"/>
        </w:trPr>
        <w:tc>
          <w:tcPr>
            <w:tcW w:w="2160" w:type="dxa"/>
            <w:vAlign w:val="center"/>
          </w:tcPr>
          <w:p w14:paraId="62A55C34"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Flora (Plants)</w:t>
            </w:r>
          </w:p>
        </w:tc>
        <w:tc>
          <w:tcPr>
            <w:tcW w:w="1147" w:type="dxa"/>
            <w:vAlign w:val="center"/>
          </w:tcPr>
          <w:p w14:paraId="76AAFB70"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7.517</w:t>
            </w:r>
          </w:p>
        </w:tc>
        <w:tc>
          <w:tcPr>
            <w:tcW w:w="1221" w:type="dxa"/>
            <w:vAlign w:val="center"/>
          </w:tcPr>
          <w:p w14:paraId="7565D43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3.207</w:t>
            </w:r>
          </w:p>
        </w:tc>
        <w:tc>
          <w:tcPr>
            <w:tcW w:w="1222" w:type="dxa"/>
            <w:vAlign w:val="center"/>
          </w:tcPr>
          <w:p w14:paraId="4C68B2F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684</w:t>
            </w:r>
          </w:p>
        </w:tc>
        <w:tc>
          <w:tcPr>
            <w:tcW w:w="1222" w:type="dxa"/>
            <w:vAlign w:val="center"/>
          </w:tcPr>
          <w:p w14:paraId="1D7BCF4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1.843</w:t>
            </w:r>
          </w:p>
        </w:tc>
        <w:tc>
          <w:tcPr>
            <w:tcW w:w="1221" w:type="dxa"/>
            <w:vAlign w:val="center"/>
          </w:tcPr>
          <w:p w14:paraId="1EA02E3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680</w:t>
            </w:r>
          </w:p>
        </w:tc>
        <w:tc>
          <w:tcPr>
            <w:tcW w:w="1219" w:type="dxa"/>
            <w:vAlign w:val="center"/>
          </w:tcPr>
          <w:p w14:paraId="6089FD3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r>
      <w:tr w:rsidR="00B03AB3" w14:paraId="133E5837" w14:textId="77777777" w:rsidTr="423305BB">
        <w:trPr>
          <w:trHeight w:val="300"/>
        </w:trPr>
        <w:tc>
          <w:tcPr>
            <w:tcW w:w="2160" w:type="dxa"/>
            <w:vAlign w:val="center"/>
          </w:tcPr>
          <w:p w14:paraId="4A0F0C35"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Invertebrates***</w:t>
            </w:r>
          </w:p>
        </w:tc>
        <w:tc>
          <w:tcPr>
            <w:tcW w:w="1147" w:type="dxa"/>
            <w:vAlign w:val="center"/>
          </w:tcPr>
          <w:p w14:paraId="0B6EA5E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4.474</w:t>
            </w:r>
          </w:p>
        </w:tc>
        <w:tc>
          <w:tcPr>
            <w:tcW w:w="1221" w:type="dxa"/>
            <w:vAlign w:val="center"/>
          </w:tcPr>
          <w:p w14:paraId="0B341EB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372</w:t>
            </w:r>
          </w:p>
        </w:tc>
        <w:tc>
          <w:tcPr>
            <w:tcW w:w="1222" w:type="dxa"/>
            <w:vAlign w:val="center"/>
          </w:tcPr>
          <w:p w14:paraId="5B7F6ED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w:t>
            </w:r>
          </w:p>
        </w:tc>
        <w:tc>
          <w:tcPr>
            <w:tcW w:w="1222" w:type="dxa"/>
            <w:vAlign w:val="center"/>
          </w:tcPr>
          <w:p w14:paraId="19FCCF4E"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w:t>
            </w:r>
          </w:p>
        </w:tc>
        <w:tc>
          <w:tcPr>
            <w:tcW w:w="1221" w:type="dxa"/>
            <w:vAlign w:val="center"/>
          </w:tcPr>
          <w:p w14:paraId="31A9243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114</w:t>
            </w:r>
          </w:p>
        </w:tc>
        <w:tc>
          <w:tcPr>
            <w:tcW w:w="1219" w:type="dxa"/>
            <w:vAlign w:val="center"/>
          </w:tcPr>
          <w:p w14:paraId="3633465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r>
      <w:tr w:rsidR="00B03AB3" w14:paraId="62BF079F" w14:textId="77777777" w:rsidTr="423305BB">
        <w:trPr>
          <w:trHeight w:val="300"/>
        </w:trPr>
        <w:tc>
          <w:tcPr>
            <w:tcW w:w="2160" w:type="dxa"/>
            <w:vAlign w:val="center"/>
          </w:tcPr>
          <w:p w14:paraId="766E0553"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Birds</w:t>
            </w:r>
          </w:p>
        </w:tc>
        <w:tc>
          <w:tcPr>
            <w:tcW w:w="1147" w:type="dxa"/>
            <w:vAlign w:val="center"/>
          </w:tcPr>
          <w:p w14:paraId="276123F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1.911</w:t>
            </w:r>
          </w:p>
        </w:tc>
        <w:tc>
          <w:tcPr>
            <w:tcW w:w="1221" w:type="dxa"/>
            <w:vAlign w:val="center"/>
          </w:tcPr>
          <w:p w14:paraId="0BC148AE"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256</w:t>
            </w:r>
          </w:p>
        </w:tc>
        <w:tc>
          <w:tcPr>
            <w:tcW w:w="1222" w:type="dxa"/>
            <w:vAlign w:val="center"/>
          </w:tcPr>
          <w:p w14:paraId="3848D7E0"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c>
          <w:tcPr>
            <w:tcW w:w="1222" w:type="dxa"/>
            <w:vAlign w:val="center"/>
          </w:tcPr>
          <w:p w14:paraId="49D83C2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1221" w:type="dxa"/>
            <w:vAlign w:val="center"/>
          </w:tcPr>
          <w:p w14:paraId="7705F89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1219" w:type="dxa"/>
            <w:vAlign w:val="center"/>
          </w:tcPr>
          <w:p w14:paraId="48DF98D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B03AB3" w14:paraId="2BEBABA8" w14:textId="77777777" w:rsidTr="423305BB">
        <w:trPr>
          <w:trHeight w:val="300"/>
        </w:trPr>
        <w:tc>
          <w:tcPr>
            <w:tcW w:w="2160" w:type="dxa"/>
            <w:vAlign w:val="center"/>
          </w:tcPr>
          <w:p w14:paraId="6C728036"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Mammals</w:t>
            </w:r>
          </w:p>
        </w:tc>
        <w:tc>
          <w:tcPr>
            <w:tcW w:w="1147" w:type="dxa"/>
            <w:vAlign w:val="center"/>
          </w:tcPr>
          <w:p w14:paraId="5A5DB76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731</w:t>
            </w:r>
          </w:p>
        </w:tc>
        <w:tc>
          <w:tcPr>
            <w:tcW w:w="1221" w:type="dxa"/>
            <w:vAlign w:val="center"/>
          </w:tcPr>
          <w:p w14:paraId="69F2493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p>
        </w:tc>
        <w:tc>
          <w:tcPr>
            <w:tcW w:w="1222" w:type="dxa"/>
            <w:vAlign w:val="center"/>
          </w:tcPr>
          <w:p w14:paraId="4737E36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222" w:type="dxa"/>
            <w:vAlign w:val="center"/>
          </w:tcPr>
          <w:p w14:paraId="55739EF0"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p>
        </w:tc>
        <w:tc>
          <w:tcPr>
            <w:tcW w:w="1221" w:type="dxa"/>
            <w:vAlign w:val="center"/>
          </w:tcPr>
          <w:p w14:paraId="779F5E7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c>
          <w:tcPr>
            <w:tcW w:w="1219" w:type="dxa"/>
            <w:vAlign w:val="center"/>
          </w:tcPr>
          <w:p w14:paraId="5D36975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B03AB3" w14:paraId="08ED9C8A" w14:textId="77777777" w:rsidTr="423305BB">
        <w:trPr>
          <w:trHeight w:val="300"/>
        </w:trPr>
        <w:tc>
          <w:tcPr>
            <w:tcW w:w="2160" w:type="dxa"/>
            <w:vAlign w:val="center"/>
          </w:tcPr>
          <w:p w14:paraId="215508BC"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Reptilians</w:t>
            </w:r>
          </w:p>
        </w:tc>
        <w:tc>
          <w:tcPr>
            <w:tcW w:w="1147" w:type="dxa"/>
            <w:vAlign w:val="center"/>
          </w:tcPr>
          <w:p w14:paraId="25E8F34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792</w:t>
            </w:r>
          </w:p>
        </w:tc>
        <w:tc>
          <w:tcPr>
            <w:tcW w:w="1221" w:type="dxa"/>
            <w:vAlign w:val="center"/>
          </w:tcPr>
          <w:p w14:paraId="2A4CBA1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w:t>
            </w:r>
          </w:p>
        </w:tc>
        <w:tc>
          <w:tcPr>
            <w:tcW w:w="1222" w:type="dxa"/>
            <w:vAlign w:val="center"/>
          </w:tcPr>
          <w:p w14:paraId="44B0A20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222" w:type="dxa"/>
            <w:vAlign w:val="center"/>
          </w:tcPr>
          <w:p w14:paraId="00C804A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p>
        </w:tc>
        <w:tc>
          <w:tcPr>
            <w:tcW w:w="1221" w:type="dxa"/>
            <w:vAlign w:val="center"/>
          </w:tcPr>
          <w:p w14:paraId="5007C90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219" w:type="dxa"/>
            <w:vAlign w:val="center"/>
          </w:tcPr>
          <w:p w14:paraId="78941E4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r>
      <w:tr w:rsidR="00B03AB3" w14:paraId="346E82FE" w14:textId="77777777" w:rsidTr="423305BB">
        <w:trPr>
          <w:trHeight w:val="300"/>
        </w:trPr>
        <w:tc>
          <w:tcPr>
            <w:tcW w:w="2160" w:type="dxa"/>
            <w:vAlign w:val="center"/>
          </w:tcPr>
          <w:p w14:paraId="7A357D9A"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Amphibians</w:t>
            </w:r>
          </w:p>
        </w:tc>
        <w:tc>
          <w:tcPr>
            <w:tcW w:w="1147" w:type="dxa"/>
            <w:vAlign w:val="center"/>
          </w:tcPr>
          <w:p w14:paraId="1885E53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1.095</w:t>
            </w:r>
          </w:p>
        </w:tc>
        <w:tc>
          <w:tcPr>
            <w:tcW w:w="1221" w:type="dxa"/>
            <w:vAlign w:val="center"/>
          </w:tcPr>
          <w:p w14:paraId="4BFD734B"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1222" w:type="dxa"/>
            <w:vAlign w:val="center"/>
          </w:tcPr>
          <w:p w14:paraId="1EA9D8CF"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34</w:t>
            </w:r>
          </w:p>
        </w:tc>
        <w:tc>
          <w:tcPr>
            <w:tcW w:w="1222" w:type="dxa"/>
            <w:vAlign w:val="center"/>
          </w:tcPr>
          <w:p w14:paraId="446DE71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21" w:type="dxa"/>
            <w:vAlign w:val="center"/>
          </w:tcPr>
          <w:p w14:paraId="33CFEC6B"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219" w:type="dxa"/>
            <w:vAlign w:val="center"/>
          </w:tcPr>
          <w:p w14:paraId="5FCD5EC4"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r w:rsidR="00B03AB3" w14:paraId="0402B16F" w14:textId="77777777" w:rsidTr="423305BB">
        <w:trPr>
          <w:trHeight w:val="300"/>
        </w:trPr>
        <w:tc>
          <w:tcPr>
            <w:tcW w:w="2160" w:type="dxa"/>
            <w:tcBorders>
              <w:bottom w:val="single" w:sz="2" w:space="0" w:color="000000" w:themeColor="text1"/>
            </w:tcBorders>
            <w:vAlign w:val="center"/>
          </w:tcPr>
          <w:p w14:paraId="507A2735"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Fishes</w:t>
            </w:r>
          </w:p>
        </w:tc>
        <w:tc>
          <w:tcPr>
            <w:tcW w:w="1147" w:type="dxa"/>
            <w:tcBorders>
              <w:bottom w:val="single" w:sz="2" w:space="0" w:color="000000" w:themeColor="text1"/>
            </w:tcBorders>
            <w:vAlign w:val="center"/>
          </w:tcPr>
          <w:p w14:paraId="2AA4097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4.936</w:t>
            </w:r>
          </w:p>
        </w:tc>
        <w:tc>
          <w:tcPr>
            <w:tcW w:w="1221" w:type="dxa"/>
            <w:tcBorders>
              <w:bottom w:val="single" w:sz="2" w:space="0" w:color="000000" w:themeColor="text1"/>
            </w:tcBorders>
            <w:vAlign w:val="center"/>
          </w:tcPr>
          <w:p w14:paraId="271767D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393</w:t>
            </w:r>
          </w:p>
        </w:tc>
        <w:tc>
          <w:tcPr>
            <w:tcW w:w="1222" w:type="dxa"/>
            <w:tcBorders>
              <w:bottom w:val="single" w:sz="2" w:space="0" w:color="000000" w:themeColor="text1"/>
            </w:tcBorders>
            <w:vAlign w:val="center"/>
          </w:tcPr>
          <w:p w14:paraId="01BB90B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136</w:t>
            </w:r>
          </w:p>
        </w:tc>
        <w:tc>
          <w:tcPr>
            <w:tcW w:w="1222" w:type="dxa"/>
            <w:tcBorders>
              <w:bottom w:val="single" w:sz="2" w:space="0" w:color="000000" w:themeColor="text1"/>
            </w:tcBorders>
            <w:vAlign w:val="center"/>
          </w:tcPr>
          <w:p w14:paraId="29CB5CC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126</w:t>
            </w:r>
          </w:p>
        </w:tc>
        <w:tc>
          <w:tcPr>
            <w:tcW w:w="1221" w:type="dxa"/>
            <w:tcBorders>
              <w:bottom w:val="single" w:sz="2" w:space="0" w:color="000000" w:themeColor="text1"/>
            </w:tcBorders>
            <w:vAlign w:val="center"/>
          </w:tcPr>
          <w:p w14:paraId="0F7B359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131</w:t>
            </w:r>
          </w:p>
        </w:tc>
        <w:tc>
          <w:tcPr>
            <w:tcW w:w="1219" w:type="dxa"/>
            <w:tcBorders>
              <w:bottom w:val="single" w:sz="2" w:space="0" w:color="000000" w:themeColor="text1"/>
            </w:tcBorders>
            <w:vAlign w:val="center"/>
          </w:tcPr>
          <w:p w14:paraId="18F999B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B03AB3" w14:paraId="43D5DEF2" w14:textId="77777777" w:rsidTr="423305BB">
        <w:trPr>
          <w:trHeight w:val="276"/>
        </w:trPr>
        <w:tc>
          <w:tcPr>
            <w:tcW w:w="2160" w:type="dxa"/>
            <w:vAlign w:val="center"/>
          </w:tcPr>
          <w:p w14:paraId="7CEF047C"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Normal Distribution</w:t>
            </w:r>
          </w:p>
        </w:tc>
        <w:tc>
          <w:tcPr>
            <w:tcW w:w="1147" w:type="dxa"/>
            <w:vAlign w:val="center"/>
          </w:tcPr>
          <w:p w14:paraId="3C1B5E4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1221" w:type="dxa"/>
            <w:vAlign w:val="center"/>
          </w:tcPr>
          <w:p w14:paraId="7C5AC6C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22" w:type="dxa"/>
            <w:vAlign w:val="center"/>
          </w:tcPr>
          <w:p w14:paraId="1A09B75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22" w:type="dxa"/>
            <w:vAlign w:val="center"/>
          </w:tcPr>
          <w:p w14:paraId="749A711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21" w:type="dxa"/>
            <w:vAlign w:val="center"/>
          </w:tcPr>
          <w:p w14:paraId="75FA64D4"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c>
          <w:tcPr>
            <w:tcW w:w="1219" w:type="dxa"/>
            <w:vAlign w:val="center"/>
          </w:tcPr>
          <w:p w14:paraId="443FD81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p>
        </w:tc>
      </w:tr>
      <w:tr w:rsidR="00B03AB3" w14:paraId="6EB7FA95" w14:textId="77777777" w:rsidTr="423305BB">
        <w:trPr>
          <w:trHeight w:val="289"/>
        </w:trPr>
        <w:tc>
          <w:tcPr>
            <w:tcW w:w="2160" w:type="dxa"/>
            <w:vAlign w:val="center"/>
          </w:tcPr>
          <w:p w14:paraId="1C9155C7"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Shapiro Test</w:t>
            </w:r>
          </w:p>
        </w:tc>
        <w:tc>
          <w:tcPr>
            <w:tcW w:w="1147" w:type="dxa"/>
            <w:vAlign w:val="center"/>
          </w:tcPr>
          <w:p w14:paraId="5126577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0.86</w:t>
            </w:r>
          </w:p>
          <w:p w14:paraId="5DCF423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0.16</w:t>
            </w:r>
          </w:p>
        </w:tc>
        <w:tc>
          <w:tcPr>
            <w:tcW w:w="1221" w:type="dxa"/>
            <w:vAlign w:val="center"/>
          </w:tcPr>
          <w:p w14:paraId="120DEEE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0.56</w:t>
            </w:r>
          </w:p>
          <w:p w14:paraId="1AFA185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&lt; 0.001</w:t>
            </w:r>
          </w:p>
        </w:tc>
        <w:tc>
          <w:tcPr>
            <w:tcW w:w="1222" w:type="dxa"/>
            <w:vAlign w:val="center"/>
          </w:tcPr>
          <w:p w14:paraId="3814BBF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0.64</w:t>
            </w:r>
          </w:p>
          <w:p w14:paraId="19A4802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0.001</w:t>
            </w:r>
          </w:p>
        </w:tc>
        <w:tc>
          <w:tcPr>
            <w:tcW w:w="1222" w:type="dxa"/>
            <w:vAlign w:val="center"/>
          </w:tcPr>
          <w:p w14:paraId="432C428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0.51</w:t>
            </w:r>
          </w:p>
          <w:p w14:paraId="3B75D36E"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&lt; 0.001</w:t>
            </w:r>
          </w:p>
        </w:tc>
        <w:tc>
          <w:tcPr>
            <w:tcW w:w="1221" w:type="dxa"/>
            <w:vAlign w:val="center"/>
          </w:tcPr>
          <w:p w14:paraId="7E09B02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0.65</w:t>
            </w:r>
          </w:p>
          <w:p w14:paraId="3BAC80F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0.001</w:t>
            </w:r>
          </w:p>
        </w:tc>
        <w:tc>
          <w:tcPr>
            <w:tcW w:w="1219" w:type="dxa"/>
            <w:vAlign w:val="center"/>
          </w:tcPr>
          <w:p w14:paraId="7C1740C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0.81</w:t>
            </w:r>
          </w:p>
          <w:p w14:paraId="3D50C5B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 = 0.051</w:t>
            </w:r>
          </w:p>
        </w:tc>
      </w:tr>
      <w:tr w:rsidR="00B03AB3" w14:paraId="15DD1B8B" w14:textId="77777777" w:rsidTr="423305BB">
        <w:trPr>
          <w:trHeight w:val="276"/>
        </w:trPr>
        <w:tc>
          <w:tcPr>
            <w:tcW w:w="2160" w:type="dxa"/>
            <w:vAlign w:val="center"/>
          </w:tcPr>
          <w:p w14:paraId="12ACC0E0"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Correlation (R)</w:t>
            </w:r>
          </w:p>
        </w:tc>
        <w:tc>
          <w:tcPr>
            <w:tcW w:w="1147" w:type="dxa"/>
            <w:vAlign w:val="center"/>
          </w:tcPr>
          <w:p w14:paraId="5C7F424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0.76</w:t>
            </w:r>
          </w:p>
        </w:tc>
        <w:tc>
          <w:tcPr>
            <w:tcW w:w="1221" w:type="dxa"/>
            <w:vAlign w:val="center"/>
          </w:tcPr>
          <w:p w14:paraId="6B06565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w:t>
            </w:r>
          </w:p>
        </w:tc>
        <w:tc>
          <w:tcPr>
            <w:tcW w:w="1222" w:type="dxa"/>
            <w:vAlign w:val="center"/>
          </w:tcPr>
          <w:p w14:paraId="29D69A1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c>
          <w:tcPr>
            <w:tcW w:w="1222" w:type="dxa"/>
            <w:vAlign w:val="center"/>
          </w:tcPr>
          <w:p w14:paraId="4810AA50"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c>
          <w:tcPr>
            <w:tcW w:w="1221" w:type="dxa"/>
            <w:vAlign w:val="center"/>
          </w:tcPr>
          <w:p w14:paraId="539AA04F"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0.89*</w:t>
            </w:r>
          </w:p>
        </w:tc>
        <w:tc>
          <w:tcPr>
            <w:tcW w:w="1219" w:type="dxa"/>
            <w:vAlign w:val="center"/>
          </w:tcPr>
          <w:p w14:paraId="41ED30F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B03AB3" w14:paraId="34C9E49D" w14:textId="77777777" w:rsidTr="423305BB">
        <w:trPr>
          <w:trHeight w:val="276"/>
        </w:trPr>
        <w:tc>
          <w:tcPr>
            <w:tcW w:w="2160" w:type="dxa"/>
            <w:vAlign w:val="center"/>
          </w:tcPr>
          <w:p w14:paraId="4F103580"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Coef. of Determination (R²)</w:t>
            </w:r>
          </w:p>
        </w:tc>
        <w:tc>
          <w:tcPr>
            <w:tcW w:w="1147" w:type="dxa"/>
            <w:vAlign w:val="center"/>
          </w:tcPr>
          <w:p w14:paraId="4BBD000F"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0.58</w:t>
            </w:r>
          </w:p>
        </w:tc>
        <w:tc>
          <w:tcPr>
            <w:tcW w:w="1221" w:type="dxa"/>
            <w:vAlign w:val="center"/>
          </w:tcPr>
          <w:p w14:paraId="4E8AF035"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1222" w:type="dxa"/>
            <w:vAlign w:val="center"/>
          </w:tcPr>
          <w:p w14:paraId="267FC2D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w:t>
            </w:r>
          </w:p>
        </w:tc>
        <w:tc>
          <w:tcPr>
            <w:tcW w:w="1222" w:type="dxa"/>
            <w:vAlign w:val="center"/>
          </w:tcPr>
          <w:p w14:paraId="7C1ECCAA"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0.20</w:t>
            </w:r>
          </w:p>
        </w:tc>
        <w:tc>
          <w:tcPr>
            <w:tcW w:w="1221" w:type="dxa"/>
            <w:vAlign w:val="center"/>
          </w:tcPr>
          <w:p w14:paraId="1F7BE13B"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0.80</w:t>
            </w:r>
          </w:p>
        </w:tc>
        <w:tc>
          <w:tcPr>
            <w:tcW w:w="1219" w:type="dxa"/>
            <w:vAlign w:val="center"/>
          </w:tcPr>
          <w:p w14:paraId="798B00B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B03AB3" w14:paraId="558092E6" w14:textId="77777777" w:rsidTr="423305BB">
        <w:trPr>
          <w:trHeight w:val="276"/>
        </w:trPr>
        <w:tc>
          <w:tcPr>
            <w:tcW w:w="2160" w:type="dxa"/>
            <w:tcBorders>
              <w:top w:val="single" w:sz="2" w:space="0" w:color="000000" w:themeColor="text1"/>
              <w:bottom w:val="single" w:sz="2" w:space="0" w:color="000000" w:themeColor="text1"/>
            </w:tcBorders>
            <w:vAlign w:val="center"/>
          </w:tcPr>
          <w:p w14:paraId="2BB58379"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Regions</w:t>
            </w:r>
          </w:p>
        </w:tc>
        <w:tc>
          <w:tcPr>
            <w:tcW w:w="2368" w:type="dxa"/>
            <w:gridSpan w:val="2"/>
            <w:tcBorders>
              <w:top w:val="single" w:sz="2" w:space="0" w:color="000000" w:themeColor="text1"/>
              <w:bottom w:val="single" w:sz="2" w:space="0" w:color="000000" w:themeColor="text1"/>
            </w:tcBorders>
            <w:vAlign w:val="center"/>
          </w:tcPr>
          <w:p w14:paraId="61595067"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Programs</w:t>
            </w:r>
          </w:p>
        </w:tc>
        <w:tc>
          <w:tcPr>
            <w:tcW w:w="2444" w:type="dxa"/>
            <w:gridSpan w:val="2"/>
            <w:tcBorders>
              <w:top w:val="single" w:sz="2" w:space="0" w:color="000000" w:themeColor="text1"/>
              <w:bottom w:val="single" w:sz="2" w:space="0" w:color="000000" w:themeColor="text1"/>
            </w:tcBorders>
            <w:vAlign w:val="center"/>
          </w:tcPr>
          <w:p w14:paraId="691CA776"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Courses</w:t>
            </w:r>
          </w:p>
        </w:tc>
        <w:tc>
          <w:tcPr>
            <w:tcW w:w="2440" w:type="dxa"/>
            <w:gridSpan w:val="2"/>
            <w:tcBorders>
              <w:top w:val="single" w:sz="2" w:space="0" w:color="000000" w:themeColor="text1"/>
              <w:bottom w:val="single" w:sz="2" w:space="0" w:color="000000" w:themeColor="text1"/>
            </w:tcBorders>
            <w:vAlign w:val="center"/>
          </w:tcPr>
          <w:p w14:paraId="1931B7A5" w14:textId="77777777" w:rsidR="00B03AB3" w:rsidRDefault="00000000" w:rsidP="0091544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Publications </w:t>
            </w:r>
          </w:p>
        </w:tc>
      </w:tr>
      <w:tr w:rsidR="00B03AB3" w14:paraId="33EDF760" w14:textId="77777777" w:rsidTr="423305BB">
        <w:trPr>
          <w:trHeight w:val="276"/>
        </w:trPr>
        <w:tc>
          <w:tcPr>
            <w:tcW w:w="2160" w:type="dxa"/>
            <w:vAlign w:val="center"/>
          </w:tcPr>
          <w:p w14:paraId="6A8F59D5"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Northeast</w:t>
            </w:r>
          </w:p>
        </w:tc>
        <w:tc>
          <w:tcPr>
            <w:tcW w:w="2368" w:type="dxa"/>
            <w:gridSpan w:val="2"/>
            <w:vAlign w:val="center"/>
          </w:tcPr>
          <w:p w14:paraId="2C8B330C"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p>
        </w:tc>
        <w:tc>
          <w:tcPr>
            <w:tcW w:w="2444" w:type="dxa"/>
            <w:gridSpan w:val="2"/>
            <w:vAlign w:val="center"/>
          </w:tcPr>
          <w:p w14:paraId="54368C0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49</w:t>
            </w:r>
          </w:p>
        </w:tc>
        <w:tc>
          <w:tcPr>
            <w:tcW w:w="2440" w:type="dxa"/>
            <w:gridSpan w:val="2"/>
            <w:vAlign w:val="center"/>
          </w:tcPr>
          <w:p w14:paraId="299BFF4E"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78</w:t>
            </w:r>
          </w:p>
        </w:tc>
      </w:tr>
      <w:tr w:rsidR="00B03AB3" w14:paraId="4553AF0B" w14:textId="77777777" w:rsidTr="423305BB">
        <w:trPr>
          <w:trHeight w:val="276"/>
        </w:trPr>
        <w:tc>
          <w:tcPr>
            <w:tcW w:w="2160" w:type="dxa"/>
            <w:vAlign w:val="center"/>
          </w:tcPr>
          <w:p w14:paraId="01A406B5"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Southeast</w:t>
            </w:r>
          </w:p>
        </w:tc>
        <w:tc>
          <w:tcPr>
            <w:tcW w:w="2368" w:type="dxa"/>
            <w:gridSpan w:val="2"/>
            <w:vAlign w:val="center"/>
          </w:tcPr>
          <w:p w14:paraId="6886189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2444" w:type="dxa"/>
            <w:gridSpan w:val="2"/>
            <w:vAlign w:val="center"/>
          </w:tcPr>
          <w:p w14:paraId="4EF93A7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w:t>
            </w:r>
          </w:p>
        </w:tc>
        <w:tc>
          <w:tcPr>
            <w:tcW w:w="2440" w:type="dxa"/>
            <w:gridSpan w:val="2"/>
            <w:vAlign w:val="center"/>
          </w:tcPr>
          <w:p w14:paraId="13DC3A1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76</w:t>
            </w:r>
          </w:p>
        </w:tc>
      </w:tr>
      <w:tr w:rsidR="00B03AB3" w14:paraId="7412939C" w14:textId="77777777" w:rsidTr="423305BB">
        <w:trPr>
          <w:trHeight w:val="276"/>
        </w:trPr>
        <w:tc>
          <w:tcPr>
            <w:tcW w:w="2160" w:type="dxa"/>
            <w:vAlign w:val="center"/>
          </w:tcPr>
          <w:p w14:paraId="07709D4A"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South</w:t>
            </w:r>
          </w:p>
        </w:tc>
        <w:tc>
          <w:tcPr>
            <w:tcW w:w="2368" w:type="dxa"/>
            <w:gridSpan w:val="2"/>
            <w:vAlign w:val="center"/>
          </w:tcPr>
          <w:p w14:paraId="1D8EB8EE"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2444" w:type="dxa"/>
            <w:gridSpan w:val="2"/>
            <w:vAlign w:val="center"/>
          </w:tcPr>
          <w:p w14:paraId="34FC31A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c>
          <w:tcPr>
            <w:tcW w:w="2440" w:type="dxa"/>
            <w:gridSpan w:val="2"/>
            <w:vAlign w:val="center"/>
          </w:tcPr>
          <w:p w14:paraId="5FE3165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r>
      <w:tr w:rsidR="00B03AB3" w14:paraId="006DBD82" w14:textId="77777777" w:rsidTr="423305BB">
        <w:trPr>
          <w:trHeight w:val="276"/>
        </w:trPr>
        <w:tc>
          <w:tcPr>
            <w:tcW w:w="2160" w:type="dxa"/>
            <w:vAlign w:val="center"/>
          </w:tcPr>
          <w:p w14:paraId="70F8437A"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North</w:t>
            </w:r>
          </w:p>
        </w:tc>
        <w:tc>
          <w:tcPr>
            <w:tcW w:w="2368" w:type="dxa"/>
            <w:gridSpan w:val="2"/>
            <w:vAlign w:val="center"/>
          </w:tcPr>
          <w:p w14:paraId="0EB5E79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2444" w:type="dxa"/>
            <w:gridSpan w:val="2"/>
            <w:vAlign w:val="center"/>
          </w:tcPr>
          <w:p w14:paraId="41C0AA5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2440" w:type="dxa"/>
            <w:gridSpan w:val="2"/>
            <w:vAlign w:val="center"/>
          </w:tcPr>
          <w:p w14:paraId="00CA47E3"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r>
      <w:tr w:rsidR="00B03AB3" w14:paraId="274A2A60" w14:textId="77777777" w:rsidTr="423305BB">
        <w:trPr>
          <w:trHeight w:val="276"/>
        </w:trPr>
        <w:tc>
          <w:tcPr>
            <w:tcW w:w="2160" w:type="dxa"/>
            <w:vAlign w:val="center"/>
          </w:tcPr>
          <w:p w14:paraId="3AC2B145"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Central-West</w:t>
            </w:r>
          </w:p>
        </w:tc>
        <w:tc>
          <w:tcPr>
            <w:tcW w:w="2368" w:type="dxa"/>
            <w:gridSpan w:val="2"/>
            <w:vAlign w:val="center"/>
          </w:tcPr>
          <w:p w14:paraId="423D4B9D"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2444" w:type="dxa"/>
            <w:gridSpan w:val="2"/>
            <w:vAlign w:val="center"/>
          </w:tcPr>
          <w:p w14:paraId="0AA4FC6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2440" w:type="dxa"/>
            <w:gridSpan w:val="2"/>
            <w:vAlign w:val="center"/>
          </w:tcPr>
          <w:p w14:paraId="3BBCF04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r>
      <w:tr w:rsidR="00B03AB3" w14:paraId="61F89719" w14:textId="77777777" w:rsidTr="423305BB">
        <w:trPr>
          <w:trHeight w:val="276"/>
        </w:trPr>
        <w:tc>
          <w:tcPr>
            <w:tcW w:w="2160" w:type="dxa"/>
            <w:tcBorders>
              <w:top w:val="single" w:sz="2" w:space="0" w:color="000000" w:themeColor="text1"/>
            </w:tcBorders>
            <w:vAlign w:val="center"/>
          </w:tcPr>
          <w:p w14:paraId="0A31EA75"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Normal Distribution</w:t>
            </w:r>
          </w:p>
        </w:tc>
        <w:tc>
          <w:tcPr>
            <w:tcW w:w="2368" w:type="dxa"/>
            <w:gridSpan w:val="2"/>
            <w:tcBorders>
              <w:top w:val="single" w:sz="2" w:space="0" w:color="000000" w:themeColor="text1"/>
            </w:tcBorders>
            <w:vAlign w:val="center"/>
          </w:tcPr>
          <w:p w14:paraId="4482E6A6"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444" w:type="dxa"/>
            <w:gridSpan w:val="2"/>
            <w:tcBorders>
              <w:top w:val="single" w:sz="2" w:space="0" w:color="000000" w:themeColor="text1"/>
            </w:tcBorders>
            <w:vAlign w:val="center"/>
          </w:tcPr>
          <w:p w14:paraId="0746FD2F"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c>
          <w:tcPr>
            <w:tcW w:w="2440" w:type="dxa"/>
            <w:gridSpan w:val="2"/>
            <w:tcBorders>
              <w:top w:val="single" w:sz="2" w:space="0" w:color="000000" w:themeColor="text1"/>
            </w:tcBorders>
            <w:vAlign w:val="center"/>
          </w:tcPr>
          <w:p w14:paraId="1CBDFED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Yes</w:t>
            </w:r>
          </w:p>
        </w:tc>
      </w:tr>
      <w:tr w:rsidR="00B03AB3" w14:paraId="1E4D78F1" w14:textId="77777777" w:rsidTr="423305BB">
        <w:trPr>
          <w:trHeight w:val="276"/>
        </w:trPr>
        <w:tc>
          <w:tcPr>
            <w:tcW w:w="2160" w:type="dxa"/>
            <w:vAlign w:val="center"/>
          </w:tcPr>
          <w:p w14:paraId="5B8E67AA"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Shapiro Test</w:t>
            </w:r>
          </w:p>
        </w:tc>
        <w:tc>
          <w:tcPr>
            <w:tcW w:w="2368" w:type="dxa"/>
            <w:gridSpan w:val="2"/>
            <w:vAlign w:val="center"/>
          </w:tcPr>
          <w:p w14:paraId="3267136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0.88, p = 0.32</w:t>
            </w:r>
          </w:p>
        </w:tc>
        <w:tc>
          <w:tcPr>
            <w:tcW w:w="2444" w:type="dxa"/>
            <w:gridSpan w:val="2"/>
            <w:vAlign w:val="center"/>
          </w:tcPr>
          <w:p w14:paraId="6CFCAF08"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0.86, p = 0.24</w:t>
            </w:r>
          </w:p>
        </w:tc>
        <w:tc>
          <w:tcPr>
            <w:tcW w:w="2440" w:type="dxa"/>
            <w:gridSpan w:val="2"/>
            <w:vAlign w:val="center"/>
          </w:tcPr>
          <w:p w14:paraId="2B0D1EFB"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 = 0.82, p = 0.11</w:t>
            </w:r>
          </w:p>
        </w:tc>
      </w:tr>
      <w:tr w:rsidR="00B03AB3" w14:paraId="7EDA44F6" w14:textId="77777777" w:rsidTr="423305BB">
        <w:trPr>
          <w:trHeight w:val="276"/>
        </w:trPr>
        <w:tc>
          <w:tcPr>
            <w:tcW w:w="2160" w:type="dxa"/>
            <w:vAlign w:val="center"/>
          </w:tcPr>
          <w:p w14:paraId="6822283E"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t>Pearson Correlation (R)</w:t>
            </w:r>
          </w:p>
        </w:tc>
        <w:tc>
          <w:tcPr>
            <w:tcW w:w="2368" w:type="dxa"/>
            <w:gridSpan w:val="2"/>
            <w:vAlign w:val="center"/>
          </w:tcPr>
          <w:p w14:paraId="52ECE27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w:t>
            </w:r>
          </w:p>
        </w:tc>
        <w:tc>
          <w:tcPr>
            <w:tcW w:w="2444" w:type="dxa"/>
            <w:gridSpan w:val="2"/>
            <w:vAlign w:val="center"/>
          </w:tcPr>
          <w:p w14:paraId="5E1FABF7"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0.81</w:t>
            </w:r>
          </w:p>
        </w:tc>
        <w:tc>
          <w:tcPr>
            <w:tcW w:w="2440" w:type="dxa"/>
            <w:gridSpan w:val="2"/>
            <w:vAlign w:val="center"/>
          </w:tcPr>
          <w:p w14:paraId="781E6FF2"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B03AB3" w14:paraId="41C0B3ED" w14:textId="77777777" w:rsidTr="423305BB">
        <w:trPr>
          <w:trHeight w:val="276"/>
        </w:trPr>
        <w:tc>
          <w:tcPr>
            <w:tcW w:w="2160" w:type="dxa"/>
            <w:tcBorders>
              <w:bottom w:val="single" w:sz="2" w:space="0" w:color="000000" w:themeColor="text1"/>
            </w:tcBorders>
            <w:vAlign w:val="center"/>
          </w:tcPr>
          <w:p w14:paraId="60CEC897" w14:textId="77777777" w:rsidR="00B03AB3" w:rsidRDefault="00000000" w:rsidP="00915440">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Coef. of Determination (R²)</w:t>
            </w:r>
          </w:p>
        </w:tc>
        <w:tc>
          <w:tcPr>
            <w:tcW w:w="2368" w:type="dxa"/>
            <w:gridSpan w:val="2"/>
            <w:tcBorders>
              <w:bottom w:val="single" w:sz="2" w:space="0" w:color="000000" w:themeColor="text1"/>
            </w:tcBorders>
            <w:vAlign w:val="center"/>
          </w:tcPr>
          <w:p w14:paraId="2953786E"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0.74</w:t>
            </w:r>
          </w:p>
        </w:tc>
        <w:tc>
          <w:tcPr>
            <w:tcW w:w="2444" w:type="dxa"/>
            <w:gridSpan w:val="2"/>
            <w:tcBorders>
              <w:bottom w:val="single" w:sz="2" w:space="0" w:color="000000" w:themeColor="text1"/>
            </w:tcBorders>
            <w:vAlign w:val="center"/>
          </w:tcPr>
          <w:p w14:paraId="1BF41A11"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0.66</w:t>
            </w:r>
          </w:p>
        </w:tc>
        <w:tc>
          <w:tcPr>
            <w:tcW w:w="2440" w:type="dxa"/>
            <w:gridSpan w:val="2"/>
            <w:tcBorders>
              <w:bottom w:val="single" w:sz="2" w:space="0" w:color="000000" w:themeColor="text1"/>
            </w:tcBorders>
            <w:vAlign w:val="center"/>
          </w:tcPr>
          <w:p w14:paraId="6A595F49" w14:textId="77777777" w:rsidR="00B03AB3" w:rsidRDefault="00000000" w:rsidP="0091544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14:paraId="5043CB0F" w14:textId="77777777" w:rsidR="00B03AB3" w:rsidRDefault="00000000" w:rsidP="00915440">
      <w:pPr>
        <w:rPr>
          <w:rFonts w:ascii="Times New Roman" w:eastAsia="Times New Roman" w:hAnsi="Times New Roman" w:cs="Times New Roman"/>
        </w:rPr>
      </w:pPr>
      <w:r>
        <w:br w:type="page"/>
      </w:r>
    </w:p>
    <w:p w14:paraId="2BA81970" w14:textId="247325B7" w:rsidR="0081593F" w:rsidRDefault="0081593F" w:rsidP="00915440">
      <w:pPr>
        <w:rPr>
          <w:rFonts w:ascii="Times New Roman" w:eastAsia="Times New Roman" w:hAnsi="Times New Roman" w:cs="Times New Roman"/>
        </w:rPr>
      </w:pPr>
      <w:r w:rsidRPr="0081593F">
        <w:rPr>
          <w:rFonts w:ascii="Times New Roman" w:eastAsia="Times New Roman" w:hAnsi="Times New Roman" w:cs="Times New Roman"/>
          <w:b/>
          <w:bCs/>
        </w:rPr>
        <w:lastRenderedPageBreak/>
        <w:t xml:space="preserve">Table S5. </w:t>
      </w:r>
      <w:r w:rsidRPr="0081593F">
        <w:rPr>
          <w:rFonts w:ascii="Times New Roman" w:eastAsia="Times New Roman" w:hAnsi="Times New Roman" w:cs="Times New Roman"/>
        </w:rPr>
        <w:t xml:space="preserve">Comparison of </w:t>
      </w:r>
      <w:r w:rsidRPr="0081593F">
        <w:rPr>
          <w:rFonts w:ascii="Times New Roman" w:eastAsia="Times New Roman" w:hAnsi="Times New Roman" w:cs="Times New Roman"/>
          <w:smallCaps/>
        </w:rPr>
        <w:t>glmmTMB</w:t>
      </w:r>
      <w:r w:rsidRPr="0081593F">
        <w:rPr>
          <w:rFonts w:ascii="Times New Roman" w:eastAsia="Times New Roman" w:hAnsi="Times New Roman" w:cs="Times New Roman"/>
        </w:rPr>
        <w:t xml:space="preserve"> models used to select the most appropriate error distribution (Poisson, negative binomial 2, negative binomial 1, zero-truncated Poisson, zero-truncated negative binomial 2, or zero-truncated negative binomial 1) and, subsequently, the best-supported model structure (single fixed-effect or null model). Model fit was compared using the Akaike Information Criterion corrected for small sample size (AICc). The best-fitting models (lowest AICc) are highlighted in bold. “–” indicates convergence problems.</w:t>
      </w:r>
    </w:p>
    <w:p w14:paraId="6D80B5DD" w14:textId="77777777" w:rsidR="0081593F" w:rsidRDefault="0081593F" w:rsidP="00915440">
      <w:pPr>
        <w:rPr>
          <w:rFonts w:ascii="Times New Roman" w:eastAsia="Times New Roman" w:hAnsi="Times New Roman" w:cs="Times New Roman"/>
          <w:b/>
        </w:rPr>
      </w:pPr>
    </w:p>
    <w:tbl>
      <w:tblPr>
        <w:tblW w:w="9412" w:type="dxa"/>
        <w:tblInd w:w="-62" w:type="dxa"/>
        <w:tblCellMar>
          <w:left w:w="0" w:type="dxa"/>
          <w:right w:w="0" w:type="dxa"/>
        </w:tblCellMar>
        <w:tblLook w:val="04A0" w:firstRow="1" w:lastRow="0" w:firstColumn="1" w:lastColumn="0" w:noHBand="0" w:noVBand="1"/>
      </w:tblPr>
      <w:tblGrid>
        <w:gridCol w:w="2835"/>
        <w:gridCol w:w="732"/>
        <w:gridCol w:w="367"/>
        <w:gridCol w:w="364"/>
        <w:gridCol w:w="730"/>
        <w:gridCol w:w="733"/>
        <w:gridCol w:w="364"/>
        <w:gridCol w:w="365"/>
        <w:gridCol w:w="730"/>
        <w:gridCol w:w="733"/>
        <w:gridCol w:w="364"/>
        <w:gridCol w:w="365"/>
        <w:gridCol w:w="730"/>
      </w:tblGrid>
      <w:tr w:rsidR="00B03AB3" w14:paraId="0776D008" w14:textId="77777777">
        <w:trPr>
          <w:trHeight w:val="477"/>
        </w:trPr>
        <w:tc>
          <w:tcPr>
            <w:tcW w:w="2834" w:type="dxa"/>
            <w:tcBorders>
              <w:top w:val="single" w:sz="6" w:space="0" w:color="000000"/>
              <w:bottom w:val="single" w:sz="6" w:space="0" w:color="000000"/>
            </w:tcBorders>
            <w:vAlign w:val="center"/>
          </w:tcPr>
          <w:p w14:paraId="2C709E98" w14:textId="085DD6D2"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Global Models</w:t>
            </w:r>
          </w:p>
        </w:tc>
        <w:tc>
          <w:tcPr>
            <w:tcW w:w="2193" w:type="dxa"/>
            <w:gridSpan w:val="4"/>
            <w:tcBorders>
              <w:top w:val="single" w:sz="6" w:space="0" w:color="000000"/>
              <w:left w:val="single" w:sz="2" w:space="0" w:color="000000"/>
              <w:bottom w:val="single" w:sz="6" w:space="0" w:color="000000"/>
              <w:right w:val="single" w:sz="2" w:space="0" w:color="000000"/>
            </w:tcBorders>
            <w:vAlign w:val="center"/>
          </w:tcPr>
          <w:p w14:paraId="1899030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Biological Aspects</w:t>
            </w:r>
          </w:p>
        </w:tc>
        <w:tc>
          <w:tcPr>
            <w:tcW w:w="2192" w:type="dxa"/>
            <w:gridSpan w:val="4"/>
            <w:tcBorders>
              <w:top w:val="single" w:sz="6" w:space="0" w:color="000000"/>
              <w:bottom w:val="single" w:sz="6" w:space="0" w:color="000000"/>
              <w:right w:val="single" w:sz="2" w:space="0" w:color="000000"/>
            </w:tcBorders>
            <w:vAlign w:val="center"/>
          </w:tcPr>
          <w:p w14:paraId="14ED9246" w14:textId="77777777" w:rsidR="00B03AB3" w:rsidRDefault="00000000" w:rsidP="00915440">
            <w:pPr>
              <w:jc w:val="center"/>
              <w:rPr>
                <w:rFonts w:ascii="Times New Roman" w:eastAsia="Times New Roman" w:hAnsi="Times New Roman" w:cs="Times New Roman"/>
                <w:b/>
                <w:bCs/>
                <w:color w:val="4EA72E" w:themeColor="accent6"/>
                <w:sz w:val="18"/>
                <w:szCs w:val="18"/>
              </w:rPr>
            </w:pPr>
            <w:r>
              <w:rPr>
                <w:rFonts w:ascii="Times New Roman" w:eastAsia="Times New Roman" w:hAnsi="Times New Roman" w:cs="Times New Roman"/>
                <w:b/>
                <w:bCs/>
                <w:color w:val="000000"/>
                <w:sz w:val="18"/>
                <w:szCs w:val="18"/>
              </w:rPr>
              <w:t>Climatic Aspects</w:t>
            </w:r>
          </w:p>
        </w:tc>
        <w:tc>
          <w:tcPr>
            <w:tcW w:w="2192" w:type="dxa"/>
            <w:gridSpan w:val="4"/>
            <w:tcBorders>
              <w:top w:val="single" w:sz="6" w:space="0" w:color="000000"/>
              <w:bottom w:val="single" w:sz="6" w:space="0" w:color="000000"/>
            </w:tcBorders>
            <w:vAlign w:val="center"/>
          </w:tcPr>
          <w:p w14:paraId="22234516"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Coverage</w:t>
            </w:r>
          </w:p>
        </w:tc>
      </w:tr>
      <w:tr w:rsidR="00B03AB3" w14:paraId="407E512B" w14:textId="77777777">
        <w:trPr>
          <w:trHeight w:val="256"/>
        </w:trPr>
        <w:tc>
          <w:tcPr>
            <w:tcW w:w="2834" w:type="dxa"/>
            <w:tcBorders>
              <w:bottom w:val="single" w:sz="2" w:space="0" w:color="000000"/>
            </w:tcBorders>
            <w:tcMar>
              <w:top w:w="28" w:type="dxa"/>
              <w:left w:w="28" w:type="dxa"/>
              <w:bottom w:w="28" w:type="dxa"/>
              <w:right w:w="28" w:type="dxa"/>
            </w:tcMar>
            <w:vAlign w:val="center"/>
          </w:tcPr>
          <w:p w14:paraId="581A6DB4" w14:textId="1306DB4F"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Distribution selection</w:t>
            </w:r>
          </w:p>
        </w:tc>
        <w:tc>
          <w:tcPr>
            <w:tcW w:w="732" w:type="dxa"/>
            <w:tcBorders>
              <w:left w:val="single" w:sz="2" w:space="0" w:color="000000"/>
              <w:bottom w:val="single" w:sz="2" w:space="0" w:color="000000"/>
            </w:tcBorders>
            <w:vAlign w:val="center"/>
          </w:tcPr>
          <w:p w14:paraId="6CCF08B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731" w:type="dxa"/>
            <w:gridSpan w:val="2"/>
            <w:tcBorders>
              <w:bottom w:val="single" w:sz="2" w:space="0" w:color="000000"/>
            </w:tcBorders>
            <w:vAlign w:val="center"/>
          </w:tcPr>
          <w:p w14:paraId="6E781AC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730" w:type="dxa"/>
            <w:tcBorders>
              <w:bottom w:val="single" w:sz="2" w:space="0" w:color="000000"/>
              <w:right w:val="single" w:sz="2" w:space="0" w:color="000000"/>
            </w:tcBorders>
            <w:vAlign w:val="center"/>
          </w:tcPr>
          <w:p w14:paraId="0124884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c>
          <w:tcPr>
            <w:tcW w:w="733" w:type="dxa"/>
            <w:tcBorders>
              <w:bottom w:val="single" w:sz="2" w:space="0" w:color="000000"/>
            </w:tcBorders>
            <w:vAlign w:val="center"/>
          </w:tcPr>
          <w:p w14:paraId="2CF47D9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729" w:type="dxa"/>
            <w:gridSpan w:val="2"/>
            <w:tcBorders>
              <w:bottom w:val="single" w:sz="2" w:space="0" w:color="000000"/>
            </w:tcBorders>
            <w:vAlign w:val="center"/>
          </w:tcPr>
          <w:p w14:paraId="3ADA3CB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730" w:type="dxa"/>
            <w:tcBorders>
              <w:bottom w:val="single" w:sz="2" w:space="0" w:color="000000"/>
              <w:right w:val="single" w:sz="2" w:space="0" w:color="000000"/>
            </w:tcBorders>
            <w:vAlign w:val="center"/>
          </w:tcPr>
          <w:p w14:paraId="130B233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c>
          <w:tcPr>
            <w:tcW w:w="733" w:type="dxa"/>
            <w:tcBorders>
              <w:bottom w:val="single" w:sz="2" w:space="0" w:color="000000"/>
            </w:tcBorders>
            <w:tcMar>
              <w:top w:w="28" w:type="dxa"/>
              <w:left w:w="28" w:type="dxa"/>
              <w:bottom w:w="28" w:type="dxa"/>
              <w:right w:w="28" w:type="dxa"/>
            </w:tcMar>
            <w:vAlign w:val="center"/>
          </w:tcPr>
          <w:p w14:paraId="5C90A23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729" w:type="dxa"/>
            <w:gridSpan w:val="2"/>
            <w:tcBorders>
              <w:bottom w:val="single" w:sz="2" w:space="0" w:color="000000"/>
            </w:tcBorders>
            <w:tcMar>
              <w:top w:w="28" w:type="dxa"/>
              <w:left w:w="28" w:type="dxa"/>
              <w:bottom w:w="28" w:type="dxa"/>
              <w:right w:w="28" w:type="dxa"/>
            </w:tcMar>
            <w:vAlign w:val="center"/>
          </w:tcPr>
          <w:p w14:paraId="00BE367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730" w:type="dxa"/>
            <w:tcBorders>
              <w:bottom w:val="single" w:sz="2" w:space="0" w:color="000000"/>
            </w:tcBorders>
            <w:tcMar>
              <w:top w:w="28" w:type="dxa"/>
              <w:left w:w="28" w:type="dxa"/>
              <w:bottom w:w="28" w:type="dxa"/>
              <w:right w:w="28" w:type="dxa"/>
            </w:tcMar>
            <w:vAlign w:val="center"/>
          </w:tcPr>
          <w:p w14:paraId="3234E3BB"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r>
      <w:tr w:rsidR="00B03AB3" w14:paraId="76B66AE2" w14:textId="77777777">
        <w:trPr>
          <w:trHeight w:val="256"/>
        </w:trPr>
        <w:tc>
          <w:tcPr>
            <w:tcW w:w="2834" w:type="dxa"/>
            <w:vAlign w:val="center"/>
          </w:tcPr>
          <w:p w14:paraId="7ED1C5AF" w14:textId="09180ED7"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Poisson</w:t>
            </w:r>
          </w:p>
        </w:tc>
        <w:tc>
          <w:tcPr>
            <w:tcW w:w="732" w:type="dxa"/>
            <w:tcBorders>
              <w:left w:val="single" w:sz="2" w:space="0" w:color="000000"/>
            </w:tcBorders>
            <w:vAlign w:val="center"/>
          </w:tcPr>
          <w:p w14:paraId="35022D6B" w14:textId="77777777" w:rsidR="00B03AB3" w:rsidRDefault="00000000" w:rsidP="00915440">
            <w:pPr>
              <w:jc w:val="center"/>
              <w:rPr>
                <w:rFonts w:ascii="Times New Roman" w:eastAsia="Times New Roman" w:hAnsi="Times New Roman" w:cs="Times New Roman"/>
                <w:b/>
                <w:bCs/>
                <w:color w:val="4EA72E" w:themeColor="accent6"/>
                <w:sz w:val="18"/>
                <w:szCs w:val="18"/>
              </w:rPr>
            </w:pPr>
            <w:r>
              <w:rPr>
                <w:rFonts w:ascii="Times New Roman" w:eastAsia="Times New Roman" w:hAnsi="Times New Roman" w:cs="Times New Roman"/>
                <w:b/>
                <w:bCs/>
                <w:color w:val="000000"/>
                <w:sz w:val="18"/>
                <w:szCs w:val="18"/>
              </w:rPr>
              <w:t>300.5</w:t>
            </w:r>
          </w:p>
        </w:tc>
        <w:tc>
          <w:tcPr>
            <w:tcW w:w="731" w:type="dxa"/>
            <w:gridSpan w:val="2"/>
            <w:vAlign w:val="center"/>
          </w:tcPr>
          <w:p w14:paraId="2B2B730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9</w:t>
            </w:r>
          </w:p>
        </w:tc>
        <w:tc>
          <w:tcPr>
            <w:tcW w:w="730" w:type="dxa"/>
            <w:tcBorders>
              <w:right w:val="single" w:sz="2" w:space="0" w:color="000000"/>
            </w:tcBorders>
            <w:vAlign w:val="center"/>
          </w:tcPr>
          <w:p w14:paraId="3D22F59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c>
          <w:tcPr>
            <w:tcW w:w="733" w:type="dxa"/>
            <w:vAlign w:val="center"/>
          </w:tcPr>
          <w:p w14:paraId="16583AF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231.6</w:t>
            </w:r>
          </w:p>
        </w:tc>
        <w:tc>
          <w:tcPr>
            <w:tcW w:w="729" w:type="dxa"/>
            <w:gridSpan w:val="2"/>
            <w:vAlign w:val="center"/>
          </w:tcPr>
          <w:p w14:paraId="29B4EA1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w:t>
            </w:r>
          </w:p>
        </w:tc>
        <w:tc>
          <w:tcPr>
            <w:tcW w:w="730" w:type="dxa"/>
            <w:tcBorders>
              <w:right w:val="single" w:sz="2" w:space="0" w:color="000000"/>
            </w:tcBorders>
            <w:vAlign w:val="center"/>
          </w:tcPr>
          <w:p w14:paraId="56C6262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c>
          <w:tcPr>
            <w:tcW w:w="733" w:type="dxa"/>
            <w:vAlign w:val="center"/>
          </w:tcPr>
          <w:p w14:paraId="0DD8820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168.9</w:t>
            </w:r>
          </w:p>
        </w:tc>
        <w:tc>
          <w:tcPr>
            <w:tcW w:w="729" w:type="dxa"/>
            <w:gridSpan w:val="2"/>
            <w:vAlign w:val="center"/>
          </w:tcPr>
          <w:p w14:paraId="1B87E3D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w:t>
            </w:r>
          </w:p>
        </w:tc>
        <w:tc>
          <w:tcPr>
            <w:tcW w:w="730" w:type="dxa"/>
            <w:vAlign w:val="center"/>
          </w:tcPr>
          <w:p w14:paraId="7A06C686"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r>
      <w:tr w:rsidR="00B03AB3" w14:paraId="50BE8E94" w14:textId="77777777">
        <w:trPr>
          <w:trHeight w:val="256"/>
        </w:trPr>
        <w:tc>
          <w:tcPr>
            <w:tcW w:w="2834" w:type="dxa"/>
            <w:vAlign w:val="center"/>
          </w:tcPr>
          <w:p w14:paraId="309AE417" w14:textId="7AFDF6DD"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Negative Binomial 2</w:t>
            </w:r>
          </w:p>
        </w:tc>
        <w:tc>
          <w:tcPr>
            <w:tcW w:w="732" w:type="dxa"/>
            <w:tcBorders>
              <w:left w:val="single" w:sz="2" w:space="0" w:color="000000"/>
            </w:tcBorders>
            <w:vAlign w:val="center"/>
          </w:tcPr>
          <w:p w14:paraId="55DF807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302.9</w:t>
            </w:r>
          </w:p>
        </w:tc>
        <w:tc>
          <w:tcPr>
            <w:tcW w:w="731" w:type="dxa"/>
            <w:gridSpan w:val="2"/>
            <w:vAlign w:val="center"/>
          </w:tcPr>
          <w:p w14:paraId="3E1FE5D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30" w:type="dxa"/>
            <w:tcBorders>
              <w:right w:val="single" w:sz="2" w:space="0" w:color="000000"/>
            </w:tcBorders>
            <w:vAlign w:val="center"/>
          </w:tcPr>
          <w:p w14:paraId="026ABE8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c>
          <w:tcPr>
            <w:tcW w:w="733" w:type="dxa"/>
            <w:vAlign w:val="center"/>
          </w:tcPr>
          <w:p w14:paraId="68F8156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234.1</w:t>
            </w:r>
          </w:p>
        </w:tc>
        <w:tc>
          <w:tcPr>
            <w:tcW w:w="729" w:type="dxa"/>
            <w:gridSpan w:val="2"/>
            <w:vAlign w:val="center"/>
          </w:tcPr>
          <w:p w14:paraId="75697EE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tcBorders>
              <w:right w:val="single" w:sz="2" w:space="0" w:color="000000"/>
            </w:tcBorders>
            <w:vAlign w:val="center"/>
          </w:tcPr>
          <w:p w14:paraId="751B163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733" w:type="dxa"/>
            <w:vAlign w:val="center"/>
          </w:tcPr>
          <w:p w14:paraId="0ACC2B3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171.3</w:t>
            </w:r>
          </w:p>
        </w:tc>
        <w:tc>
          <w:tcPr>
            <w:tcW w:w="729" w:type="dxa"/>
            <w:gridSpan w:val="2"/>
            <w:vAlign w:val="center"/>
          </w:tcPr>
          <w:p w14:paraId="109B848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vAlign w:val="center"/>
          </w:tcPr>
          <w:p w14:paraId="3D7C930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r>
      <w:tr w:rsidR="00B03AB3" w14:paraId="1224DE1A" w14:textId="77777777">
        <w:trPr>
          <w:trHeight w:val="256"/>
        </w:trPr>
        <w:tc>
          <w:tcPr>
            <w:tcW w:w="2834" w:type="dxa"/>
            <w:vAlign w:val="center"/>
          </w:tcPr>
          <w:p w14:paraId="4D251431" w14:textId="7BF4754B"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Negative Binomial 1</w:t>
            </w:r>
          </w:p>
        </w:tc>
        <w:tc>
          <w:tcPr>
            <w:tcW w:w="732" w:type="dxa"/>
            <w:tcBorders>
              <w:left w:val="single" w:sz="2" w:space="0" w:color="000000"/>
            </w:tcBorders>
            <w:vAlign w:val="center"/>
          </w:tcPr>
          <w:p w14:paraId="541EC80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1" w:type="dxa"/>
            <w:gridSpan w:val="2"/>
            <w:vAlign w:val="center"/>
          </w:tcPr>
          <w:p w14:paraId="31830EA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30" w:type="dxa"/>
            <w:tcBorders>
              <w:right w:val="single" w:sz="2" w:space="0" w:color="000000"/>
            </w:tcBorders>
            <w:vAlign w:val="center"/>
          </w:tcPr>
          <w:p w14:paraId="1E3FF04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3" w:type="dxa"/>
            <w:vAlign w:val="center"/>
          </w:tcPr>
          <w:p w14:paraId="1096122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29" w:type="dxa"/>
            <w:gridSpan w:val="2"/>
            <w:vAlign w:val="center"/>
          </w:tcPr>
          <w:p w14:paraId="6F74D8F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tcBorders>
              <w:right w:val="single" w:sz="2" w:space="0" w:color="000000"/>
            </w:tcBorders>
            <w:vAlign w:val="center"/>
          </w:tcPr>
          <w:p w14:paraId="48F0045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3" w:type="dxa"/>
            <w:vAlign w:val="center"/>
          </w:tcPr>
          <w:p w14:paraId="1B03F0D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171.3</w:t>
            </w:r>
          </w:p>
        </w:tc>
        <w:tc>
          <w:tcPr>
            <w:tcW w:w="729" w:type="dxa"/>
            <w:gridSpan w:val="2"/>
            <w:vAlign w:val="center"/>
          </w:tcPr>
          <w:p w14:paraId="28AF3A1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vAlign w:val="center"/>
          </w:tcPr>
          <w:p w14:paraId="373F17E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r>
      <w:tr w:rsidR="00B03AB3" w14:paraId="06E5FF66" w14:textId="77777777">
        <w:trPr>
          <w:trHeight w:val="256"/>
        </w:trPr>
        <w:tc>
          <w:tcPr>
            <w:tcW w:w="2834" w:type="dxa"/>
            <w:vAlign w:val="center"/>
          </w:tcPr>
          <w:p w14:paraId="44ACCE60" w14:textId="6C44A592"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Zero-truncated Poisson</w:t>
            </w:r>
          </w:p>
        </w:tc>
        <w:tc>
          <w:tcPr>
            <w:tcW w:w="732" w:type="dxa"/>
            <w:tcBorders>
              <w:left w:val="single" w:sz="2" w:space="0" w:color="000000"/>
            </w:tcBorders>
            <w:vAlign w:val="center"/>
          </w:tcPr>
          <w:p w14:paraId="325BE7A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350,6</w:t>
            </w:r>
          </w:p>
        </w:tc>
        <w:tc>
          <w:tcPr>
            <w:tcW w:w="731" w:type="dxa"/>
            <w:gridSpan w:val="2"/>
            <w:vAlign w:val="center"/>
          </w:tcPr>
          <w:p w14:paraId="089009E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730" w:type="dxa"/>
            <w:tcBorders>
              <w:right w:val="single" w:sz="2" w:space="0" w:color="000000"/>
            </w:tcBorders>
            <w:vAlign w:val="center"/>
          </w:tcPr>
          <w:p w14:paraId="5A9B8A9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50.1</w:t>
            </w:r>
          </w:p>
        </w:tc>
        <w:tc>
          <w:tcPr>
            <w:tcW w:w="733" w:type="dxa"/>
            <w:vAlign w:val="center"/>
          </w:tcPr>
          <w:p w14:paraId="4F7FD0F6"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264.0</w:t>
            </w:r>
          </w:p>
        </w:tc>
        <w:tc>
          <w:tcPr>
            <w:tcW w:w="729" w:type="dxa"/>
            <w:gridSpan w:val="2"/>
            <w:vAlign w:val="center"/>
          </w:tcPr>
          <w:p w14:paraId="1946A7A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730" w:type="dxa"/>
            <w:tcBorders>
              <w:right w:val="single" w:sz="2" w:space="0" w:color="000000"/>
            </w:tcBorders>
            <w:vAlign w:val="center"/>
          </w:tcPr>
          <w:p w14:paraId="39FD104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32.4</w:t>
            </w:r>
          </w:p>
        </w:tc>
        <w:tc>
          <w:tcPr>
            <w:tcW w:w="733" w:type="dxa"/>
            <w:vAlign w:val="center"/>
          </w:tcPr>
          <w:p w14:paraId="03DC914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211.3</w:t>
            </w:r>
          </w:p>
        </w:tc>
        <w:tc>
          <w:tcPr>
            <w:tcW w:w="729" w:type="dxa"/>
            <w:gridSpan w:val="2"/>
            <w:vAlign w:val="center"/>
          </w:tcPr>
          <w:p w14:paraId="71F3359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vAlign w:val="center"/>
          </w:tcPr>
          <w:p w14:paraId="76947D9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42.4</w:t>
            </w:r>
          </w:p>
        </w:tc>
      </w:tr>
      <w:tr w:rsidR="00B03AB3" w14:paraId="32491ED1" w14:textId="77777777">
        <w:trPr>
          <w:trHeight w:val="256"/>
        </w:trPr>
        <w:tc>
          <w:tcPr>
            <w:tcW w:w="2834" w:type="dxa"/>
            <w:vAlign w:val="center"/>
          </w:tcPr>
          <w:p w14:paraId="61D7D034" w14:textId="2090BE76"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Zero-truncated Negative Binomial 2</w:t>
            </w:r>
          </w:p>
        </w:tc>
        <w:tc>
          <w:tcPr>
            <w:tcW w:w="732" w:type="dxa"/>
            <w:tcBorders>
              <w:left w:val="single" w:sz="2" w:space="0" w:color="000000"/>
            </w:tcBorders>
            <w:vAlign w:val="center"/>
          </w:tcPr>
          <w:p w14:paraId="60D9EF9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1" w:type="dxa"/>
            <w:gridSpan w:val="2"/>
            <w:vAlign w:val="center"/>
          </w:tcPr>
          <w:p w14:paraId="22F65FF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30" w:type="dxa"/>
            <w:tcBorders>
              <w:right w:val="single" w:sz="2" w:space="0" w:color="000000"/>
            </w:tcBorders>
            <w:vAlign w:val="center"/>
          </w:tcPr>
          <w:p w14:paraId="0812ED9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3" w:type="dxa"/>
            <w:vAlign w:val="center"/>
          </w:tcPr>
          <w:p w14:paraId="30FB2EC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29" w:type="dxa"/>
            <w:gridSpan w:val="2"/>
            <w:vAlign w:val="center"/>
          </w:tcPr>
          <w:p w14:paraId="1F87031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tcBorders>
              <w:right w:val="single" w:sz="2" w:space="0" w:color="000000"/>
            </w:tcBorders>
            <w:vAlign w:val="center"/>
          </w:tcPr>
          <w:p w14:paraId="3A53A7B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3" w:type="dxa"/>
            <w:vAlign w:val="center"/>
          </w:tcPr>
          <w:p w14:paraId="0512896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29" w:type="dxa"/>
            <w:gridSpan w:val="2"/>
            <w:vAlign w:val="center"/>
          </w:tcPr>
          <w:p w14:paraId="0385369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730" w:type="dxa"/>
            <w:vAlign w:val="center"/>
          </w:tcPr>
          <w:p w14:paraId="6644F91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B03AB3" w14:paraId="77EF47BD" w14:textId="77777777">
        <w:trPr>
          <w:trHeight w:val="256"/>
        </w:trPr>
        <w:tc>
          <w:tcPr>
            <w:tcW w:w="2834" w:type="dxa"/>
            <w:vAlign w:val="center"/>
          </w:tcPr>
          <w:p w14:paraId="43DD20BD" w14:textId="6BE78869"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Zero-truncated Negative Binomial 1</w:t>
            </w:r>
          </w:p>
        </w:tc>
        <w:tc>
          <w:tcPr>
            <w:tcW w:w="732" w:type="dxa"/>
            <w:tcBorders>
              <w:left w:val="single" w:sz="2" w:space="0" w:color="000000"/>
            </w:tcBorders>
            <w:vAlign w:val="center"/>
          </w:tcPr>
          <w:p w14:paraId="74AD0E3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353.1</w:t>
            </w:r>
          </w:p>
        </w:tc>
        <w:tc>
          <w:tcPr>
            <w:tcW w:w="731" w:type="dxa"/>
            <w:gridSpan w:val="2"/>
            <w:vAlign w:val="center"/>
          </w:tcPr>
          <w:p w14:paraId="0FA5DB3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30" w:type="dxa"/>
            <w:tcBorders>
              <w:right w:val="single" w:sz="2" w:space="0" w:color="000000"/>
            </w:tcBorders>
            <w:vAlign w:val="center"/>
          </w:tcPr>
          <w:p w14:paraId="36C6034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52.5</w:t>
            </w:r>
          </w:p>
        </w:tc>
        <w:tc>
          <w:tcPr>
            <w:tcW w:w="733" w:type="dxa"/>
            <w:vAlign w:val="center"/>
          </w:tcPr>
          <w:p w14:paraId="7EB2007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29" w:type="dxa"/>
            <w:gridSpan w:val="2"/>
            <w:vAlign w:val="center"/>
          </w:tcPr>
          <w:p w14:paraId="67E6CB2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0" w:type="dxa"/>
            <w:tcBorders>
              <w:right w:val="single" w:sz="2" w:space="0" w:color="000000"/>
            </w:tcBorders>
            <w:vAlign w:val="center"/>
          </w:tcPr>
          <w:p w14:paraId="46D2196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33" w:type="dxa"/>
            <w:vAlign w:val="center"/>
          </w:tcPr>
          <w:p w14:paraId="137965D0"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29" w:type="dxa"/>
            <w:gridSpan w:val="2"/>
            <w:vAlign w:val="center"/>
          </w:tcPr>
          <w:p w14:paraId="49832D1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730" w:type="dxa"/>
            <w:vAlign w:val="center"/>
          </w:tcPr>
          <w:p w14:paraId="4225F3D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B03AB3" w14:paraId="5B9A554D" w14:textId="77777777">
        <w:trPr>
          <w:trHeight w:val="256"/>
        </w:trPr>
        <w:tc>
          <w:tcPr>
            <w:tcW w:w="2834" w:type="dxa"/>
            <w:tcBorders>
              <w:top w:val="single" w:sz="2" w:space="0" w:color="000000"/>
              <w:bottom w:val="single" w:sz="2" w:space="0" w:color="000000"/>
            </w:tcBorders>
            <w:tcMar>
              <w:top w:w="28" w:type="dxa"/>
              <w:left w:w="28" w:type="dxa"/>
              <w:bottom w:w="28" w:type="dxa"/>
              <w:right w:w="28" w:type="dxa"/>
            </w:tcMar>
            <w:vAlign w:val="center"/>
          </w:tcPr>
          <w:p w14:paraId="31A23474" w14:textId="2C69124A" w:rsidR="00B03AB3" w:rsidRDefault="00000000" w:rsidP="00915440">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Model fit Selection</w:t>
            </w:r>
          </w:p>
        </w:tc>
        <w:tc>
          <w:tcPr>
            <w:tcW w:w="732" w:type="dxa"/>
            <w:tcBorders>
              <w:top w:val="single" w:sz="2" w:space="0" w:color="000000"/>
              <w:left w:val="single" w:sz="2" w:space="0" w:color="000000"/>
              <w:bottom w:val="single" w:sz="2" w:space="0" w:color="000000"/>
            </w:tcBorders>
            <w:vAlign w:val="center"/>
          </w:tcPr>
          <w:p w14:paraId="470B5E6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731" w:type="dxa"/>
            <w:gridSpan w:val="2"/>
            <w:tcBorders>
              <w:top w:val="single" w:sz="2" w:space="0" w:color="000000"/>
              <w:bottom w:val="single" w:sz="2" w:space="0" w:color="000000"/>
            </w:tcBorders>
            <w:vAlign w:val="center"/>
          </w:tcPr>
          <w:p w14:paraId="610ECEE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730" w:type="dxa"/>
            <w:tcBorders>
              <w:top w:val="single" w:sz="2" w:space="0" w:color="000000"/>
              <w:bottom w:val="single" w:sz="2" w:space="0" w:color="000000"/>
              <w:right w:val="single" w:sz="2" w:space="0" w:color="000000"/>
            </w:tcBorders>
            <w:vAlign w:val="center"/>
          </w:tcPr>
          <w:p w14:paraId="1AAA955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c>
          <w:tcPr>
            <w:tcW w:w="733" w:type="dxa"/>
            <w:tcBorders>
              <w:top w:val="single" w:sz="2" w:space="0" w:color="000000"/>
              <w:bottom w:val="single" w:sz="2" w:space="0" w:color="000000"/>
            </w:tcBorders>
            <w:vAlign w:val="center"/>
          </w:tcPr>
          <w:p w14:paraId="4BC72BC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729" w:type="dxa"/>
            <w:gridSpan w:val="2"/>
            <w:tcBorders>
              <w:top w:val="single" w:sz="2" w:space="0" w:color="000000"/>
              <w:bottom w:val="single" w:sz="2" w:space="0" w:color="000000"/>
            </w:tcBorders>
            <w:vAlign w:val="center"/>
          </w:tcPr>
          <w:p w14:paraId="54E4CCB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730" w:type="dxa"/>
            <w:tcBorders>
              <w:top w:val="single" w:sz="2" w:space="0" w:color="000000"/>
              <w:bottom w:val="single" w:sz="2" w:space="0" w:color="000000"/>
              <w:right w:val="single" w:sz="2" w:space="0" w:color="000000"/>
            </w:tcBorders>
            <w:vAlign w:val="center"/>
          </w:tcPr>
          <w:p w14:paraId="5A971C08"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c>
          <w:tcPr>
            <w:tcW w:w="733" w:type="dxa"/>
            <w:tcBorders>
              <w:top w:val="single" w:sz="2" w:space="0" w:color="000000"/>
              <w:bottom w:val="single" w:sz="2" w:space="0" w:color="000000"/>
            </w:tcBorders>
            <w:tcMar>
              <w:top w:w="28" w:type="dxa"/>
              <w:left w:w="28" w:type="dxa"/>
              <w:bottom w:w="28" w:type="dxa"/>
              <w:right w:w="28" w:type="dxa"/>
            </w:tcMar>
            <w:vAlign w:val="center"/>
          </w:tcPr>
          <w:p w14:paraId="23BFB9D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729" w:type="dxa"/>
            <w:gridSpan w:val="2"/>
            <w:tcBorders>
              <w:top w:val="single" w:sz="2" w:space="0" w:color="000000"/>
              <w:bottom w:val="single" w:sz="2" w:space="0" w:color="000000"/>
            </w:tcBorders>
            <w:tcMar>
              <w:top w:w="28" w:type="dxa"/>
              <w:left w:w="28" w:type="dxa"/>
              <w:bottom w:w="28" w:type="dxa"/>
              <w:right w:w="28" w:type="dxa"/>
            </w:tcMar>
            <w:vAlign w:val="center"/>
          </w:tcPr>
          <w:p w14:paraId="2F69FCB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730" w:type="dxa"/>
            <w:tcBorders>
              <w:top w:val="single" w:sz="2" w:space="0" w:color="000000"/>
              <w:bottom w:val="single" w:sz="2" w:space="0" w:color="000000"/>
            </w:tcBorders>
            <w:tcMar>
              <w:top w:w="28" w:type="dxa"/>
              <w:left w:w="28" w:type="dxa"/>
              <w:bottom w:w="28" w:type="dxa"/>
              <w:right w:w="28" w:type="dxa"/>
            </w:tcMar>
            <w:vAlign w:val="center"/>
          </w:tcPr>
          <w:p w14:paraId="2E83D55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r>
      <w:tr w:rsidR="00B03AB3" w14:paraId="2ED613DA" w14:textId="77777777">
        <w:trPr>
          <w:trHeight w:val="256"/>
        </w:trPr>
        <w:tc>
          <w:tcPr>
            <w:tcW w:w="2834" w:type="dxa"/>
            <w:vAlign w:val="center"/>
          </w:tcPr>
          <w:p w14:paraId="1F9913A7" w14:textId="55EF7B2C" w:rsidR="00B03AB3" w:rsidRDefault="00000000" w:rsidP="00915440">
            <w:pP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Individual fixed effect model</w:t>
            </w:r>
          </w:p>
        </w:tc>
        <w:tc>
          <w:tcPr>
            <w:tcW w:w="732" w:type="dxa"/>
            <w:tcBorders>
              <w:left w:val="single" w:sz="2" w:space="0" w:color="000000"/>
            </w:tcBorders>
            <w:vAlign w:val="center"/>
          </w:tcPr>
          <w:p w14:paraId="0A04E43A" w14:textId="77777777" w:rsidR="00B03AB3" w:rsidRDefault="00000000" w:rsidP="00915440">
            <w:pPr>
              <w:jc w:val="center"/>
              <w:rPr>
                <w:rFonts w:ascii="Times New Roman" w:eastAsia="Times New Roman" w:hAnsi="Times New Roman" w:cs="Times New Roman"/>
                <w:b/>
                <w:bCs/>
              </w:rPr>
            </w:pPr>
            <w:r>
              <w:rPr>
                <w:rFonts w:ascii="Times New Roman" w:eastAsia="Times New Roman" w:hAnsi="Times New Roman" w:cs="Times New Roman"/>
                <w:b/>
                <w:bCs/>
                <w:color w:val="000000"/>
                <w:sz w:val="18"/>
                <w:szCs w:val="18"/>
              </w:rPr>
              <w:t>300.5</w:t>
            </w:r>
          </w:p>
        </w:tc>
        <w:tc>
          <w:tcPr>
            <w:tcW w:w="731" w:type="dxa"/>
            <w:gridSpan w:val="2"/>
            <w:vAlign w:val="center"/>
          </w:tcPr>
          <w:p w14:paraId="4212456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9</w:t>
            </w:r>
          </w:p>
        </w:tc>
        <w:tc>
          <w:tcPr>
            <w:tcW w:w="730" w:type="dxa"/>
            <w:tcBorders>
              <w:right w:val="single" w:sz="2" w:space="0" w:color="000000"/>
            </w:tcBorders>
            <w:vAlign w:val="center"/>
          </w:tcPr>
          <w:p w14:paraId="1574AF3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c>
          <w:tcPr>
            <w:tcW w:w="733" w:type="dxa"/>
            <w:vAlign w:val="center"/>
          </w:tcPr>
          <w:p w14:paraId="2329773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231.6</w:t>
            </w:r>
          </w:p>
        </w:tc>
        <w:tc>
          <w:tcPr>
            <w:tcW w:w="729" w:type="dxa"/>
            <w:gridSpan w:val="2"/>
            <w:vAlign w:val="center"/>
          </w:tcPr>
          <w:p w14:paraId="6DDB914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w:t>
            </w:r>
          </w:p>
        </w:tc>
        <w:tc>
          <w:tcPr>
            <w:tcW w:w="730" w:type="dxa"/>
            <w:tcBorders>
              <w:right w:val="single" w:sz="2" w:space="0" w:color="000000"/>
            </w:tcBorders>
            <w:vAlign w:val="center"/>
          </w:tcPr>
          <w:p w14:paraId="0CF44D5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c>
          <w:tcPr>
            <w:tcW w:w="733" w:type="dxa"/>
            <w:vAlign w:val="center"/>
          </w:tcPr>
          <w:p w14:paraId="40A1758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168.9</w:t>
            </w:r>
          </w:p>
        </w:tc>
        <w:tc>
          <w:tcPr>
            <w:tcW w:w="729" w:type="dxa"/>
            <w:gridSpan w:val="2"/>
            <w:vAlign w:val="center"/>
          </w:tcPr>
          <w:p w14:paraId="5D9A48C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6</w:t>
            </w:r>
          </w:p>
        </w:tc>
        <w:tc>
          <w:tcPr>
            <w:tcW w:w="730" w:type="dxa"/>
            <w:vAlign w:val="center"/>
          </w:tcPr>
          <w:p w14:paraId="165DCE8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r>
      <w:tr w:rsidR="00B03AB3" w14:paraId="22CE2ACA" w14:textId="77777777">
        <w:trPr>
          <w:trHeight w:val="256"/>
        </w:trPr>
        <w:tc>
          <w:tcPr>
            <w:tcW w:w="2834" w:type="dxa"/>
            <w:tcBorders>
              <w:bottom w:val="single" w:sz="2" w:space="0" w:color="000000"/>
            </w:tcBorders>
            <w:tcMar>
              <w:top w:w="28" w:type="dxa"/>
              <w:left w:w="28" w:type="dxa"/>
              <w:bottom w:w="28" w:type="dxa"/>
              <w:right w:w="28" w:type="dxa"/>
            </w:tcMar>
            <w:vAlign w:val="center"/>
          </w:tcPr>
          <w:p w14:paraId="17A176BF" w14:textId="5F551C1A"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Null model</w:t>
            </w:r>
          </w:p>
        </w:tc>
        <w:tc>
          <w:tcPr>
            <w:tcW w:w="732" w:type="dxa"/>
            <w:tcBorders>
              <w:left w:val="single" w:sz="2" w:space="0" w:color="000000"/>
              <w:bottom w:val="single" w:sz="2" w:space="0" w:color="000000"/>
            </w:tcBorders>
            <w:vAlign w:val="center"/>
          </w:tcPr>
          <w:p w14:paraId="1892D433" w14:textId="77777777" w:rsidR="00B03AB3" w:rsidRDefault="00000000" w:rsidP="00915440">
            <w:pPr>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365.8</w:t>
            </w:r>
          </w:p>
        </w:tc>
        <w:tc>
          <w:tcPr>
            <w:tcW w:w="731" w:type="dxa"/>
            <w:gridSpan w:val="2"/>
            <w:tcBorders>
              <w:bottom w:val="single" w:sz="2" w:space="0" w:color="000000"/>
            </w:tcBorders>
            <w:vAlign w:val="center"/>
          </w:tcPr>
          <w:p w14:paraId="0B77815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730" w:type="dxa"/>
            <w:tcBorders>
              <w:bottom w:val="single" w:sz="2" w:space="0" w:color="000000"/>
              <w:right w:val="single" w:sz="2" w:space="0" w:color="000000"/>
            </w:tcBorders>
            <w:vAlign w:val="center"/>
          </w:tcPr>
          <w:p w14:paraId="70C5778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65.3</w:t>
            </w:r>
          </w:p>
        </w:tc>
        <w:tc>
          <w:tcPr>
            <w:tcW w:w="733" w:type="dxa"/>
            <w:tcBorders>
              <w:bottom w:val="single" w:sz="2" w:space="0" w:color="000000"/>
            </w:tcBorders>
            <w:vAlign w:val="center"/>
          </w:tcPr>
          <w:p w14:paraId="487918C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339.0</w:t>
            </w:r>
          </w:p>
        </w:tc>
        <w:tc>
          <w:tcPr>
            <w:tcW w:w="729" w:type="dxa"/>
            <w:gridSpan w:val="2"/>
            <w:tcBorders>
              <w:bottom w:val="single" w:sz="2" w:space="0" w:color="000000"/>
            </w:tcBorders>
            <w:vAlign w:val="center"/>
          </w:tcPr>
          <w:p w14:paraId="7A036E3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730" w:type="dxa"/>
            <w:tcBorders>
              <w:bottom w:val="single" w:sz="2" w:space="0" w:color="000000"/>
              <w:right w:val="single" w:sz="2" w:space="0" w:color="000000"/>
            </w:tcBorders>
            <w:vAlign w:val="center"/>
          </w:tcPr>
          <w:p w14:paraId="40A35F1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107.4</w:t>
            </w:r>
          </w:p>
        </w:tc>
        <w:tc>
          <w:tcPr>
            <w:tcW w:w="733" w:type="dxa"/>
            <w:tcBorders>
              <w:bottom w:val="single" w:sz="2" w:space="0" w:color="000000"/>
            </w:tcBorders>
            <w:tcMar>
              <w:top w:w="28" w:type="dxa"/>
              <w:left w:w="28" w:type="dxa"/>
              <w:bottom w:w="28" w:type="dxa"/>
              <w:right w:w="28" w:type="dxa"/>
            </w:tcMar>
            <w:vAlign w:val="center"/>
          </w:tcPr>
          <w:p w14:paraId="1A3E3F9D" w14:textId="77777777" w:rsidR="00B03AB3" w:rsidRDefault="00000000" w:rsidP="00915440">
            <w:pPr>
              <w:pStyle w:val="PreformattedText"/>
              <w:jc w:val="center"/>
              <w:rPr>
                <w:rFonts w:ascii="Times New Roman" w:eastAsia="Times New Roman" w:hAnsi="Times New Roman" w:cs="Times New Roman"/>
                <w:color w:val="000000"/>
                <w:sz w:val="18"/>
                <w:szCs w:val="18"/>
              </w:rPr>
            </w:pPr>
            <w:bookmarkStart w:id="0" w:name="rstudio_console_output"/>
            <w:bookmarkEnd w:id="0"/>
            <w:r>
              <w:rPr>
                <w:rFonts w:ascii="Times New Roman" w:eastAsia="Times New Roman" w:hAnsi="Times New Roman" w:cs="Times New Roman"/>
                <w:color w:val="000000"/>
                <w:sz w:val="18"/>
                <w:szCs w:val="18"/>
              </w:rPr>
              <w:t>286.8</w:t>
            </w:r>
          </w:p>
        </w:tc>
        <w:tc>
          <w:tcPr>
            <w:tcW w:w="729" w:type="dxa"/>
            <w:gridSpan w:val="2"/>
            <w:tcBorders>
              <w:bottom w:val="single" w:sz="2" w:space="0" w:color="000000"/>
            </w:tcBorders>
            <w:tcMar>
              <w:top w:w="28" w:type="dxa"/>
              <w:left w:w="28" w:type="dxa"/>
              <w:bottom w:w="28" w:type="dxa"/>
              <w:right w:w="28" w:type="dxa"/>
            </w:tcMar>
            <w:vAlign w:val="center"/>
          </w:tcPr>
          <w:p w14:paraId="68D9363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730" w:type="dxa"/>
            <w:tcBorders>
              <w:bottom w:val="single" w:sz="2" w:space="0" w:color="000000"/>
            </w:tcBorders>
            <w:tcMar>
              <w:top w:w="28" w:type="dxa"/>
              <w:left w:w="28" w:type="dxa"/>
              <w:bottom w:w="28" w:type="dxa"/>
              <w:right w:w="28" w:type="dxa"/>
            </w:tcMar>
            <w:vAlign w:val="center"/>
          </w:tcPr>
          <w:p w14:paraId="26553B7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117.9</w:t>
            </w:r>
          </w:p>
        </w:tc>
      </w:tr>
      <w:tr w:rsidR="00B03AB3" w14:paraId="290ED2F6" w14:textId="77777777">
        <w:trPr>
          <w:trHeight w:val="477"/>
        </w:trPr>
        <w:tc>
          <w:tcPr>
            <w:tcW w:w="2834" w:type="dxa"/>
            <w:tcBorders>
              <w:top w:val="single" w:sz="6" w:space="0" w:color="000000"/>
              <w:bottom w:val="single" w:sz="6" w:space="0" w:color="000000"/>
            </w:tcBorders>
            <w:vAlign w:val="center"/>
          </w:tcPr>
          <w:p w14:paraId="2F872C6F" w14:textId="5F23F878"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Global Models</w:t>
            </w:r>
          </w:p>
        </w:tc>
        <w:tc>
          <w:tcPr>
            <w:tcW w:w="3290" w:type="dxa"/>
            <w:gridSpan w:val="6"/>
            <w:tcBorders>
              <w:top w:val="single" w:sz="6" w:space="0" w:color="000000"/>
              <w:left w:val="single" w:sz="2" w:space="0" w:color="000000"/>
              <w:bottom w:val="single" w:sz="6" w:space="0" w:color="000000"/>
              <w:right w:val="single" w:sz="2" w:space="0" w:color="000000"/>
            </w:tcBorders>
            <w:vAlign w:val="center"/>
          </w:tcPr>
          <w:p w14:paraId="330DE0C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Ecosystem</w:t>
            </w:r>
          </w:p>
        </w:tc>
        <w:tc>
          <w:tcPr>
            <w:tcW w:w="3287" w:type="dxa"/>
            <w:gridSpan w:val="6"/>
            <w:tcBorders>
              <w:top w:val="single" w:sz="6" w:space="0" w:color="000000"/>
              <w:bottom w:val="single" w:sz="6" w:space="0" w:color="000000"/>
            </w:tcBorders>
            <w:vAlign w:val="center"/>
          </w:tcPr>
          <w:p w14:paraId="57796D6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Ecological level</w:t>
            </w:r>
          </w:p>
        </w:tc>
      </w:tr>
      <w:tr w:rsidR="00B03AB3" w14:paraId="2338D57C" w14:textId="77777777">
        <w:trPr>
          <w:trHeight w:val="256"/>
        </w:trPr>
        <w:tc>
          <w:tcPr>
            <w:tcW w:w="2834" w:type="dxa"/>
            <w:tcBorders>
              <w:bottom w:val="single" w:sz="2" w:space="0" w:color="000000"/>
            </w:tcBorders>
            <w:tcMar>
              <w:top w:w="28" w:type="dxa"/>
              <w:left w:w="28" w:type="dxa"/>
              <w:bottom w:w="28" w:type="dxa"/>
              <w:right w:w="28" w:type="dxa"/>
            </w:tcMar>
            <w:vAlign w:val="center"/>
          </w:tcPr>
          <w:p w14:paraId="16531A52" w14:textId="02000A6F"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Distribution selection</w:t>
            </w:r>
          </w:p>
        </w:tc>
        <w:tc>
          <w:tcPr>
            <w:tcW w:w="1099" w:type="dxa"/>
            <w:gridSpan w:val="2"/>
            <w:tcBorders>
              <w:left w:val="single" w:sz="2" w:space="0" w:color="000000"/>
              <w:bottom w:val="single" w:sz="2" w:space="0" w:color="000000"/>
            </w:tcBorders>
            <w:vAlign w:val="center"/>
          </w:tcPr>
          <w:p w14:paraId="21E4D70B"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1094" w:type="dxa"/>
            <w:gridSpan w:val="2"/>
            <w:tcBorders>
              <w:bottom w:val="single" w:sz="2" w:space="0" w:color="000000"/>
            </w:tcBorders>
            <w:vAlign w:val="center"/>
          </w:tcPr>
          <w:p w14:paraId="0D5CB06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1097" w:type="dxa"/>
            <w:gridSpan w:val="2"/>
            <w:tcBorders>
              <w:bottom w:val="single" w:sz="2" w:space="0" w:color="000000"/>
              <w:right w:val="single" w:sz="2" w:space="0" w:color="000000"/>
            </w:tcBorders>
            <w:vAlign w:val="center"/>
          </w:tcPr>
          <w:p w14:paraId="4D2A6B9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c>
          <w:tcPr>
            <w:tcW w:w="1095" w:type="dxa"/>
            <w:gridSpan w:val="2"/>
            <w:tcBorders>
              <w:bottom w:val="single" w:sz="2" w:space="0" w:color="000000"/>
            </w:tcBorders>
            <w:vAlign w:val="center"/>
          </w:tcPr>
          <w:p w14:paraId="5765C48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1097" w:type="dxa"/>
            <w:gridSpan w:val="2"/>
            <w:tcBorders>
              <w:bottom w:val="single" w:sz="2" w:space="0" w:color="000000"/>
            </w:tcBorders>
            <w:vAlign w:val="center"/>
          </w:tcPr>
          <w:p w14:paraId="3CB5DCE8"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1095" w:type="dxa"/>
            <w:gridSpan w:val="2"/>
            <w:tcBorders>
              <w:bottom w:val="single" w:sz="2" w:space="0" w:color="000000"/>
            </w:tcBorders>
            <w:vAlign w:val="center"/>
          </w:tcPr>
          <w:p w14:paraId="56790CC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r>
      <w:tr w:rsidR="00B03AB3" w14:paraId="60C8E1D4" w14:textId="77777777">
        <w:trPr>
          <w:trHeight w:val="256"/>
        </w:trPr>
        <w:tc>
          <w:tcPr>
            <w:tcW w:w="2834" w:type="dxa"/>
            <w:vAlign w:val="center"/>
          </w:tcPr>
          <w:p w14:paraId="42A24EEC" w14:textId="569CFAF2"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Poisson</w:t>
            </w:r>
          </w:p>
        </w:tc>
        <w:tc>
          <w:tcPr>
            <w:tcW w:w="1099" w:type="dxa"/>
            <w:gridSpan w:val="2"/>
            <w:tcBorders>
              <w:left w:val="single" w:sz="2" w:space="0" w:color="000000"/>
            </w:tcBorders>
            <w:vAlign w:val="center"/>
          </w:tcPr>
          <w:p w14:paraId="4EA6717F" w14:textId="77777777" w:rsidR="00B03AB3" w:rsidRDefault="00000000" w:rsidP="00915440">
            <w:pPr>
              <w:pStyle w:val="PreformattedText"/>
              <w:jc w:val="center"/>
              <w:rPr>
                <w:rFonts w:ascii="Times New Roman" w:eastAsia="Times New Roman" w:hAnsi="Times New Roman" w:cs="Times New Roman"/>
                <w:b/>
                <w:bCs/>
                <w:color w:val="4EA72E" w:themeColor="accent6"/>
                <w:sz w:val="18"/>
                <w:szCs w:val="18"/>
              </w:rPr>
            </w:pPr>
            <w:bookmarkStart w:id="1" w:name="rstudio_console_output7"/>
            <w:bookmarkEnd w:id="1"/>
            <w:r>
              <w:rPr>
                <w:rFonts w:ascii="Times New Roman" w:eastAsia="Times New Roman" w:hAnsi="Times New Roman" w:cs="Times New Roman"/>
                <w:b/>
                <w:bCs/>
                <w:color w:val="000000"/>
                <w:sz w:val="18"/>
                <w:szCs w:val="18"/>
              </w:rPr>
              <w:t>145.9</w:t>
            </w:r>
          </w:p>
        </w:tc>
        <w:tc>
          <w:tcPr>
            <w:tcW w:w="1094" w:type="dxa"/>
            <w:gridSpan w:val="2"/>
            <w:vAlign w:val="center"/>
          </w:tcPr>
          <w:p w14:paraId="2598DEE6"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w:t>
            </w:r>
          </w:p>
        </w:tc>
        <w:tc>
          <w:tcPr>
            <w:tcW w:w="1097" w:type="dxa"/>
            <w:gridSpan w:val="2"/>
            <w:tcBorders>
              <w:right w:val="single" w:sz="2" w:space="0" w:color="000000"/>
            </w:tcBorders>
            <w:vAlign w:val="center"/>
          </w:tcPr>
          <w:p w14:paraId="7BD0726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c>
          <w:tcPr>
            <w:tcW w:w="1095" w:type="dxa"/>
            <w:gridSpan w:val="2"/>
            <w:vAlign w:val="center"/>
          </w:tcPr>
          <w:p w14:paraId="6D12DDE5" w14:textId="77777777" w:rsidR="00B03AB3" w:rsidRDefault="00000000" w:rsidP="00915440">
            <w:pPr>
              <w:pStyle w:val="PreformattedText"/>
              <w:jc w:val="center"/>
              <w:rPr>
                <w:rFonts w:ascii="Times New Roman" w:eastAsia="Times New Roman" w:hAnsi="Times New Roman" w:cs="Times New Roman"/>
                <w:b/>
                <w:bCs/>
                <w:color w:val="000000"/>
                <w:sz w:val="18"/>
                <w:szCs w:val="18"/>
              </w:rPr>
            </w:pPr>
            <w:bookmarkStart w:id="2" w:name="rstudio_console_output9"/>
            <w:bookmarkEnd w:id="2"/>
            <w:r>
              <w:rPr>
                <w:rFonts w:ascii="Times New Roman" w:eastAsia="Times New Roman" w:hAnsi="Times New Roman" w:cs="Times New Roman"/>
                <w:b/>
                <w:bCs/>
                <w:color w:val="000000"/>
                <w:sz w:val="18"/>
                <w:szCs w:val="18"/>
              </w:rPr>
              <w:t>185.8</w:t>
            </w:r>
          </w:p>
        </w:tc>
        <w:tc>
          <w:tcPr>
            <w:tcW w:w="1097" w:type="dxa"/>
            <w:gridSpan w:val="2"/>
            <w:vAlign w:val="center"/>
          </w:tcPr>
          <w:p w14:paraId="44240AA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w:t>
            </w:r>
          </w:p>
        </w:tc>
        <w:tc>
          <w:tcPr>
            <w:tcW w:w="1095" w:type="dxa"/>
            <w:gridSpan w:val="2"/>
            <w:vAlign w:val="center"/>
          </w:tcPr>
          <w:p w14:paraId="47F3017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r>
      <w:tr w:rsidR="00B03AB3" w14:paraId="43A6BB50" w14:textId="77777777">
        <w:trPr>
          <w:trHeight w:val="256"/>
        </w:trPr>
        <w:tc>
          <w:tcPr>
            <w:tcW w:w="2834" w:type="dxa"/>
            <w:vAlign w:val="center"/>
          </w:tcPr>
          <w:p w14:paraId="733EB237" w14:textId="5F53FFB7"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Negative Binomial 2</w:t>
            </w:r>
          </w:p>
        </w:tc>
        <w:tc>
          <w:tcPr>
            <w:tcW w:w="1099" w:type="dxa"/>
            <w:gridSpan w:val="2"/>
            <w:tcBorders>
              <w:left w:val="single" w:sz="2" w:space="0" w:color="000000"/>
            </w:tcBorders>
            <w:vAlign w:val="center"/>
          </w:tcPr>
          <w:p w14:paraId="261FD75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148.4</w:t>
            </w:r>
          </w:p>
        </w:tc>
        <w:tc>
          <w:tcPr>
            <w:tcW w:w="1094" w:type="dxa"/>
            <w:gridSpan w:val="2"/>
            <w:vAlign w:val="center"/>
          </w:tcPr>
          <w:p w14:paraId="76DB90EB"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97" w:type="dxa"/>
            <w:gridSpan w:val="2"/>
            <w:tcBorders>
              <w:right w:val="single" w:sz="2" w:space="0" w:color="000000"/>
            </w:tcBorders>
            <w:vAlign w:val="center"/>
          </w:tcPr>
          <w:p w14:paraId="168E54F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1095" w:type="dxa"/>
            <w:gridSpan w:val="2"/>
            <w:vAlign w:val="center"/>
          </w:tcPr>
          <w:p w14:paraId="2AD4227F" w14:textId="77777777" w:rsidR="00B03AB3" w:rsidRDefault="00000000" w:rsidP="00915440">
            <w:pPr>
              <w:pStyle w:val="PreformattedText"/>
              <w:jc w:val="center"/>
              <w:rPr>
                <w:rFonts w:ascii="Times New Roman" w:eastAsia="Times New Roman" w:hAnsi="Times New Roman" w:cs="Times New Roman"/>
                <w:color w:val="000000"/>
                <w:sz w:val="18"/>
                <w:szCs w:val="18"/>
              </w:rPr>
            </w:pPr>
            <w:bookmarkStart w:id="3" w:name="rstudio_console_output10"/>
            <w:bookmarkEnd w:id="3"/>
            <w:r>
              <w:rPr>
                <w:rFonts w:ascii="Times New Roman" w:eastAsia="Times New Roman" w:hAnsi="Times New Roman" w:cs="Times New Roman"/>
                <w:color w:val="000000"/>
                <w:sz w:val="18"/>
                <w:szCs w:val="18"/>
              </w:rPr>
              <w:t>188.3</w:t>
            </w:r>
          </w:p>
        </w:tc>
        <w:tc>
          <w:tcPr>
            <w:tcW w:w="1097" w:type="dxa"/>
            <w:gridSpan w:val="2"/>
            <w:vAlign w:val="center"/>
          </w:tcPr>
          <w:p w14:paraId="1AA1B77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95" w:type="dxa"/>
            <w:gridSpan w:val="2"/>
            <w:vAlign w:val="center"/>
          </w:tcPr>
          <w:p w14:paraId="5E10803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r>
      <w:tr w:rsidR="00B03AB3" w14:paraId="591F627A" w14:textId="77777777">
        <w:trPr>
          <w:trHeight w:val="256"/>
        </w:trPr>
        <w:tc>
          <w:tcPr>
            <w:tcW w:w="2834" w:type="dxa"/>
            <w:vAlign w:val="center"/>
          </w:tcPr>
          <w:p w14:paraId="00DF624B" w14:textId="3485EC3E"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Negative Binomial 1</w:t>
            </w:r>
          </w:p>
        </w:tc>
        <w:tc>
          <w:tcPr>
            <w:tcW w:w="1099" w:type="dxa"/>
            <w:gridSpan w:val="2"/>
            <w:tcBorders>
              <w:left w:val="single" w:sz="2" w:space="0" w:color="000000"/>
            </w:tcBorders>
            <w:vAlign w:val="center"/>
          </w:tcPr>
          <w:p w14:paraId="1AE85508"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148.3</w:t>
            </w:r>
          </w:p>
        </w:tc>
        <w:tc>
          <w:tcPr>
            <w:tcW w:w="1094" w:type="dxa"/>
            <w:gridSpan w:val="2"/>
            <w:vAlign w:val="center"/>
          </w:tcPr>
          <w:p w14:paraId="729DE7E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97" w:type="dxa"/>
            <w:gridSpan w:val="2"/>
            <w:tcBorders>
              <w:right w:val="single" w:sz="2" w:space="0" w:color="000000"/>
            </w:tcBorders>
            <w:vAlign w:val="center"/>
          </w:tcPr>
          <w:p w14:paraId="6F1CD17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c>
          <w:tcPr>
            <w:tcW w:w="1095" w:type="dxa"/>
            <w:gridSpan w:val="2"/>
            <w:vAlign w:val="center"/>
          </w:tcPr>
          <w:p w14:paraId="603D244F"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190.8</w:t>
            </w:r>
          </w:p>
        </w:tc>
        <w:tc>
          <w:tcPr>
            <w:tcW w:w="1097" w:type="dxa"/>
            <w:gridSpan w:val="2"/>
            <w:vAlign w:val="center"/>
          </w:tcPr>
          <w:p w14:paraId="0D246AF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095" w:type="dxa"/>
            <w:gridSpan w:val="2"/>
            <w:vAlign w:val="center"/>
          </w:tcPr>
          <w:p w14:paraId="0FE1CE3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w:t>
            </w:r>
          </w:p>
        </w:tc>
      </w:tr>
      <w:tr w:rsidR="00B03AB3" w14:paraId="560979C5" w14:textId="77777777">
        <w:trPr>
          <w:trHeight w:val="256"/>
        </w:trPr>
        <w:tc>
          <w:tcPr>
            <w:tcW w:w="2834" w:type="dxa"/>
            <w:vAlign w:val="center"/>
          </w:tcPr>
          <w:p w14:paraId="4B6E4645" w14:textId="10C4DB6C"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Zero-truncated Poisson</w:t>
            </w:r>
          </w:p>
        </w:tc>
        <w:tc>
          <w:tcPr>
            <w:tcW w:w="1099" w:type="dxa"/>
            <w:gridSpan w:val="2"/>
            <w:tcBorders>
              <w:left w:val="single" w:sz="2" w:space="0" w:color="000000"/>
            </w:tcBorders>
            <w:vAlign w:val="center"/>
          </w:tcPr>
          <w:p w14:paraId="0055341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175.4</w:t>
            </w:r>
          </w:p>
        </w:tc>
        <w:tc>
          <w:tcPr>
            <w:tcW w:w="1094" w:type="dxa"/>
            <w:gridSpan w:val="2"/>
            <w:vAlign w:val="center"/>
          </w:tcPr>
          <w:p w14:paraId="1D0ADF7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97" w:type="dxa"/>
            <w:gridSpan w:val="2"/>
            <w:tcBorders>
              <w:right w:val="single" w:sz="2" w:space="0" w:color="000000"/>
            </w:tcBorders>
            <w:vAlign w:val="center"/>
          </w:tcPr>
          <w:p w14:paraId="67471C9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w:t>
            </w:r>
          </w:p>
        </w:tc>
        <w:tc>
          <w:tcPr>
            <w:tcW w:w="1095" w:type="dxa"/>
            <w:gridSpan w:val="2"/>
            <w:vAlign w:val="center"/>
          </w:tcPr>
          <w:p w14:paraId="478217D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220.5</w:t>
            </w:r>
          </w:p>
        </w:tc>
        <w:tc>
          <w:tcPr>
            <w:tcW w:w="1097" w:type="dxa"/>
            <w:gridSpan w:val="2"/>
            <w:vAlign w:val="center"/>
          </w:tcPr>
          <w:p w14:paraId="1D3DECF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95" w:type="dxa"/>
            <w:gridSpan w:val="2"/>
            <w:vAlign w:val="center"/>
          </w:tcPr>
          <w:p w14:paraId="17DA902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34.7</w:t>
            </w:r>
          </w:p>
        </w:tc>
      </w:tr>
      <w:tr w:rsidR="00B03AB3" w14:paraId="72B7DE33" w14:textId="77777777">
        <w:trPr>
          <w:cantSplit/>
          <w:trHeight w:val="256"/>
        </w:trPr>
        <w:tc>
          <w:tcPr>
            <w:tcW w:w="2834" w:type="dxa"/>
            <w:vAlign w:val="center"/>
          </w:tcPr>
          <w:p w14:paraId="7D500F0F" w14:textId="6B2269FD"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Zero-truncated Negative Binomial 2</w:t>
            </w:r>
          </w:p>
        </w:tc>
        <w:tc>
          <w:tcPr>
            <w:tcW w:w="1099" w:type="dxa"/>
            <w:gridSpan w:val="2"/>
            <w:tcBorders>
              <w:left w:val="single" w:sz="2" w:space="0" w:color="000000"/>
            </w:tcBorders>
            <w:vAlign w:val="center"/>
          </w:tcPr>
          <w:p w14:paraId="6E2C7D22"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178.1</w:t>
            </w:r>
          </w:p>
        </w:tc>
        <w:tc>
          <w:tcPr>
            <w:tcW w:w="1094" w:type="dxa"/>
            <w:gridSpan w:val="2"/>
            <w:vAlign w:val="center"/>
          </w:tcPr>
          <w:p w14:paraId="3CBA124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97" w:type="dxa"/>
            <w:gridSpan w:val="2"/>
            <w:tcBorders>
              <w:right w:val="single" w:sz="2" w:space="0" w:color="000000"/>
            </w:tcBorders>
            <w:vAlign w:val="center"/>
          </w:tcPr>
          <w:p w14:paraId="5978B82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32.2</w:t>
            </w:r>
          </w:p>
        </w:tc>
        <w:tc>
          <w:tcPr>
            <w:tcW w:w="1095" w:type="dxa"/>
            <w:gridSpan w:val="2"/>
            <w:vAlign w:val="center"/>
          </w:tcPr>
          <w:p w14:paraId="3C02654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223.0</w:t>
            </w:r>
          </w:p>
        </w:tc>
        <w:tc>
          <w:tcPr>
            <w:tcW w:w="1097" w:type="dxa"/>
            <w:gridSpan w:val="2"/>
            <w:vAlign w:val="center"/>
          </w:tcPr>
          <w:p w14:paraId="21A1E311"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095" w:type="dxa"/>
            <w:gridSpan w:val="2"/>
            <w:vAlign w:val="center"/>
          </w:tcPr>
          <w:p w14:paraId="6D8E2B2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37.2</w:t>
            </w:r>
          </w:p>
        </w:tc>
      </w:tr>
      <w:tr w:rsidR="00B03AB3" w14:paraId="115A4341" w14:textId="77777777">
        <w:trPr>
          <w:trHeight w:val="256"/>
        </w:trPr>
        <w:tc>
          <w:tcPr>
            <w:tcW w:w="2834" w:type="dxa"/>
            <w:vAlign w:val="center"/>
          </w:tcPr>
          <w:p w14:paraId="57F7CAA6" w14:textId="2249121D"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Zero-truncated Negative Binomial 1</w:t>
            </w:r>
          </w:p>
        </w:tc>
        <w:tc>
          <w:tcPr>
            <w:tcW w:w="1099" w:type="dxa"/>
            <w:gridSpan w:val="2"/>
            <w:tcBorders>
              <w:left w:val="single" w:sz="2" w:space="0" w:color="000000"/>
            </w:tcBorders>
            <w:vAlign w:val="center"/>
          </w:tcPr>
          <w:p w14:paraId="15BE4A3C"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094" w:type="dxa"/>
            <w:gridSpan w:val="2"/>
            <w:vAlign w:val="center"/>
          </w:tcPr>
          <w:p w14:paraId="68AED84D"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97" w:type="dxa"/>
            <w:gridSpan w:val="2"/>
            <w:tcBorders>
              <w:right w:val="single" w:sz="2" w:space="0" w:color="000000"/>
            </w:tcBorders>
            <w:vAlign w:val="center"/>
          </w:tcPr>
          <w:p w14:paraId="6D93BE19"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095" w:type="dxa"/>
            <w:gridSpan w:val="2"/>
            <w:vAlign w:val="center"/>
          </w:tcPr>
          <w:p w14:paraId="7E9F9063"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097" w:type="dxa"/>
            <w:gridSpan w:val="2"/>
            <w:vAlign w:val="center"/>
          </w:tcPr>
          <w:p w14:paraId="3BD39E45"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095" w:type="dxa"/>
            <w:gridSpan w:val="2"/>
            <w:vAlign w:val="center"/>
          </w:tcPr>
          <w:p w14:paraId="23E6F9E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B03AB3" w14:paraId="686E360A" w14:textId="77777777">
        <w:trPr>
          <w:trHeight w:val="256"/>
        </w:trPr>
        <w:tc>
          <w:tcPr>
            <w:tcW w:w="2834" w:type="dxa"/>
            <w:tcBorders>
              <w:top w:val="single" w:sz="2" w:space="0" w:color="000000"/>
              <w:bottom w:val="single" w:sz="2" w:space="0" w:color="000000"/>
            </w:tcBorders>
            <w:tcMar>
              <w:top w:w="28" w:type="dxa"/>
              <w:left w:w="28" w:type="dxa"/>
              <w:bottom w:w="28" w:type="dxa"/>
              <w:right w:w="28" w:type="dxa"/>
            </w:tcMar>
            <w:vAlign w:val="center"/>
          </w:tcPr>
          <w:p w14:paraId="419A6926" w14:textId="6848981B" w:rsidR="00B03AB3" w:rsidRDefault="00000000" w:rsidP="00915440">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Model fit Selection</w:t>
            </w:r>
          </w:p>
        </w:tc>
        <w:tc>
          <w:tcPr>
            <w:tcW w:w="1099" w:type="dxa"/>
            <w:gridSpan w:val="2"/>
            <w:tcBorders>
              <w:top w:val="single" w:sz="2" w:space="0" w:color="000000"/>
              <w:left w:val="single" w:sz="2" w:space="0" w:color="000000"/>
              <w:bottom w:val="single" w:sz="2" w:space="0" w:color="000000"/>
            </w:tcBorders>
            <w:vAlign w:val="center"/>
          </w:tcPr>
          <w:p w14:paraId="08E2AA8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1094" w:type="dxa"/>
            <w:gridSpan w:val="2"/>
            <w:tcBorders>
              <w:top w:val="single" w:sz="2" w:space="0" w:color="000000"/>
              <w:bottom w:val="single" w:sz="2" w:space="0" w:color="000000"/>
            </w:tcBorders>
            <w:vAlign w:val="center"/>
          </w:tcPr>
          <w:p w14:paraId="38E229E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1097" w:type="dxa"/>
            <w:gridSpan w:val="2"/>
            <w:tcBorders>
              <w:top w:val="single" w:sz="2" w:space="0" w:color="000000"/>
              <w:bottom w:val="single" w:sz="2" w:space="0" w:color="000000"/>
              <w:right w:val="single" w:sz="2" w:space="0" w:color="000000"/>
            </w:tcBorders>
            <w:vAlign w:val="center"/>
          </w:tcPr>
          <w:p w14:paraId="4A4BEAC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c>
          <w:tcPr>
            <w:tcW w:w="1095" w:type="dxa"/>
            <w:gridSpan w:val="2"/>
            <w:tcBorders>
              <w:top w:val="single" w:sz="2" w:space="0" w:color="000000"/>
              <w:bottom w:val="single" w:sz="2" w:space="0" w:color="000000"/>
            </w:tcBorders>
            <w:vAlign w:val="center"/>
          </w:tcPr>
          <w:p w14:paraId="6101264B"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AICc</w:t>
            </w:r>
          </w:p>
        </w:tc>
        <w:tc>
          <w:tcPr>
            <w:tcW w:w="1097" w:type="dxa"/>
            <w:gridSpan w:val="2"/>
            <w:tcBorders>
              <w:top w:val="single" w:sz="2" w:space="0" w:color="000000"/>
              <w:bottom w:val="single" w:sz="2" w:space="0" w:color="000000"/>
            </w:tcBorders>
            <w:vAlign w:val="center"/>
          </w:tcPr>
          <w:p w14:paraId="75E33E3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df</w:t>
            </w:r>
          </w:p>
        </w:tc>
        <w:tc>
          <w:tcPr>
            <w:tcW w:w="1095" w:type="dxa"/>
            <w:gridSpan w:val="2"/>
            <w:tcBorders>
              <w:top w:val="single" w:sz="2" w:space="0" w:color="000000"/>
              <w:bottom w:val="single" w:sz="2" w:space="0" w:color="000000"/>
            </w:tcBorders>
            <w:vAlign w:val="center"/>
          </w:tcPr>
          <w:p w14:paraId="73E2AD4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ΔAICc</w:t>
            </w:r>
          </w:p>
        </w:tc>
      </w:tr>
      <w:tr w:rsidR="00B03AB3" w14:paraId="0E545FA6" w14:textId="77777777">
        <w:trPr>
          <w:trHeight w:val="256"/>
        </w:trPr>
        <w:tc>
          <w:tcPr>
            <w:tcW w:w="2834" w:type="dxa"/>
            <w:vAlign w:val="center"/>
          </w:tcPr>
          <w:p w14:paraId="44880E17" w14:textId="44003F24" w:rsidR="00B03AB3" w:rsidRDefault="00000000" w:rsidP="00915440">
            <w:pP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Individual fixed effect model</w:t>
            </w:r>
          </w:p>
        </w:tc>
        <w:tc>
          <w:tcPr>
            <w:tcW w:w="1099" w:type="dxa"/>
            <w:gridSpan w:val="2"/>
            <w:tcBorders>
              <w:left w:val="single" w:sz="2" w:space="0" w:color="000000"/>
            </w:tcBorders>
            <w:vAlign w:val="center"/>
          </w:tcPr>
          <w:p w14:paraId="15094131" w14:textId="77777777" w:rsidR="00B03AB3" w:rsidRDefault="00000000" w:rsidP="00915440">
            <w:pPr>
              <w:pStyle w:val="PreformattedText"/>
              <w:jc w:val="center"/>
              <w:rPr>
                <w:rFonts w:ascii="Times New Roman" w:eastAsia="Times New Roman" w:hAnsi="Times New Roman" w:cs="Times New Roman"/>
                <w:b/>
                <w:bCs/>
                <w:color w:val="4EA72E" w:themeColor="accent6"/>
                <w:sz w:val="18"/>
                <w:szCs w:val="18"/>
              </w:rPr>
            </w:pPr>
            <w:r>
              <w:rPr>
                <w:rFonts w:ascii="Times New Roman" w:eastAsia="Times New Roman" w:hAnsi="Times New Roman" w:cs="Times New Roman"/>
                <w:b/>
                <w:bCs/>
                <w:color w:val="000000"/>
                <w:sz w:val="18"/>
                <w:szCs w:val="18"/>
              </w:rPr>
              <w:t>145.9</w:t>
            </w:r>
          </w:p>
        </w:tc>
        <w:tc>
          <w:tcPr>
            <w:tcW w:w="1094" w:type="dxa"/>
            <w:gridSpan w:val="2"/>
            <w:vAlign w:val="center"/>
          </w:tcPr>
          <w:p w14:paraId="279935F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4</w:t>
            </w:r>
          </w:p>
        </w:tc>
        <w:tc>
          <w:tcPr>
            <w:tcW w:w="1097" w:type="dxa"/>
            <w:gridSpan w:val="2"/>
            <w:tcBorders>
              <w:right w:val="single" w:sz="2" w:space="0" w:color="000000"/>
            </w:tcBorders>
            <w:vAlign w:val="center"/>
          </w:tcPr>
          <w:p w14:paraId="132FFD68"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c>
          <w:tcPr>
            <w:tcW w:w="1095" w:type="dxa"/>
            <w:gridSpan w:val="2"/>
            <w:vAlign w:val="center"/>
          </w:tcPr>
          <w:p w14:paraId="7F8D0F58" w14:textId="77777777" w:rsidR="00B03AB3" w:rsidRDefault="00000000" w:rsidP="00915440">
            <w:pPr>
              <w:pStyle w:val="PreformattedText"/>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185.8</w:t>
            </w:r>
          </w:p>
        </w:tc>
        <w:tc>
          <w:tcPr>
            <w:tcW w:w="1097" w:type="dxa"/>
            <w:gridSpan w:val="2"/>
            <w:vAlign w:val="center"/>
          </w:tcPr>
          <w:p w14:paraId="14648C29"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5</w:t>
            </w:r>
          </w:p>
        </w:tc>
        <w:tc>
          <w:tcPr>
            <w:tcW w:w="1095" w:type="dxa"/>
            <w:gridSpan w:val="2"/>
            <w:vAlign w:val="center"/>
          </w:tcPr>
          <w:p w14:paraId="6F6BB52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w:t>
            </w:r>
          </w:p>
        </w:tc>
      </w:tr>
      <w:tr w:rsidR="00B03AB3" w14:paraId="5FE333ED" w14:textId="77777777">
        <w:trPr>
          <w:trHeight w:val="256"/>
        </w:trPr>
        <w:tc>
          <w:tcPr>
            <w:tcW w:w="2834" w:type="dxa"/>
            <w:tcBorders>
              <w:bottom w:val="single" w:sz="2" w:space="0" w:color="000000"/>
            </w:tcBorders>
            <w:tcMar>
              <w:top w:w="28" w:type="dxa"/>
              <w:left w:w="28" w:type="dxa"/>
              <w:bottom w:w="28" w:type="dxa"/>
              <w:right w:w="28" w:type="dxa"/>
            </w:tcMar>
            <w:vAlign w:val="center"/>
          </w:tcPr>
          <w:p w14:paraId="5D2819CC" w14:textId="5883212B" w:rsidR="00B03AB3" w:rsidRDefault="00000000" w:rsidP="00915440">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Null model</w:t>
            </w:r>
          </w:p>
        </w:tc>
        <w:tc>
          <w:tcPr>
            <w:tcW w:w="1099" w:type="dxa"/>
            <w:gridSpan w:val="2"/>
            <w:tcBorders>
              <w:left w:val="single" w:sz="2" w:space="0" w:color="000000"/>
              <w:bottom w:val="single" w:sz="2" w:space="0" w:color="000000"/>
            </w:tcBorders>
            <w:vAlign w:val="center"/>
          </w:tcPr>
          <w:p w14:paraId="74CECE03" w14:textId="77777777" w:rsidR="00B03AB3" w:rsidRDefault="00000000" w:rsidP="00915440">
            <w:pPr>
              <w:pStyle w:val="PreformattedText"/>
              <w:jc w:val="center"/>
              <w:rPr>
                <w:rFonts w:ascii="Times New Roman" w:eastAsia="Times New Roman" w:hAnsi="Times New Roman" w:cs="Times New Roman"/>
                <w:color w:val="000000"/>
                <w:sz w:val="18"/>
                <w:szCs w:val="18"/>
              </w:rPr>
            </w:pPr>
            <w:bookmarkStart w:id="4" w:name="rstudio_console_output8"/>
            <w:bookmarkEnd w:id="4"/>
            <w:r>
              <w:rPr>
                <w:rFonts w:ascii="Times New Roman" w:eastAsia="Times New Roman" w:hAnsi="Times New Roman" w:cs="Times New Roman"/>
                <w:color w:val="000000"/>
                <w:sz w:val="18"/>
                <w:szCs w:val="18"/>
              </w:rPr>
              <w:t>249.3</w:t>
            </w:r>
          </w:p>
        </w:tc>
        <w:tc>
          <w:tcPr>
            <w:tcW w:w="1094" w:type="dxa"/>
            <w:gridSpan w:val="2"/>
            <w:tcBorders>
              <w:bottom w:val="single" w:sz="2" w:space="0" w:color="000000"/>
            </w:tcBorders>
            <w:vAlign w:val="center"/>
          </w:tcPr>
          <w:p w14:paraId="57AB747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097" w:type="dxa"/>
            <w:gridSpan w:val="2"/>
            <w:tcBorders>
              <w:bottom w:val="single" w:sz="2" w:space="0" w:color="000000"/>
              <w:right w:val="single" w:sz="2" w:space="0" w:color="000000"/>
            </w:tcBorders>
            <w:vAlign w:val="center"/>
          </w:tcPr>
          <w:p w14:paraId="7BA916D4"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103.5</w:t>
            </w:r>
          </w:p>
        </w:tc>
        <w:tc>
          <w:tcPr>
            <w:tcW w:w="1095" w:type="dxa"/>
            <w:gridSpan w:val="2"/>
            <w:tcBorders>
              <w:bottom w:val="single" w:sz="2" w:space="0" w:color="000000"/>
            </w:tcBorders>
            <w:vAlign w:val="center"/>
          </w:tcPr>
          <w:p w14:paraId="16A0C1BA"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243.2</w:t>
            </w:r>
          </w:p>
        </w:tc>
        <w:tc>
          <w:tcPr>
            <w:tcW w:w="1097" w:type="dxa"/>
            <w:gridSpan w:val="2"/>
            <w:tcBorders>
              <w:bottom w:val="single" w:sz="2" w:space="0" w:color="000000"/>
            </w:tcBorders>
            <w:vAlign w:val="center"/>
          </w:tcPr>
          <w:p w14:paraId="297C039E"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095" w:type="dxa"/>
            <w:gridSpan w:val="2"/>
            <w:tcBorders>
              <w:bottom w:val="single" w:sz="2" w:space="0" w:color="000000"/>
            </w:tcBorders>
            <w:vAlign w:val="center"/>
          </w:tcPr>
          <w:p w14:paraId="1B1103D7" w14:textId="77777777" w:rsidR="00B03AB3" w:rsidRDefault="00000000" w:rsidP="009154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57.3</w:t>
            </w:r>
          </w:p>
        </w:tc>
      </w:tr>
    </w:tbl>
    <w:p w14:paraId="07459315" w14:textId="77777777" w:rsidR="00B03AB3" w:rsidRDefault="00000000" w:rsidP="00915440">
      <w:pPr>
        <w:rPr>
          <w:rFonts w:ascii="Times New Roman" w:eastAsia="Times New Roman" w:hAnsi="Times New Roman" w:cs="Times New Roman"/>
          <w:b/>
          <w:bCs/>
        </w:rPr>
      </w:pPr>
      <w:r>
        <w:br w:type="page"/>
      </w:r>
    </w:p>
    <w:p w14:paraId="6537F28F" w14:textId="5A799900" w:rsidR="00B03AB3" w:rsidRDefault="000420E0" w:rsidP="00915440">
      <w:pPr>
        <w:rPr>
          <w:rFonts w:ascii="Times New Roman" w:eastAsia="Times New Roman" w:hAnsi="Times New Roman" w:cs="Times New Roman"/>
        </w:rPr>
      </w:pPr>
      <w:r w:rsidRPr="000420E0">
        <w:rPr>
          <w:rFonts w:ascii="Times New Roman" w:eastAsia="Times New Roman" w:hAnsi="Times New Roman" w:cs="Times New Roman"/>
          <w:b/>
          <w:bCs/>
        </w:rPr>
        <w:lastRenderedPageBreak/>
        <w:t>Table S6.</w:t>
      </w:r>
      <w:r w:rsidRPr="000420E0">
        <w:rPr>
          <w:rFonts w:ascii="Times New Roman" w:eastAsia="Times New Roman" w:hAnsi="Times New Roman" w:cs="Times New Roman"/>
        </w:rPr>
        <w:t xml:space="preserve"> Pairwise contrasts in estimated publication counts among factor levels from the individual </w:t>
      </w:r>
      <w:r w:rsidRPr="000420E0">
        <w:rPr>
          <w:rFonts w:ascii="Times New Roman" w:eastAsia="Times New Roman" w:hAnsi="Times New Roman" w:cs="Times New Roman"/>
          <w:smallCaps/>
        </w:rPr>
        <w:t>glmmTMB</w:t>
      </w:r>
      <w:r w:rsidRPr="000420E0">
        <w:rPr>
          <w:rFonts w:ascii="Times New Roman" w:eastAsia="Times New Roman" w:hAnsi="Times New Roman" w:cs="Times New Roman"/>
        </w:rPr>
        <w:t xml:space="preserve"> models used for post hoc comparisons. Ratios, standard errors, z-ratios, and adjusted p-values are shown for comparisons among estimated marginal means. Groups were defined based on significant pairwise differences; letters are ordered from higher to lower publication counts (a &gt; b &gt; c &gt; d &gt; e).</w:t>
      </w:r>
    </w:p>
    <w:p w14:paraId="4C262394" w14:textId="77777777" w:rsidR="000420E0" w:rsidRDefault="000420E0" w:rsidP="00915440">
      <w:pPr>
        <w:rPr>
          <w:rFonts w:ascii="Times New Roman" w:eastAsia="Times New Roman" w:hAnsi="Times New Roman" w:cs="Times New Roman"/>
        </w:rPr>
      </w:pPr>
    </w:p>
    <w:tbl>
      <w:tblPr>
        <w:tblW w:w="9210" w:type="dxa"/>
        <w:tblInd w:w="85" w:type="dxa"/>
        <w:tblCellMar>
          <w:left w:w="0" w:type="dxa"/>
          <w:right w:w="0" w:type="dxa"/>
        </w:tblCellMar>
        <w:tblLook w:val="04A0" w:firstRow="1" w:lastRow="0" w:firstColumn="1" w:lastColumn="0" w:noHBand="0" w:noVBand="1"/>
      </w:tblPr>
      <w:tblGrid>
        <w:gridCol w:w="3797"/>
        <w:gridCol w:w="967"/>
        <w:gridCol w:w="623"/>
        <w:gridCol w:w="794"/>
        <w:gridCol w:w="849"/>
        <w:gridCol w:w="2180"/>
      </w:tblGrid>
      <w:tr w:rsidR="00B03AB3" w14:paraId="0DA7717E" w14:textId="77777777">
        <w:trPr>
          <w:trHeight w:val="477"/>
        </w:trPr>
        <w:tc>
          <w:tcPr>
            <w:tcW w:w="9209" w:type="dxa"/>
            <w:gridSpan w:val="6"/>
            <w:tcBorders>
              <w:top w:val="single" w:sz="6" w:space="0" w:color="000000"/>
              <w:bottom w:val="single" w:sz="6" w:space="0" w:color="000000"/>
            </w:tcBorders>
            <w:vAlign w:val="center"/>
          </w:tcPr>
          <w:p w14:paraId="708854BE" w14:textId="25A35F48"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Biological Aspects</w:t>
            </w:r>
          </w:p>
        </w:tc>
      </w:tr>
      <w:tr w:rsidR="00B03AB3" w14:paraId="22972237" w14:textId="77777777">
        <w:trPr>
          <w:trHeight w:val="256"/>
        </w:trPr>
        <w:tc>
          <w:tcPr>
            <w:tcW w:w="3796" w:type="dxa"/>
            <w:tcBorders>
              <w:bottom w:val="single" w:sz="2" w:space="0" w:color="000000"/>
            </w:tcBorders>
            <w:tcMar>
              <w:top w:w="28" w:type="dxa"/>
              <w:left w:w="28" w:type="dxa"/>
              <w:bottom w:w="28" w:type="dxa"/>
              <w:right w:w="28" w:type="dxa"/>
            </w:tcMar>
            <w:vAlign w:val="center"/>
          </w:tcPr>
          <w:p w14:paraId="7D053F2E" w14:textId="77777777"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Contrasts</w:t>
            </w:r>
          </w:p>
        </w:tc>
        <w:tc>
          <w:tcPr>
            <w:tcW w:w="967" w:type="dxa"/>
            <w:tcBorders>
              <w:bottom w:val="single" w:sz="2" w:space="0" w:color="000000"/>
            </w:tcBorders>
            <w:tcMar>
              <w:top w:w="28" w:type="dxa"/>
              <w:left w:w="28" w:type="dxa"/>
              <w:bottom w:w="28" w:type="dxa"/>
              <w:right w:w="28" w:type="dxa"/>
            </w:tcMar>
            <w:vAlign w:val="center"/>
          </w:tcPr>
          <w:p w14:paraId="7667647F"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Ratio</w:t>
            </w:r>
          </w:p>
        </w:tc>
        <w:tc>
          <w:tcPr>
            <w:tcW w:w="623" w:type="dxa"/>
            <w:tcBorders>
              <w:bottom w:val="single" w:sz="2" w:space="0" w:color="000000"/>
            </w:tcBorders>
            <w:tcMar>
              <w:top w:w="28" w:type="dxa"/>
              <w:left w:w="28" w:type="dxa"/>
              <w:bottom w:w="28" w:type="dxa"/>
              <w:right w:w="28" w:type="dxa"/>
            </w:tcMar>
            <w:vAlign w:val="center"/>
          </w:tcPr>
          <w:p w14:paraId="5F38448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794" w:type="dxa"/>
            <w:tcBorders>
              <w:bottom w:val="single" w:sz="2" w:space="0" w:color="000000"/>
            </w:tcBorders>
            <w:tcMar>
              <w:top w:w="28" w:type="dxa"/>
              <w:left w:w="28" w:type="dxa"/>
              <w:bottom w:w="28" w:type="dxa"/>
              <w:right w:w="28" w:type="dxa"/>
            </w:tcMar>
            <w:vAlign w:val="center"/>
          </w:tcPr>
          <w:p w14:paraId="1E9E4F0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Z-Ratio</w:t>
            </w:r>
          </w:p>
        </w:tc>
        <w:tc>
          <w:tcPr>
            <w:tcW w:w="849" w:type="dxa"/>
            <w:tcBorders>
              <w:bottom w:val="single" w:sz="2" w:space="0" w:color="000000"/>
            </w:tcBorders>
            <w:tcMar>
              <w:top w:w="28" w:type="dxa"/>
              <w:left w:w="28" w:type="dxa"/>
              <w:bottom w:w="28" w:type="dxa"/>
              <w:right w:w="28" w:type="dxa"/>
            </w:tcMar>
            <w:vAlign w:val="center"/>
          </w:tcPr>
          <w:p w14:paraId="0C3A129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P-value</w:t>
            </w:r>
          </w:p>
        </w:tc>
        <w:tc>
          <w:tcPr>
            <w:tcW w:w="2180" w:type="dxa"/>
            <w:tcBorders>
              <w:bottom w:val="single" w:sz="2" w:space="0" w:color="000000"/>
            </w:tcBorders>
            <w:tcMar>
              <w:top w:w="28" w:type="dxa"/>
              <w:left w:w="28" w:type="dxa"/>
              <w:bottom w:w="28" w:type="dxa"/>
              <w:right w:w="28" w:type="dxa"/>
            </w:tcMar>
            <w:vAlign w:val="center"/>
          </w:tcPr>
          <w:p w14:paraId="5CFC288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Groups *</w:t>
            </w:r>
          </w:p>
        </w:tc>
      </w:tr>
      <w:tr w:rsidR="00B03AB3" w14:paraId="14CDA6F2" w14:textId="77777777">
        <w:trPr>
          <w:trHeight w:val="256"/>
        </w:trPr>
        <w:tc>
          <w:tcPr>
            <w:tcW w:w="3796" w:type="dxa"/>
            <w:vAlign w:val="center"/>
          </w:tcPr>
          <w:p w14:paraId="7BFF7DEC"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 Distribution</w:t>
            </w:r>
          </w:p>
        </w:tc>
        <w:tc>
          <w:tcPr>
            <w:tcW w:w="967" w:type="dxa"/>
            <w:vAlign w:val="center"/>
          </w:tcPr>
          <w:p w14:paraId="0221D71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w:t>
            </w:r>
          </w:p>
        </w:tc>
        <w:tc>
          <w:tcPr>
            <w:tcW w:w="623" w:type="dxa"/>
            <w:vAlign w:val="center"/>
          </w:tcPr>
          <w:p w14:paraId="4C719E5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794" w:type="dxa"/>
            <w:vAlign w:val="center"/>
          </w:tcPr>
          <w:p w14:paraId="5B547FA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-5.40</w:t>
            </w:r>
          </w:p>
        </w:tc>
        <w:tc>
          <w:tcPr>
            <w:tcW w:w="849" w:type="dxa"/>
            <w:vAlign w:val="center"/>
          </w:tcPr>
          <w:p w14:paraId="5FF0B41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2ECDA458" w14:textId="77777777" w:rsidR="00B03AB3" w:rsidRDefault="00000000" w:rsidP="00915440">
            <w:pPr>
              <w:pStyle w:val="TableContents"/>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Distribution a</w:t>
            </w:r>
          </w:p>
        </w:tc>
      </w:tr>
      <w:tr w:rsidR="00B03AB3" w14:paraId="6755F1F0" w14:textId="77777777">
        <w:trPr>
          <w:trHeight w:val="256"/>
        </w:trPr>
        <w:tc>
          <w:tcPr>
            <w:tcW w:w="3796" w:type="dxa"/>
            <w:vAlign w:val="center"/>
          </w:tcPr>
          <w:p w14:paraId="1DEF1393"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 Diversity</w:t>
            </w:r>
          </w:p>
        </w:tc>
        <w:tc>
          <w:tcPr>
            <w:tcW w:w="967" w:type="dxa"/>
            <w:vAlign w:val="center"/>
          </w:tcPr>
          <w:p w14:paraId="1ABFED2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w:t>
            </w:r>
          </w:p>
        </w:tc>
        <w:tc>
          <w:tcPr>
            <w:tcW w:w="623" w:type="dxa"/>
            <w:vAlign w:val="center"/>
          </w:tcPr>
          <w:p w14:paraId="21071EF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w:t>
            </w:r>
          </w:p>
        </w:tc>
        <w:tc>
          <w:tcPr>
            <w:tcW w:w="794" w:type="dxa"/>
            <w:vAlign w:val="center"/>
          </w:tcPr>
          <w:p w14:paraId="6C92F51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c>
          <w:tcPr>
            <w:tcW w:w="849" w:type="dxa"/>
            <w:vAlign w:val="center"/>
          </w:tcPr>
          <w:p w14:paraId="0AC9A53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0.233</w:t>
            </w:r>
          </w:p>
        </w:tc>
        <w:tc>
          <w:tcPr>
            <w:tcW w:w="2180" w:type="dxa"/>
            <w:vAlign w:val="center"/>
          </w:tcPr>
          <w:p w14:paraId="1967B58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b</w:t>
            </w:r>
          </w:p>
        </w:tc>
      </w:tr>
      <w:tr w:rsidR="00B03AB3" w14:paraId="27A77F93" w14:textId="77777777">
        <w:trPr>
          <w:trHeight w:val="256"/>
        </w:trPr>
        <w:tc>
          <w:tcPr>
            <w:tcW w:w="3796" w:type="dxa"/>
            <w:vAlign w:val="center"/>
          </w:tcPr>
          <w:p w14:paraId="6CDFAB7B"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 Extinction risk</w:t>
            </w:r>
          </w:p>
        </w:tc>
        <w:tc>
          <w:tcPr>
            <w:tcW w:w="967" w:type="dxa"/>
            <w:vAlign w:val="center"/>
          </w:tcPr>
          <w:p w14:paraId="27B99E8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623" w:type="dxa"/>
            <w:vAlign w:val="center"/>
          </w:tcPr>
          <w:p w14:paraId="7773A89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0.50</w:t>
            </w:r>
          </w:p>
        </w:tc>
        <w:tc>
          <w:tcPr>
            <w:tcW w:w="794" w:type="dxa"/>
            <w:vAlign w:val="center"/>
          </w:tcPr>
          <w:p w14:paraId="4E679C3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849" w:type="dxa"/>
            <w:vAlign w:val="center"/>
          </w:tcPr>
          <w:p w14:paraId="19BAECE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2180" w:type="dxa"/>
            <w:vAlign w:val="center"/>
          </w:tcPr>
          <w:p w14:paraId="119E7B9F" w14:textId="77777777" w:rsidR="00B03AB3" w:rsidRDefault="00000000" w:rsidP="00915440">
            <w:pPr>
              <w:pStyle w:val="TableContents"/>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Diversity b</w:t>
            </w:r>
          </w:p>
        </w:tc>
      </w:tr>
      <w:tr w:rsidR="00B03AB3" w14:paraId="643F2216" w14:textId="77777777">
        <w:trPr>
          <w:trHeight w:val="256"/>
        </w:trPr>
        <w:tc>
          <w:tcPr>
            <w:tcW w:w="3796" w:type="dxa"/>
            <w:vAlign w:val="center"/>
          </w:tcPr>
          <w:p w14:paraId="376FDE52"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 Habitat suitability</w:t>
            </w:r>
          </w:p>
        </w:tc>
        <w:tc>
          <w:tcPr>
            <w:tcW w:w="967" w:type="dxa"/>
            <w:vAlign w:val="center"/>
          </w:tcPr>
          <w:p w14:paraId="110CC87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0.80</w:t>
            </w:r>
          </w:p>
        </w:tc>
        <w:tc>
          <w:tcPr>
            <w:tcW w:w="623" w:type="dxa"/>
            <w:vAlign w:val="center"/>
          </w:tcPr>
          <w:p w14:paraId="0E3FE1B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w:t>
            </w:r>
          </w:p>
        </w:tc>
        <w:tc>
          <w:tcPr>
            <w:tcW w:w="794" w:type="dxa"/>
            <w:vAlign w:val="center"/>
          </w:tcPr>
          <w:p w14:paraId="5A6325B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-0.47</w:t>
            </w:r>
          </w:p>
        </w:tc>
        <w:tc>
          <w:tcPr>
            <w:tcW w:w="849" w:type="dxa"/>
            <w:vAlign w:val="center"/>
          </w:tcPr>
          <w:p w14:paraId="3F6B605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0.999</w:t>
            </w:r>
          </w:p>
        </w:tc>
        <w:tc>
          <w:tcPr>
            <w:tcW w:w="2180" w:type="dxa"/>
            <w:vAlign w:val="center"/>
          </w:tcPr>
          <w:p w14:paraId="3069F11A" w14:textId="77777777" w:rsidR="00B03AB3" w:rsidRDefault="00000000" w:rsidP="00915440">
            <w:pPr>
              <w:pStyle w:val="TableContents"/>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Extinction risk b</w:t>
            </w:r>
          </w:p>
        </w:tc>
      </w:tr>
      <w:tr w:rsidR="00B03AB3" w14:paraId="00C08D4A" w14:textId="77777777">
        <w:trPr>
          <w:trHeight w:val="256"/>
        </w:trPr>
        <w:tc>
          <w:tcPr>
            <w:tcW w:w="3796" w:type="dxa"/>
            <w:vAlign w:val="center"/>
          </w:tcPr>
          <w:p w14:paraId="5B826BC3"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 Others</w:t>
            </w:r>
          </w:p>
        </w:tc>
        <w:tc>
          <w:tcPr>
            <w:tcW w:w="967" w:type="dxa"/>
            <w:vAlign w:val="center"/>
          </w:tcPr>
          <w:p w14:paraId="6C088D0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w:t>
            </w:r>
          </w:p>
        </w:tc>
        <w:tc>
          <w:tcPr>
            <w:tcW w:w="623" w:type="dxa"/>
            <w:vAlign w:val="center"/>
          </w:tcPr>
          <w:p w14:paraId="0E2E7C8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w:t>
            </w:r>
          </w:p>
        </w:tc>
        <w:tc>
          <w:tcPr>
            <w:tcW w:w="794" w:type="dxa"/>
            <w:vAlign w:val="center"/>
          </w:tcPr>
          <w:p w14:paraId="26D6DBF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-2.92</w:t>
            </w:r>
          </w:p>
        </w:tc>
        <w:tc>
          <w:tcPr>
            <w:tcW w:w="849" w:type="dxa"/>
            <w:vAlign w:val="center"/>
          </w:tcPr>
          <w:p w14:paraId="65005EE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0.055</w:t>
            </w:r>
          </w:p>
        </w:tc>
        <w:tc>
          <w:tcPr>
            <w:tcW w:w="2180" w:type="dxa"/>
            <w:vAlign w:val="center"/>
          </w:tcPr>
          <w:p w14:paraId="58B4CC5A" w14:textId="77777777" w:rsidR="00B03AB3" w:rsidRDefault="00000000" w:rsidP="00915440">
            <w:pPr>
              <w:pStyle w:val="TableContents"/>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Habitat suitability b</w:t>
            </w:r>
          </w:p>
        </w:tc>
      </w:tr>
      <w:tr w:rsidR="00B03AB3" w14:paraId="08896E55" w14:textId="77777777">
        <w:trPr>
          <w:trHeight w:val="256"/>
        </w:trPr>
        <w:tc>
          <w:tcPr>
            <w:tcW w:w="3796" w:type="dxa"/>
            <w:vAlign w:val="center"/>
          </w:tcPr>
          <w:p w14:paraId="7E6F7345"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Demography / Richness</w:t>
            </w:r>
          </w:p>
        </w:tc>
        <w:tc>
          <w:tcPr>
            <w:tcW w:w="967" w:type="dxa"/>
            <w:vAlign w:val="center"/>
          </w:tcPr>
          <w:p w14:paraId="2EED328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0.36</w:t>
            </w:r>
          </w:p>
        </w:tc>
        <w:tc>
          <w:tcPr>
            <w:tcW w:w="623" w:type="dxa"/>
            <w:vAlign w:val="center"/>
          </w:tcPr>
          <w:p w14:paraId="04BC05F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794" w:type="dxa"/>
            <w:vAlign w:val="center"/>
          </w:tcPr>
          <w:p w14:paraId="6DF0C80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-2.45</w:t>
            </w:r>
          </w:p>
        </w:tc>
        <w:tc>
          <w:tcPr>
            <w:tcW w:w="849" w:type="dxa"/>
            <w:vAlign w:val="center"/>
          </w:tcPr>
          <w:p w14:paraId="1277BE9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0.178</w:t>
            </w:r>
          </w:p>
        </w:tc>
        <w:tc>
          <w:tcPr>
            <w:tcW w:w="2180" w:type="dxa"/>
            <w:vAlign w:val="center"/>
          </w:tcPr>
          <w:p w14:paraId="11FDD108" w14:textId="77777777" w:rsidR="00B03AB3" w:rsidRDefault="00000000" w:rsidP="00915440">
            <w:pPr>
              <w:pStyle w:val="TableContents"/>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Richness b</w:t>
            </w:r>
          </w:p>
        </w:tc>
      </w:tr>
      <w:tr w:rsidR="00B03AB3" w14:paraId="746B7AA5" w14:textId="77777777">
        <w:trPr>
          <w:trHeight w:val="256"/>
        </w:trPr>
        <w:tc>
          <w:tcPr>
            <w:tcW w:w="3796" w:type="dxa"/>
            <w:tcMar>
              <w:left w:w="30" w:type="dxa"/>
              <w:right w:w="30" w:type="dxa"/>
            </w:tcMar>
            <w:vAlign w:val="center"/>
          </w:tcPr>
          <w:p w14:paraId="51E2FEE1"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Distribution / Diversity</w:t>
            </w:r>
          </w:p>
        </w:tc>
        <w:tc>
          <w:tcPr>
            <w:tcW w:w="967" w:type="dxa"/>
            <w:vAlign w:val="center"/>
          </w:tcPr>
          <w:p w14:paraId="1EE322C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2.90</w:t>
            </w:r>
          </w:p>
        </w:tc>
        <w:tc>
          <w:tcPr>
            <w:tcW w:w="623" w:type="dxa"/>
            <w:vAlign w:val="center"/>
          </w:tcPr>
          <w:p w14:paraId="67FC2C0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0.73</w:t>
            </w:r>
          </w:p>
        </w:tc>
        <w:tc>
          <w:tcPr>
            <w:tcW w:w="794" w:type="dxa"/>
            <w:vAlign w:val="center"/>
          </w:tcPr>
          <w:p w14:paraId="3A312AD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4.21</w:t>
            </w:r>
          </w:p>
        </w:tc>
        <w:tc>
          <w:tcPr>
            <w:tcW w:w="849" w:type="dxa"/>
            <w:vAlign w:val="center"/>
          </w:tcPr>
          <w:p w14:paraId="2E91506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7D41591F" w14:textId="77777777" w:rsidR="00B03AB3" w:rsidRDefault="00000000" w:rsidP="00915440">
            <w:pPr>
              <w:pStyle w:val="TableContents"/>
              <w:jc w:val="center"/>
              <w:rPr>
                <w:rFonts w:ascii="Times New Roman" w:eastAsia="Times New Roman" w:hAnsi="Times New Roman" w:cs="Times New Roman"/>
                <w:color w:val="4EA72E" w:themeColor="accent6"/>
                <w:sz w:val="18"/>
                <w:szCs w:val="18"/>
              </w:rPr>
            </w:pPr>
            <w:r>
              <w:rPr>
                <w:rFonts w:ascii="Times New Roman" w:eastAsia="Times New Roman" w:hAnsi="Times New Roman" w:cs="Times New Roman"/>
                <w:color w:val="000000"/>
                <w:sz w:val="18"/>
                <w:szCs w:val="18"/>
              </w:rPr>
              <w:t>Others b</w:t>
            </w:r>
          </w:p>
        </w:tc>
      </w:tr>
      <w:tr w:rsidR="00B03AB3" w14:paraId="3E74477C" w14:textId="77777777">
        <w:trPr>
          <w:trHeight w:val="256"/>
        </w:trPr>
        <w:tc>
          <w:tcPr>
            <w:tcW w:w="3796" w:type="dxa"/>
            <w:vAlign w:val="center"/>
          </w:tcPr>
          <w:p w14:paraId="6F799B56"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Distribution / Extinction risk</w:t>
            </w:r>
          </w:p>
        </w:tc>
        <w:tc>
          <w:tcPr>
            <w:tcW w:w="967" w:type="dxa"/>
            <w:vAlign w:val="center"/>
          </w:tcPr>
          <w:p w14:paraId="055890C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7.63</w:t>
            </w:r>
          </w:p>
        </w:tc>
        <w:tc>
          <w:tcPr>
            <w:tcW w:w="623" w:type="dxa"/>
            <w:vAlign w:val="center"/>
          </w:tcPr>
          <w:p w14:paraId="78F298E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2.87</w:t>
            </w:r>
          </w:p>
        </w:tc>
        <w:tc>
          <w:tcPr>
            <w:tcW w:w="794" w:type="dxa"/>
            <w:vAlign w:val="center"/>
          </w:tcPr>
          <w:p w14:paraId="4317428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5.40</w:t>
            </w:r>
          </w:p>
        </w:tc>
        <w:tc>
          <w:tcPr>
            <w:tcW w:w="849" w:type="dxa"/>
            <w:vAlign w:val="center"/>
          </w:tcPr>
          <w:p w14:paraId="6DF6CD1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6DFB9E20"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260DEC16" w14:textId="77777777">
        <w:trPr>
          <w:trHeight w:val="256"/>
        </w:trPr>
        <w:tc>
          <w:tcPr>
            <w:tcW w:w="3796" w:type="dxa"/>
            <w:vAlign w:val="center"/>
          </w:tcPr>
          <w:p w14:paraId="2FDC5DC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Distribution / Habitat suitability</w:t>
            </w:r>
          </w:p>
        </w:tc>
        <w:tc>
          <w:tcPr>
            <w:tcW w:w="967" w:type="dxa"/>
            <w:vAlign w:val="center"/>
          </w:tcPr>
          <w:p w14:paraId="6F456D8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6.10</w:t>
            </w:r>
          </w:p>
        </w:tc>
        <w:tc>
          <w:tcPr>
            <w:tcW w:w="623" w:type="dxa"/>
            <w:vAlign w:val="center"/>
          </w:tcPr>
          <w:p w14:paraId="3CA49CC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2.08</w:t>
            </w:r>
          </w:p>
        </w:tc>
        <w:tc>
          <w:tcPr>
            <w:tcW w:w="794" w:type="dxa"/>
            <w:vAlign w:val="center"/>
          </w:tcPr>
          <w:p w14:paraId="069D984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5.30</w:t>
            </w:r>
          </w:p>
        </w:tc>
        <w:tc>
          <w:tcPr>
            <w:tcW w:w="849" w:type="dxa"/>
            <w:vAlign w:val="center"/>
          </w:tcPr>
          <w:p w14:paraId="6F00A55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70DF9E56" w14:textId="77777777" w:rsidR="00B03AB3" w:rsidRDefault="00B03AB3" w:rsidP="00915440">
            <w:pPr>
              <w:pStyle w:val="TableContents"/>
              <w:jc w:val="center"/>
              <w:rPr>
                <w:rFonts w:ascii="Times New Roman" w:eastAsia="Times New Roman" w:hAnsi="Times New Roman" w:cs="Times New Roman"/>
              </w:rPr>
            </w:pPr>
          </w:p>
        </w:tc>
      </w:tr>
      <w:tr w:rsidR="00B03AB3" w14:paraId="2AA2EE0F" w14:textId="77777777">
        <w:trPr>
          <w:trHeight w:val="256"/>
        </w:trPr>
        <w:tc>
          <w:tcPr>
            <w:tcW w:w="3796" w:type="dxa"/>
            <w:vAlign w:val="center"/>
          </w:tcPr>
          <w:p w14:paraId="7022CD0A"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Distribution / Others</w:t>
            </w:r>
          </w:p>
        </w:tc>
        <w:tc>
          <w:tcPr>
            <w:tcW w:w="967" w:type="dxa"/>
            <w:vAlign w:val="center"/>
          </w:tcPr>
          <w:p w14:paraId="1815525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w:t>
            </w:r>
          </w:p>
        </w:tc>
        <w:tc>
          <w:tcPr>
            <w:tcW w:w="623" w:type="dxa"/>
            <w:vAlign w:val="center"/>
          </w:tcPr>
          <w:p w14:paraId="07210C4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0.55</w:t>
            </w:r>
          </w:p>
        </w:tc>
        <w:tc>
          <w:tcPr>
            <w:tcW w:w="794" w:type="dxa"/>
            <w:vAlign w:val="center"/>
          </w:tcPr>
          <w:p w14:paraId="6840743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3.64</w:t>
            </w:r>
          </w:p>
        </w:tc>
        <w:tc>
          <w:tcPr>
            <w:tcW w:w="849" w:type="dxa"/>
            <w:vAlign w:val="center"/>
          </w:tcPr>
          <w:p w14:paraId="2563463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0.005</w:t>
            </w:r>
          </w:p>
        </w:tc>
        <w:tc>
          <w:tcPr>
            <w:tcW w:w="2180" w:type="dxa"/>
            <w:vAlign w:val="center"/>
          </w:tcPr>
          <w:p w14:paraId="44E871BC" w14:textId="77777777" w:rsidR="00B03AB3" w:rsidRDefault="00B03AB3" w:rsidP="00915440">
            <w:pPr>
              <w:pStyle w:val="TableContents"/>
              <w:jc w:val="center"/>
              <w:rPr>
                <w:rFonts w:ascii="Times New Roman" w:eastAsia="Times New Roman" w:hAnsi="Times New Roman" w:cs="Times New Roman"/>
              </w:rPr>
            </w:pPr>
          </w:p>
        </w:tc>
      </w:tr>
      <w:tr w:rsidR="00B03AB3" w14:paraId="5C9C508C" w14:textId="77777777">
        <w:trPr>
          <w:trHeight w:val="256"/>
        </w:trPr>
        <w:tc>
          <w:tcPr>
            <w:tcW w:w="3796" w:type="dxa"/>
            <w:vAlign w:val="center"/>
          </w:tcPr>
          <w:p w14:paraId="2C735C43"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Distribution / Richness</w:t>
            </w:r>
          </w:p>
        </w:tc>
        <w:tc>
          <w:tcPr>
            <w:tcW w:w="967" w:type="dxa"/>
            <w:vAlign w:val="center"/>
          </w:tcPr>
          <w:p w14:paraId="773B9FA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2.77</w:t>
            </w:r>
          </w:p>
        </w:tc>
        <w:tc>
          <w:tcPr>
            <w:tcW w:w="623" w:type="dxa"/>
            <w:vAlign w:val="center"/>
          </w:tcPr>
          <w:p w14:paraId="1A2BD56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0.69</w:t>
            </w:r>
          </w:p>
        </w:tc>
        <w:tc>
          <w:tcPr>
            <w:tcW w:w="794" w:type="dxa"/>
            <w:vAlign w:val="center"/>
          </w:tcPr>
          <w:p w14:paraId="1F520F5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4.10</w:t>
            </w:r>
          </w:p>
        </w:tc>
        <w:tc>
          <w:tcPr>
            <w:tcW w:w="849" w:type="dxa"/>
            <w:vAlign w:val="center"/>
          </w:tcPr>
          <w:p w14:paraId="30CA47C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0.001</w:t>
            </w:r>
          </w:p>
        </w:tc>
        <w:tc>
          <w:tcPr>
            <w:tcW w:w="2180" w:type="dxa"/>
            <w:vAlign w:val="center"/>
          </w:tcPr>
          <w:p w14:paraId="144A5D23" w14:textId="77777777" w:rsidR="00B03AB3" w:rsidRDefault="00B03AB3" w:rsidP="00915440">
            <w:pPr>
              <w:pStyle w:val="TableContents"/>
              <w:jc w:val="center"/>
              <w:rPr>
                <w:rFonts w:ascii="Times New Roman" w:eastAsia="Times New Roman" w:hAnsi="Times New Roman" w:cs="Times New Roman"/>
              </w:rPr>
            </w:pPr>
          </w:p>
        </w:tc>
      </w:tr>
      <w:tr w:rsidR="00B03AB3" w14:paraId="6737D789" w14:textId="77777777">
        <w:trPr>
          <w:trHeight w:val="256"/>
        </w:trPr>
        <w:tc>
          <w:tcPr>
            <w:tcW w:w="3796" w:type="dxa"/>
            <w:vAlign w:val="center"/>
          </w:tcPr>
          <w:p w14:paraId="6DD31324"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Diversity / Extinction risk</w:t>
            </w:r>
          </w:p>
        </w:tc>
        <w:tc>
          <w:tcPr>
            <w:tcW w:w="967" w:type="dxa"/>
            <w:vAlign w:val="center"/>
          </w:tcPr>
          <w:p w14:paraId="0FBCFD0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2.63</w:t>
            </w:r>
          </w:p>
        </w:tc>
        <w:tc>
          <w:tcPr>
            <w:tcW w:w="623" w:type="dxa"/>
            <w:vAlign w:val="center"/>
          </w:tcPr>
          <w:p w14:paraId="0C34D9F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w:t>
            </w:r>
          </w:p>
        </w:tc>
        <w:tc>
          <w:tcPr>
            <w:tcW w:w="794" w:type="dxa"/>
            <w:vAlign w:val="center"/>
          </w:tcPr>
          <w:p w14:paraId="09007E0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c>
          <w:tcPr>
            <w:tcW w:w="849" w:type="dxa"/>
            <w:vAlign w:val="center"/>
          </w:tcPr>
          <w:p w14:paraId="5E4305E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0.233</w:t>
            </w:r>
          </w:p>
        </w:tc>
        <w:tc>
          <w:tcPr>
            <w:tcW w:w="2180" w:type="dxa"/>
            <w:vAlign w:val="center"/>
          </w:tcPr>
          <w:p w14:paraId="738610EB" w14:textId="77777777" w:rsidR="00B03AB3" w:rsidRDefault="00B03AB3" w:rsidP="00915440">
            <w:pPr>
              <w:pStyle w:val="TableContents"/>
              <w:jc w:val="center"/>
              <w:rPr>
                <w:rFonts w:ascii="Times New Roman" w:eastAsia="Times New Roman" w:hAnsi="Times New Roman" w:cs="Times New Roman"/>
              </w:rPr>
            </w:pPr>
          </w:p>
        </w:tc>
      </w:tr>
      <w:tr w:rsidR="00B03AB3" w14:paraId="4CE47A39" w14:textId="77777777">
        <w:trPr>
          <w:trHeight w:val="256"/>
        </w:trPr>
        <w:tc>
          <w:tcPr>
            <w:tcW w:w="3796" w:type="dxa"/>
            <w:vAlign w:val="center"/>
          </w:tcPr>
          <w:p w14:paraId="663479A6"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Diversity / Habitat suitability</w:t>
            </w:r>
          </w:p>
        </w:tc>
        <w:tc>
          <w:tcPr>
            <w:tcW w:w="967" w:type="dxa"/>
            <w:vAlign w:val="center"/>
          </w:tcPr>
          <w:p w14:paraId="4DC4774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w:t>
            </w:r>
          </w:p>
        </w:tc>
        <w:tc>
          <w:tcPr>
            <w:tcW w:w="623" w:type="dxa"/>
            <w:vAlign w:val="center"/>
          </w:tcPr>
          <w:p w14:paraId="0A4341A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0.81</w:t>
            </w:r>
          </w:p>
        </w:tc>
        <w:tc>
          <w:tcPr>
            <w:tcW w:w="794" w:type="dxa"/>
            <w:vAlign w:val="center"/>
          </w:tcPr>
          <w:p w14:paraId="76A7FCD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1.93</w:t>
            </w:r>
          </w:p>
        </w:tc>
        <w:tc>
          <w:tcPr>
            <w:tcW w:w="849" w:type="dxa"/>
            <w:vAlign w:val="center"/>
          </w:tcPr>
          <w:p w14:paraId="6D375A4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0.460</w:t>
            </w:r>
          </w:p>
        </w:tc>
        <w:tc>
          <w:tcPr>
            <w:tcW w:w="2180" w:type="dxa"/>
            <w:vAlign w:val="center"/>
          </w:tcPr>
          <w:p w14:paraId="637805D2" w14:textId="77777777" w:rsidR="00B03AB3" w:rsidRDefault="00B03AB3" w:rsidP="00915440">
            <w:pPr>
              <w:pStyle w:val="TableContents"/>
              <w:jc w:val="center"/>
              <w:rPr>
                <w:rFonts w:ascii="Times New Roman" w:eastAsia="Times New Roman" w:hAnsi="Times New Roman" w:cs="Times New Roman"/>
              </w:rPr>
            </w:pPr>
          </w:p>
        </w:tc>
      </w:tr>
      <w:tr w:rsidR="00B03AB3" w14:paraId="69BC6994" w14:textId="77777777">
        <w:trPr>
          <w:trHeight w:val="256"/>
        </w:trPr>
        <w:tc>
          <w:tcPr>
            <w:tcW w:w="3796" w:type="dxa"/>
            <w:vAlign w:val="center"/>
          </w:tcPr>
          <w:p w14:paraId="65DAC357"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Diversity / Others</w:t>
            </w:r>
          </w:p>
        </w:tc>
        <w:tc>
          <w:tcPr>
            <w:tcW w:w="967" w:type="dxa"/>
            <w:vAlign w:val="center"/>
          </w:tcPr>
          <w:p w14:paraId="322AA172"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0.81</w:t>
            </w:r>
          </w:p>
        </w:tc>
        <w:tc>
          <w:tcPr>
            <w:tcW w:w="623" w:type="dxa"/>
            <w:vAlign w:val="center"/>
          </w:tcPr>
          <w:p w14:paraId="74BD31E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w:t>
            </w:r>
          </w:p>
        </w:tc>
        <w:tc>
          <w:tcPr>
            <w:tcW w:w="794" w:type="dxa"/>
            <w:vAlign w:val="center"/>
          </w:tcPr>
          <w:p w14:paraId="0912D55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-0.73</w:t>
            </w:r>
          </w:p>
        </w:tc>
        <w:tc>
          <w:tcPr>
            <w:tcW w:w="849" w:type="dxa"/>
            <w:vAlign w:val="center"/>
          </w:tcPr>
          <w:p w14:paraId="1713F72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0.991</w:t>
            </w:r>
          </w:p>
        </w:tc>
        <w:tc>
          <w:tcPr>
            <w:tcW w:w="2180" w:type="dxa"/>
            <w:vAlign w:val="center"/>
          </w:tcPr>
          <w:p w14:paraId="463F29E8" w14:textId="77777777" w:rsidR="00B03AB3" w:rsidRDefault="00B03AB3" w:rsidP="00915440">
            <w:pPr>
              <w:pStyle w:val="TableContents"/>
              <w:jc w:val="center"/>
              <w:rPr>
                <w:rFonts w:ascii="Times New Roman" w:eastAsia="Times New Roman" w:hAnsi="Times New Roman" w:cs="Times New Roman"/>
              </w:rPr>
            </w:pPr>
          </w:p>
        </w:tc>
      </w:tr>
      <w:tr w:rsidR="00B03AB3" w14:paraId="3758548F" w14:textId="77777777">
        <w:trPr>
          <w:trHeight w:val="256"/>
        </w:trPr>
        <w:tc>
          <w:tcPr>
            <w:tcW w:w="3796" w:type="dxa"/>
            <w:vAlign w:val="center"/>
          </w:tcPr>
          <w:p w14:paraId="498E8E0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Diversity / Richness</w:t>
            </w:r>
          </w:p>
        </w:tc>
        <w:tc>
          <w:tcPr>
            <w:tcW w:w="967" w:type="dxa"/>
            <w:vAlign w:val="center"/>
          </w:tcPr>
          <w:p w14:paraId="0881DDE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0.95</w:t>
            </w:r>
          </w:p>
        </w:tc>
        <w:tc>
          <w:tcPr>
            <w:tcW w:w="623" w:type="dxa"/>
            <w:vAlign w:val="center"/>
          </w:tcPr>
          <w:p w14:paraId="447EBF2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0.29</w:t>
            </w:r>
          </w:p>
        </w:tc>
        <w:tc>
          <w:tcPr>
            <w:tcW w:w="794" w:type="dxa"/>
            <w:vAlign w:val="center"/>
          </w:tcPr>
          <w:p w14:paraId="15DEE0D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849" w:type="dxa"/>
            <w:vAlign w:val="center"/>
          </w:tcPr>
          <w:p w14:paraId="03A21BA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2180" w:type="dxa"/>
            <w:vAlign w:val="center"/>
          </w:tcPr>
          <w:p w14:paraId="3B7B4B86" w14:textId="77777777" w:rsidR="00B03AB3" w:rsidRDefault="00B03AB3" w:rsidP="00915440">
            <w:pPr>
              <w:pStyle w:val="TableContents"/>
              <w:jc w:val="center"/>
              <w:rPr>
                <w:rFonts w:ascii="Times New Roman" w:eastAsia="Times New Roman" w:hAnsi="Times New Roman" w:cs="Times New Roman"/>
              </w:rPr>
            </w:pPr>
          </w:p>
        </w:tc>
      </w:tr>
      <w:tr w:rsidR="00B03AB3" w14:paraId="172947E5" w14:textId="77777777">
        <w:trPr>
          <w:trHeight w:val="256"/>
        </w:trPr>
        <w:tc>
          <w:tcPr>
            <w:tcW w:w="3796" w:type="dxa"/>
            <w:vAlign w:val="center"/>
          </w:tcPr>
          <w:p w14:paraId="361D9227"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Extinction risk / Habitat suitability</w:t>
            </w:r>
          </w:p>
        </w:tc>
        <w:tc>
          <w:tcPr>
            <w:tcW w:w="967" w:type="dxa"/>
            <w:vAlign w:val="center"/>
          </w:tcPr>
          <w:p w14:paraId="72EA5FE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0.80</w:t>
            </w:r>
          </w:p>
        </w:tc>
        <w:tc>
          <w:tcPr>
            <w:tcW w:w="623" w:type="dxa"/>
            <w:vAlign w:val="center"/>
          </w:tcPr>
          <w:p w14:paraId="46CD5BC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w:t>
            </w:r>
          </w:p>
        </w:tc>
        <w:tc>
          <w:tcPr>
            <w:tcW w:w="794" w:type="dxa"/>
            <w:vAlign w:val="center"/>
          </w:tcPr>
          <w:p w14:paraId="2C6E4CA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-0.47</w:t>
            </w:r>
          </w:p>
        </w:tc>
        <w:tc>
          <w:tcPr>
            <w:tcW w:w="849" w:type="dxa"/>
            <w:vAlign w:val="center"/>
          </w:tcPr>
          <w:p w14:paraId="1B70F71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0.999</w:t>
            </w:r>
          </w:p>
        </w:tc>
        <w:tc>
          <w:tcPr>
            <w:tcW w:w="2180" w:type="dxa"/>
            <w:vAlign w:val="center"/>
          </w:tcPr>
          <w:p w14:paraId="3A0FF5F2" w14:textId="77777777" w:rsidR="00B03AB3" w:rsidRDefault="00B03AB3" w:rsidP="00915440">
            <w:pPr>
              <w:pStyle w:val="TableContents"/>
              <w:jc w:val="center"/>
              <w:rPr>
                <w:rFonts w:ascii="Times New Roman" w:eastAsia="Times New Roman" w:hAnsi="Times New Roman" w:cs="Times New Roman"/>
              </w:rPr>
            </w:pPr>
          </w:p>
        </w:tc>
      </w:tr>
      <w:tr w:rsidR="00B03AB3" w14:paraId="71D8412C" w14:textId="77777777">
        <w:trPr>
          <w:trHeight w:val="256"/>
        </w:trPr>
        <w:tc>
          <w:tcPr>
            <w:tcW w:w="3796" w:type="dxa"/>
            <w:vAlign w:val="center"/>
          </w:tcPr>
          <w:p w14:paraId="1B3BB0BC"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Extinction risk / Others</w:t>
            </w:r>
          </w:p>
        </w:tc>
        <w:tc>
          <w:tcPr>
            <w:tcW w:w="967" w:type="dxa"/>
            <w:vAlign w:val="center"/>
          </w:tcPr>
          <w:p w14:paraId="2DEB026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w:t>
            </w:r>
          </w:p>
        </w:tc>
        <w:tc>
          <w:tcPr>
            <w:tcW w:w="623" w:type="dxa"/>
            <w:vAlign w:val="center"/>
          </w:tcPr>
          <w:p w14:paraId="7587F8A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w:t>
            </w:r>
          </w:p>
        </w:tc>
        <w:tc>
          <w:tcPr>
            <w:tcW w:w="794" w:type="dxa"/>
            <w:vAlign w:val="center"/>
          </w:tcPr>
          <w:p w14:paraId="6CDBEC7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-2.92</w:t>
            </w:r>
          </w:p>
        </w:tc>
        <w:tc>
          <w:tcPr>
            <w:tcW w:w="849" w:type="dxa"/>
            <w:vAlign w:val="center"/>
          </w:tcPr>
          <w:p w14:paraId="43D5974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0.055</w:t>
            </w:r>
          </w:p>
        </w:tc>
        <w:tc>
          <w:tcPr>
            <w:tcW w:w="2180" w:type="dxa"/>
            <w:vAlign w:val="center"/>
          </w:tcPr>
          <w:p w14:paraId="5630AD66" w14:textId="77777777" w:rsidR="00B03AB3" w:rsidRDefault="00B03AB3" w:rsidP="00915440">
            <w:pPr>
              <w:pStyle w:val="TableContents"/>
              <w:jc w:val="center"/>
              <w:rPr>
                <w:rFonts w:ascii="Times New Roman" w:eastAsia="Times New Roman" w:hAnsi="Times New Roman" w:cs="Times New Roman"/>
              </w:rPr>
            </w:pPr>
          </w:p>
        </w:tc>
      </w:tr>
      <w:tr w:rsidR="00B03AB3" w14:paraId="1A212A11" w14:textId="77777777">
        <w:trPr>
          <w:trHeight w:val="256"/>
        </w:trPr>
        <w:tc>
          <w:tcPr>
            <w:tcW w:w="3796" w:type="dxa"/>
            <w:vAlign w:val="center"/>
          </w:tcPr>
          <w:p w14:paraId="6792EB73"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Extinction risk / Richness</w:t>
            </w:r>
          </w:p>
        </w:tc>
        <w:tc>
          <w:tcPr>
            <w:tcW w:w="967" w:type="dxa"/>
            <w:vAlign w:val="center"/>
          </w:tcPr>
          <w:p w14:paraId="6B22DBF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0.36</w:t>
            </w:r>
          </w:p>
        </w:tc>
        <w:tc>
          <w:tcPr>
            <w:tcW w:w="623" w:type="dxa"/>
            <w:vAlign w:val="center"/>
          </w:tcPr>
          <w:p w14:paraId="3567227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794" w:type="dxa"/>
            <w:vAlign w:val="center"/>
          </w:tcPr>
          <w:p w14:paraId="35782D3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-2.45</w:t>
            </w:r>
          </w:p>
        </w:tc>
        <w:tc>
          <w:tcPr>
            <w:tcW w:w="849" w:type="dxa"/>
            <w:vAlign w:val="center"/>
          </w:tcPr>
          <w:p w14:paraId="5492757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0.178</w:t>
            </w:r>
          </w:p>
        </w:tc>
        <w:tc>
          <w:tcPr>
            <w:tcW w:w="2180" w:type="dxa"/>
            <w:vAlign w:val="center"/>
          </w:tcPr>
          <w:p w14:paraId="61829076" w14:textId="77777777" w:rsidR="00B03AB3" w:rsidRDefault="00B03AB3" w:rsidP="00915440">
            <w:pPr>
              <w:pStyle w:val="TableContents"/>
              <w:jc w:val="center"/>
              <w:rPr>
                <w:rFonts w:ascii="Times New Roman" w:eastAsia="Times New Roman" w:hAnsi="Times New Roman" w:cs="Times New Roman"/>
              </w:rPr>
            </w:pPr>
          </w:p>
        </w:tc>
      </w:tr>
      <w:tr w:rsidR="00B03AB3" w14:paraId="05D0243D" w14:textId="77777777">
        <w:trPr>
          <w:trHeight w:val="256"/>
        </w:trPr>
        <w:tc>
          <w:tcPr>
            <w:tcW w:w="3796" w:type="dxa"/>
            <w:vAlign w:val="center"/>
          </w:tcPr>
          <w:p w14:paraId="3B8F0D67"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Habitat suitability / Others</w:t>
            </w:r>
          </w:p>
        </w:tc>
        <w:tc>
          <w:tcPr>
            <w:tcW w:w="967" w:type="dxa"/>
            <w:vAlign w:val="center"/>
          </w:tcPr>
          <w:p w14:paraId="39E4189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w:t>
            </w:r>
          </w:p>
        </w:tc>
        <w:tc>
          <w:tcPr>
            <w:tcW w:w="623" w:type="dxa"/>
            <w:vAlign w:val="center"/>
          </w:tcPr>
          <w:p w14:paraId="3021738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w:t>
            </w:r>
          </w:p>
        </w:tc>
        <w:tc>
          <w:tcPr>
            <w:tcW w:w="794" w:type="dxa"/>
            <w:vAlign w:val="center"/>
          </w:tcPr>
          <w:p w14:paraId="1AEA3EB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w:t>
            </w:r>
          </w:p>
        </w:tc>
        <w:tc>
          <w:tcPr>
            <w:tcW w:w="849" w:type="dxa"/>
            <w:vAlign w:val="center"/>
          </w:tcPr>
          <w:p w14:paraId="0764A70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0.136</w:t>
            </w:r>
          </w:p>
        </w:tc>
        <w:tc>
          <w:tcPr>
            <w:tcW w:w="2180" w:type="dxa"/>
            <w:vAlign w:val="center"/>
          </w:tcPr>
          <w:p w14:paraId="2BA226A1" w14:textId="77777777" w:rsidR="00B03AB3" w:rsidRDefault="00B03AB3" w:rsidP="00915440">
            <w:pPr>
              <w:pStyle w:val="TableContents"/>
              <w:jc w:val="center"/>
              <w:rPr>
                <w:rFonts w:ascii="Times New Roman" w:eastAsia="Times New Roman" w:hAnsi="Times New Roman" w:cs="Times New Roman"/>
              </w:rPr>
            </w:pPr>
          </w:p>
        </w:tc>
      </w:tr>
      <w:tr w:rsidR="00B03AB3" w14:paraId="76CF2617" w14:textId="77777777">
        <w:trPr>
          <w:trHeight w:val="256"/>
        </w:trPr>
        <w:tc>
          <w:tcPr>
            <w:tcW w:w="3796" w:type="dxa"/>
            <w:vAlign w:val="center"/>
          </w:tcPr>
          <w:p w14:paraId="40F3C60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Habitat suitability / Richness</w:t>
            </w:r>
          </w:p>
        </w:tc>
        <w:tc>
          <w:tcPr>
            <w:tcW w:w="967" w:type="dxa"/>
            <w:vAlign w:val="center"/>
          </w:tcPr>
          <w:p w14:paraId="2EAEBB4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0.45</w:t>
            </w:r>
          </w:p>
        </w:tc>
        <w:tc>
          <w:tcPr>
            <w:tcW w:w="623" w:type="dxa"/>
            <w:vAlign w:val="center"/>
          </w:tcPr>
          <w:p w14:paraId="20E3006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w:t>
            </w:r>
          </w:p>
        </w:tc>
        <w:tc>
          <w:tcPr>
            <w:tcW w:w="794" w:type="dxa"/>
            <w:vAlign w:val="center"/>
          </w:tcPr>
          <w:p w14:paraId="3BF661A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-2.07</w:t>
            </w:r>
          </w:p>
        </w:tc>
        <w:tc>
          <w:tcPr>
            <w:tcW w:w="849" w:type="dxa"/>
            <w:vAlign w:val="center"/>
          </w:tcPr>
          <w:p w14:paraId="055DAE7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0.372</w:t>
            </w:r>
          </w:p>
        </w:tc>
        <w:tc>
          <w:tcPr>
            <w:tcW w:w="2180" w:type="dxa"/>
            <w:vAlign w:val="center"/>
          </w:tcPr>
          <w:p w14:paraId="17AD93B2" w14:textId="77777777" w:rsidR="00B03AB3" w:rsidRDefault="00B03AB3" w:rsidP="00915440">
            <w:pPr>
              <w:pStyle w:val="TableContents"/>
              <w:jc w:val="center"/>
              <w:rPr>
                <w:rFonts w:ascii="Times New Roman" w:eastAsia="Times New Roman" w:hAnsi="Times New Roman" w:cs="Times New Roman"/>
              </w:rPr>
            </w:pPr>
          </w:p>
        </w:tc>
      </w:tr>
      <w:tr w:rsidR="00B03AB3" w14:paraId="17F5A542" w14:textId="77777777">
        <w:trPr>
          <w:trHeight w:val="256"/>
        </w:trPr>
        <w:tc>
          <w:tcPr>
            <w:tcW w:w="3796" w:type="dxa"/>
            <w:tcBorders>
              <w:bottom w:val="single" w:sz="2" w:space="0" w:color="000000"/>
            </w:tcBorders>
            <w:tcMar>
              <w:top w:w="28" w:type="dxa"/>
              <w:left w:w="28" w:type="dxa"/>
              <w:bottom w:w="28" w:type="dxa"/>
              <w:right w:w="28" w:type="dxa"/>
            </w:tcMar>
            <w:vAlign w:val="center"/>
          </w:tcPr>
          <w:p w14:paraId="3B120D17"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Others / Richness</w:t>
            </w:r>
          </w:p>
        </w:tc>
        <w:tc>
          <w:tcPr>
            <w:tcW w:w="967" w:type="dxa"/>
            <w:tcBorders>
              <w:bottom w:val="single" w:sz="2" w:space="0" w:color="000000"/>
            </w:tcBorders>
            <w:tcMar>
              <w:top w:w="28" w:type="dxa"/>
              <w:left w:w="28" w:type="dxa"/>
              <w:bottom w:w="28" w:type="dxa"/>
              <w:right w:w="28" w:type="dxa"/>
            </w:tcMar>
            <w:vAlign w:val="center"/>
          </w:tcPr>
          <w:p w14:paraId="59C55BA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1.18</w:t>
            </w:r>
          </w:p>
        </w:tc>
        <w:tc>
          <w:tcPr>
            <w:tcW w:w="623" w:type="dxa"/>
            <w:tcBorders>
              <w:bottom w:val="single" w:sz="2" w:space="0" w:color="000000"/>
            </w:tcBorders>
            <w:tcMar>
              <w:top w:w="28" w:type="dxa"/>
              <w:left w:w="28" w:type="dxa"/>
              <w:bottom w:w="28" w:type="dxa"/>
              <w:right w:w="28" w:type="dxa"/>
            </w:tcMar>
            <w:vAlign w:val="center"/>
          </w:tcPr>
          <w:p w14:paraId="2A58580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0.34</w:t>
            </w:r>
          </w:p>
        </w:tc>
        <w:tc>
          <w:tcPr>
            <w:tcW w:w="794" w:type="dxa"/>
            <w:tcBorders>
              <w:bottom w:val="single" w:sz="2" w:space="0" w:color="000000"/>
            </w:tcBorders>
            <w:tcMar>
              <w:top w:w="28" w:type="dxa"/>
              <w:left w:w="28" w:type="dxa"/>
              <w:bottom w:w="28" w:type="dxa"/>
              <w:right w:w="28" w:type="dxa"/>
            </w:tcMar>
            <w:vAlign w:val="center"/>
          </w:tcPr>
          <w:p w14:paraId="063142F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0.58</w:t>
            </w:r>
          </w:p>
        </w:tc>
        <w:tc>
          <w:tcPr>
            <w:tcW w:w="849" w:type="dxa"/>
            <w:tcBorders>
              <w:bottom w:val="single" w:sz="2" w:space="0" w:color="000000"/>
            </w:tcBorders>
            <w:tcMar>
              <w:top w:w="28" w:type="dxa"/>
              <w:left w:w="28" w:type="dxa"/>
              <w:bottom w:w="28" w:type="dxa"/>
              <w:right w:w="28" w:type="dxa"/>
            </w:tcMar>
            <w:vAlign w:val="center"/>
          </w:tcPr>
          <w:p w14:paraId="2D751B3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0.997</w:t>
            </w:r>
          </w:p>
        </w:tc>
        <w:tc>
          <w:tcPr>
            <w:tcW w:w="2180" w:type="dxa"/>
            <w:tcBorders>
              <w:bottom w:val="single" w:sz="2" w:space="0" w:color="000000"/>
            </w:tcBorders>
            <w:tcMar>
              <w:top w:w="28" w:type="dxa"/>
              <w:left w:w="28" w:type="dxa"/>
              <w:bottom w:w="28" w:type="dxa"/>
              <w:right w:w="28" w:type="dxa"/>
            </w:tcMar>
            <w:vAlign w:val="center"/>
          </w:tcPr>
          <w:p w14:paraId="0DE4B5B7" w14:textId="77777777" w:rsidR="00B03AB3" w:rsidRDefault="00B03AB3" w:rsidP="00915440">
            <w:pPr>
              <w:pStyle w:val="TableContents"/>
              <w:jc w:val="center"/>
              <w:rPr>
                <w:rFonts w:ascii="Times New Roman" w:eastAsia="Times New Roman" w:hAnsi="Times New Roman" w:cs="Times New Roman"/>
              </w:rPr>
            </w:pPr>
          </w:p>
        </w:tc>
      </w:tr>
      <w:tr w:rsidR="00B03AB3" w14:paraId="2E99A301" w14:textId="77777777">
        <w:trPr>
          <w:trHeight w:val="477"/>
        </w:trPr>
        <w:tc>
          <w:tcPr>
            <w:tcW w:w="9209" w:type="dxa"/>
            <w:gridSpan w:val="6"/>
            <w:tcBorders>
              <w:top w:val="single" w:sz="6" w:space="0" w:color="000000"/>
              <w:bottom w:val="single" w:sz="6" w:space="0" w:color="000000"/>
            </w:tcBorders>
            <w:vAlign w:val="center"/>
          </w:tcPr>
          <w:p w14:paraId="712FF828" w14:textId="77777777" w:rsidR="00B03AB3" w:rsidRDefault="00000000" w:rsidP="00915440">
            <w:pPr>
              <w:jc w:val="center"/>
              <w:rPr>
                <w:rFonts w:ascii="Times New Roman" w:eastAsia="Times New Roman" w:hAnsi="Times New Roman" w:cs="Times New Roman"/>
                <w:b/>
                <w:bCs/>
                <w:color w:val="4EA72E" w:themeColor="accent6"/>
                <w:sz w:val="18"/>
                <w:szCs w:val="18"/>
              </w:rPr>
            </w:pPr>
            <w:r>
              <w:rPr>
                <w:rFonts w:ascii="Times New Roman" w:eastAsia="Times New Roman" w:hAnsi="Times New Roman" w:cs="Times New Roman"/>
                <w:b/>
                <w:bCs/>
                <w:color w:val="000000"/>
                <w:sz w:val="18"/>
                <w:szCs w:val="18"/>
              </w:rPr>
              <w:t>Climatic Aspects </w:t>
            </w:r>
          </w:p>
        </w:tc>
      </w:tr>
      <w:tr w:rsidR="00B03AB3" w14:paraId="281AE3BD" w14:textId="77777777">
        <w:trPr>
          <w:trHeight w:val="256"/>
        </w:trPr>
        <w:tc>
          <w:tcPr>
            <w:tcW w:w="3796" w:type="dxa"/>
            <w:tcBorders>
              <w:bottom w:val="single" w:sz="2" w:space="0" w:color="000000"/>
            </w:tcBorders>
            <w:tcMar>
              <w:top w:w="28" w:type="dxa"/>
              <w:left w:w="28" w:type="dxa"/>
              <w:bottom w:w="28" w:type="dxa"/>
              <w:right w:w="28" w:type="dxa"/>
            </w:tcMar>
            <w:vAlign w:val="center"/>
          </w:tcPr>
          <w:p w14:paraId="7B1DC2E4" w14:textId="77777777"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Contrasts</w:t>
            </w:r>
          </w:p>
        </w:tc>
        <w:tc>
          <w:tcPr>
            <w:tcW w:w="967" w:type="dxa"/>
            <w:tcBorders>
              <w:bottom w:val="single" w:sz="2" w:space="0" w:color="000000"/>
            </w:tcBorders>
            <w:tcMar>
              <w:top w:w="28" w:type="dxa"/>
              <w:left w:w="28" w:type="dxa"/>
              <w:bottom w:w="28" w:type="dxa"/>
              <w:right w:w="28" w:type="dxa"/>
            </w:tcMar>
            <w:vAlign w:val="center"/>
          </w:tcPr>
          <w:p w14:paraId="6B921674"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Ratio</w:t>
            </w:r>
          </w:p>
        </w:tc>
        <w:tc>
          <w:tcPr>
            <w:tcW w:w="623" w:type="dxa"/>
            <w:tcBorders>
              <w:bottom w:val="single" w:sz="2" w:space="0" w:color="000000"/>
            </w:tcBorders>
            <w:tcMar>
              <w:top w:w="28" w:type="dxa"/>
              <w:left w:w="28" w:type="dxa"/>
              <w:bottom w:w="28" w:type="dxa"/>
              <w:right w:w="28" w:type="dxa"/>
            </w:tcMar>
            <w:vAlign w:val="center"/>
          </w:tcPr>
          <w:p w14:paraId="1004D90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794" w:type="dxa"/>
            <w:tcBorders>
              <w:bottom w:val="single" w:sz="2" w:space="0" w:color="000000"/>
            </w:tcBorders>
            <w:tcMar>
              <w:top w:w="28" w:type="dxa"/>
              <w:left w:w="28" w:type="dxa"/>
              <w:bottom w:w="28" w:type="dxa"/>
              <w:right w:w="28" w:type="dxa"/>
            </w:tcMar>
            <w:vAlign w:val="center"/>
          </w:tcPr>
          <w:p w14:paraId="0544ED9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Z-Ratio</w:t>
            </w:r>
          </w:p>
        </w:tc>
        <w:tc>
          <w:tcPr>
            <w:tcW w:w="849" w:type="dxa"/>
            <w:tcBorders>
              <w:bottom w:val="single" w:sz="2" w:space="0" w:color="000000"/>
            </w:tcBorders>
            <w:tcMar>
              <w:top w:w="28" w:type="dxa"/>
              <w:left w:w="28" w:type="dxa"/>
              <w:bottom w:w="28" w:type="dxa"/>
              <w:right w:w="28" w:type="dxa"/>
            </w:tcMar>
            <w:vAlign w:val="center"/>
          </w:tcPr>
          <w:p w14:paraId="32CDF6F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P-value</w:t>
            </w:r>
          </w:p>
        </w:tc>
        <w:tc>
          <w:tcPr>
            <w:tcW w:w="2180" w:type="dxa"/>
            <w:tcBorders>
              <w:bottom w:val="single" w:sz="2" w:space="0" w:color="000000"/>
            </w:tcBorders>
            <w:tcMar>
              <w:top w:w="28" w:type="dxa"/>
              <w:left w:w="28" w:type="dxa"/>
              <w:bottom w:w="28" w:type="dxa"/>
              <w:right w:w="28" w:type="dxa"/>
            </w:tcMar>
            <w:vAlign w:val="center"/>
          </w:tcPr>
          <w:p w14:paraId="7EEB082D"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Groups *</w:t>
            </w:r>
          </w:p>
        </w:tc>
      </w:tr>
      <w:tr w:rsidR="00B03AB3" w14:paraId="1E6648F9" w14:textId="77777777">
        <w:trPr>
          <w:trHeight w:val="256"/>
        </w:trPr>
        <w:tc>
          <w:tcPr>
            <w:tcW w:w="3796" w:type="dxa"/>
            <w:vAlign w:val="center"/>
          </w:tcPr>
          <w:p w14:paraId="15A1859F"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Humidity / Others</w:t>
            </w:r>
          </w:p>
        </w:tc>
        <w:tc>
          <w:tcPr>
            <w:tcW w:w="967" w:type="dxa"/>
            <w:vAlign w:val="center"/>
          </w:tcPr>
          <w:p w14:paraId="34E1FB6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0.29</w:t>
            </w:r>
          </w:p>
        </w:tc>
        <w:tc>
          <w:tcPr>
            <w:tcW w:w="623" w:type="dxa"/>
            <w:vAlign w:val="center"/>
          </w:tcPr>
          <w:p w14:paraId="56C73F5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w:t>
            </w:r>
          </w:p>
        </w:tc>
        <w:tc>
          <w:tcPr>
            <w:tcW w:w="794" w:type="dxa"/>
            <w:vAlign w:val="center"/>
          </w:tcPr>
          <w:p w14:paraId="70882D9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w:t>
            </w:r>
          </w:p>
        </w:tc>
        <w:tc>
          <w:tcPr>
            <w:tcW w:w="849" w:type="dxa"/>
            <w:vAlign w:val="center"/>
          </w:tcPr>
          <w:p w14:paraId="33A995D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121,000</w:t>
            </w:r>
          </w:p>
        </w:tc>
        <w:tc>
          <w:tcPr>
            <w:tcW w:w="2180" w:type="dxa"/>
            <w:vAlign w:val="center"/>
          </w:tcPr>
          <w:p w14:paraId="48489E6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Precipitation a</w:t>
            </w:r>
          </w:p>
        </w:tc>
      </w:tr>
      <w:tr w:rsidR="00B03AB3" w14:paraId="150172B0" w14:textId="77777777">
        <w:trPr>
          <w:trHeight w:val="256"/>
        </w:trPr>
        <w:tc>
          <w:tcPr>
            <w:tcW w:w="3796" w:type="dxa"/>
            <w:vAlign w:val="center"/>
          </w:tcPr>
          <w:p w14:paraId="5AF1AF4D"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Humidity / Precipitation</w:t>
            </w:r>
          </w:p>
        </w:tc>
        <w:tc>
          <w:tcPr>
            <w:tcW w:w="967" w:type="dxa"/>
            <w:vAlign w:val="center"/>
          </w:tcPr>
          <w:p w14:paraId="2DC3F65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623" w:type="dxa"/>
            <w:vAlign w:val="center"/>
          </w:tcPr>
          <w:p w14:paraId="1AED638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794" w:type="dxa"/>
            <w:vAlign w:val="center"/>
          </w:tcPr>
          <w:p w14:paraId="2CB7DBC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-6.29</w:t>
            </w:r>
          </w:p>
        </w:tc>
        <w:tc>
          <w:tcPr>
            <w:tcW w:w="849" w:type="dxa"/>
            <w:vAlign w:val="center"/>
          </w:tcPr>
          <w:p w14:paraId="7427D3D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36596B0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Temperature a</w:t>
            </w:r>
          </w:p>
        </w:tc>
      </w:tr>
      <w:tr w:rsidR="00B03AB3" w14:paraId="3C5AABE0" w14:textId="77777777">
        <w:trPr>
          <w:trHeight w:val="256"/>
        </w:trPr>
        <w:tc>
          <w:tcPr>
            <w:tcW w:w="3796" w:type="dxa"/>
            <w:vAlign w:val="center"/>
          </w:tcPr>
          <w:p w14:paraId="08B22AE9"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Humidity / Temperature</w:t>
            </w:r>
          </w:p>
        </w:tc>
        <w:tc>
          <w:tcPr>
            <w:tcW w:w="967" w:type="dxa"/>
            <w:vAlign w:val="center"/>
          </w:tcPr>
          <w:p w14:paraId="5B5C4A3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623" w:type="dxa"/>
            <w:vAlign w:val="center"/>
          </w:tcPr>
          <w:p w14:paraId="4414EEB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794" w:type="dxa"/>
            <w:vAlign w:val="center"/>
          </w:tcPr>
          <w:p w14:paraId="34CD3D3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-6.27</w:t>
            </w:r>
          </w:p>
        </w:tc>
        <w:tc>
          <w:tcPr>
            <w:tcW w:w="849" w:type="dxa"/>
            <w:vAlign w:val="center"/>
          </w:tcPr>
          <w:p w14:paraId="789B20D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7F04860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Humidity b</w:t>
            </w:r>
          </w:p>
        </w:tc>
      </w:tr>
      <w:tr w:rsidR="00B03AB3" w14:paraId="5BA1B053" w14:textId="77777777">
        <w:trPr>
          <w:trHeight w:val="256"/>
        </w:trPr>
        <w:tc>
          <w:tcPr>
            <w:tcW w:w="3796" w:type="dxa"/>
            <w:vAlign w:val="center"/>
          </w:tcPr>
          <w:p w14:paraId="6426040D"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Others / Precipitation</w:t>
            </w:r>
          </w:p>
        </w:tc>
        <w:tc>
          <w:tcPr>
            <w:tcW w:w="967" w:type="dxa"/>
            <w:vAlign w:val="center"/>
          </w:tcPr>
          <w:p w14:paraId="3DBB9AF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w:t>
            </w:r>
          </w:p>
        </w:tc>
        <w:tc>
          <w:tcPr>
            <w:tcW w:w="623" w:type="dxa"/>
            <w:vAlign w:val="center"/>
          </w:tcPr>
          <w:p w14:paraId="448DED9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794" w:type="dxa"/>
            <w:vAlign w:val="center"/>
          </w:tcPr>
          <w:p w14:paraId="15BA31A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-6.85</w:t>
            </w:r>
          </w:p>
        </w:tc>
        <w:tc>
          <w:tcPr>
            <w:tcW w:w="849" w:type="dxa"/>
            <w:vAlign w:val="center"/>
          </w:tcPr>
          <w:p w14:paraId="51C20A3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3920403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Others b</w:t>
            </w:r>
          </w:p>
        </w:tc>
      </w:tr>
      <w:tr w:rsidR="00B03AB3" w14:paraId="16C343D5" w14:textId="77777777">
        <w:trPr>
          <w:trHeight w:val="256"/>
        </w:trPr>
        <w:tc>
          <w:tcPr>
            <w:tcW w:w="3796" w:type="dxa"/>
            <w:vAlign w:val="center"/>
          </w:tcPr>
          <w:p w14:paraId="1C33684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Others / Temperature</w:t>
            </w:r>
          </w:p>
        </w:tc>
        <w:tc>
          <w:tcPr>
            <w:tcW w:w="967" w:type="dxa"/>
            <w:vAlign w:val="center"/>
          </w:tcPr>
          <w:p w14:paraId="019C7B0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w:t>
            </w:r>
          </w:p>
        </w:tc>
        <w:tc>
          <w:tcPr>
            <w:tcW w:w="623" w:type="dxa"/>
            <w:vAlign w:val="center"/>
          </w:tcPr>
          <w:p w14:paraId="3F55449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794" w:type="dxa"/>
            <w:vAlign w:val="center"/>
          </w:tcPr>
          <w:p w14:paraId="05FA484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-6.81</w:t>
            </w:r>
          </w:p>
        </w:tc>
        <w:tc>
          <w:tcPr>
            <w:tcW w:w="849" w:type="dxa"/>
            <w:vAlign w:val="center"/>
          </w:tcPr>
          <w:p w14:paraId="1719B60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66204FF1"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62DD4D4C" w14:textId="77777777">
        <w:trPr>
          <w:trHeight w:val="256"/>
        </w:trPr>
        <w:tc>
          <w:tcPr>
            <w:tcW w:w="3796" w:type="dxa"/>
            <w:tcBorders>
              <w:bottom w:val="single" w:sz="2" w:space="0" w:color="000000"/>
            </w:tcBorders>
            <w:vAlign w:val="center"/>
          </w:tcPr>
          <w:p w14:paraId="3B20A4C0"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Precipitation / Temperature</w:t>
            </w:r>
          </w:p>
        </w:tc>
        <w:tc>
          <w:tcPr>
            <w:tcW w:w="967" w:type="dxa"/>
            <w:tcBorders>
              <w:bottom w:val="single" w:sz="2" w:space="0" w:color="000000"/>
            </w:tcBorders>
            <w:vAlign w:val="center"/>
          </w:tcPr>
          <w:p w14:paraId="35341C3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w:t>
            </w:r>
          </w:p>
        </w:tc>
        <w:tc>
          <w:tcPr>
            <w:tcW w:w="623" w:type="dxa"/>
            <w:tcBorders>
              <w:bottom w:val="single" w:sz="2" w:space="0" w:color="000000"/>
            </w:tcBorders>
            <w:vAlign w:val="center"/>
          </w:tcPr>
          <w:p w14:paraId="0BB4254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w:t>
            </w:r>
          </w:p>
        </w:tc>
        <w:tc>
          <w:tcPr>
            <w:tcW w:w="794" w:type="dxa"/>
            <w:tcBorders>
              <w:bottom w:val="single" w:sz="2" w:space="0" w:color="000000"/>
            </w:tcBorders>
            <w:vAlign w:val="center"/>
          </w:tcPr>
          <w:p w14:paraId="45E2377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849" w:type="dxa"/>
            <w:tcBorders>
              <w:bottom w:val="single" w:sz="2" w:space="0" w:color="000000"/>
            </w:tcBorders>
            <w:vAlign w:val="center"/>
          </w:tcPr>
          <w:p w14:paraId="178D94E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2180" w:type="dxa"/>
            <w:tcBorders>
              <w:bottom w:val="single" w:sz="2" w:space="0" w:color="000000"/>
            </w:tcBorders>
            <w:vAlign w:val="center"/>
          </w:tcPr>
          <w:p w14:paraId="2DBF0D7D"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05E30B06" w14:textId="77777777">
        <w:trPr>
          <w:trHeight w:val="477"/>
        </w:trPr>
        <w:tc>
          <w:tcPr>
            <w:tcW w:w="9209" w:type="dxa"/>
            <w:gridSpan w:val="6"/>
            <w:tcBorders>
              <w:top w:val="single" w:sz="6" w:space="0" w:color="000000"/>
              <w:bottom w:val="single" w:sz="6" w:space="0" w:color="000000"/>
            </w:tcBorders>
            <w:vAlign w:val="center"/>
          </w:tcPr>
          <w:p w14:paraId="7E6417E9" w14:textId="77777777" w:rsidR="00B03AB3" w:rsidRDefault="00000000" w:rsidP="00915440">
            <w:pPr>
              <w:jc w:val="center"/>
              <w:rPr>
                <w:rFonts w:ascii="Times New Roman" w:eastAsia="Times New Roman" w:hAnsi="Times New Roman" w:cs="Times New Roman"/>
                <w:b/>
                <w:bCs/>
                <w:color w:val="4EA72E" w:themeColor="accent6"/>
                <w:sz w:val="18"/>
                <w:szCs w:val="18"/>
              </w:rPr>
            </w:pPr>
            <w:r>
              <w:rPr>
                <w:rFonts w:ascii="Times New Roman" w:eastAsia="Times New Roman" w:hAnsi="Times New Roman" w:cs="Times New Roman"/>
                <w:b/>
                <w:bCs/>
                <w:color w:val="000000"/>
                <w:sz w:val="18"/>
                <w:szCs w:val="18"/>
              </w:rPr>
              <w:t>Coverage </w:t>
            </w:r>
          </w:p>
        </w:tc>
      </w:tr>
      <w:tr w:rsidR="00B03AB3" w14:paraId="4507098E" w14:textId="77777777">
        <w:trPr>
          <w:trHeight w:val="256"/>
        </w:trPr>
        <w:tc>
          <w:tcPr>
            <w:tcW w:w="3796" w:type="dxa"/>
            <w:tcBorders>
              <w:bottom w:val="single" w:sz="2" w:space="0" w:color="000000"/>
            </w:tcBorders>
            <w:tcMar>
              <w:top w:w="28" w:type="dxa"/>
              <w:left w:w="28" w:type="dxa"/>
              <w:bottom w:w="28" w:type="dxa"/>
              <w:right w:w="28" w:type="dxa"/>
            </w:tcMar>
            <w:vAlign w:val="center"/>
          </w:tcPr>
          <w:p w14:paraId="6E3C3318" w14:textId="77777777"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Contrasts</w:t>
            </w:r>
          </w:p>
        </w:tc>
        <w:tc>
          <w:tcPr>
            <w:tcW w:w="967" w:type="dxa"/>
            <w:tcBorders>
              <w:bottom w:val="single" w:sz="2" w:space="0" w:color="000000"/>
            </w:tcBorders>
            <w:tcMar>
              <w:top w:w="28" w:type="dxa"/>
              <w:left w:w="28" w:type="dxa"/>
              <w:bottom w:w="28" w:type="dxa"/>
              <w:right w:w="28" w:type="dxa"/>
            </w:tcMar>
            <w:vAlign w:val="center"/>
          </w:tcPr>
          <w:p w14:paraId="3F3FFDB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Ratio</w:t>
            </w:r>
          </w:p>
        </w:tc>
        <w:tc>
          <w:tcPr>
            <w:tcW w:w="623" w:type="dxa"/>
            <w:tcBorders>
              <w:bottom w:val="single" w:sz="2" w:space="0" w:color="000000"/>
            </w:tcBorders>
            <w:tcMar>
              <w:top w:w="28" w:type="dxa"/>
              <w:left w:w="28" w:type="dxa"/>
              <w:bottom w:w="28" w:type="dxa"/>
              <w:right w:w="28" w:type="dxa"/>
            </w:tcMar>
            <w:vAlign w:val="center"/>
          </w:tcPr>
          <w:p w14:paraId="11DAD4C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794" w:type="dxa"/>
            <w:tcBorders>
              <w:bottom w:val="single" w:sz="2" w:space="0" w:color="000000"/>
            </w:tcBorders>
            <w:tcMar>
              <w:top w:w="28" w:type="dxa"/>
              <w:left w:w="28" w:type="dxa"/>
              <w:bottom w:w="28" w:type="dxa"/>
              <w:right w:w="28" w:type="dxa"/>
            </w:tcMar>
            <w:vAlign w:val="center"/>
          </w:tcPr>
          <w:p w14:paraId="4AC15D5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Z-Ratio</w:t>
            </w:r>
          </w:p>
        </w:tc>
        <w:tc>
          <w:tcPr>
            <w:tcW w:w="849" w:type="dxa"/>
            <w:tcBorders>
              <w:bottom w:val="single" w:sz="2" w:space="0" w:color="000000"/>
            </w:tcBorders>
            <w:tcMar>
              <w:top w:w="28" w:type="dxa"/>
              <w:left w:w="28" w:type="dxa"/>
              <w:bottom w:w="28" w:type="dxa"/>
              <w:right w:w="28" w:type="dxa"/>
            </w:tcMar>
            <w:vAlign w:val="center"/>
          </w:tcPr>
          <w:p w14:paraId="03B1F067"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P-value</w:t>
            </w:r>
          </w:p>
        </w:tc>
        <w:tc>
          <w:tcPr>
            <w:tcW w:w="2180" w:type="dxa"/>
            <w:tcBorders>
              <w:bottom w:val="single" w:sz="2" w:space="0" w:color="000000"/>
            </w:tcBorders>
            <w:tcMar>
              <w:top w:w="28" w:type="dxa"/>
              <w:left w:w="28" w:type="dxa"/>
              <w:bottom w:w="28" w:type="dxa"/>
              <w:right w:w="28" w:type="dxa"/>
            </w:tcMar>
            <w:vAlign w:val="center"/>
          </w:tcPr>
          <w:p w14:paraId="6D89740A"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Groups *</w:t>
            </w:r>
          </w:p>
        </w:tc>
      </w:tr>
      <w:tr w:rsidR="00B03AB3" w14:paraId="64CE151D" w14:textId="77777777">
        <w:trPr>
          <w:trHeight w:val="256"/>
        </w:trPr>
        <w:tc>
          <w:tcPr>
            <w:tcW w:w="3796" w:type="dxa"/>
            <w:vAlign w:val="center"/>
          </w:tcPr>
          <w:p w14:paraId="676FD88B"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Brazil / Global</w:t>
            </w:r>
          </w:p>
        </w:tc>
        <w:tc>
          <w:tcPr>
            <w:tcW w:w="967" w:type="dxa"/>
            <w:vAlign w:val="center"/>
          </w:tcPr>
          <w:p w14:paraId="28AAEA6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18.20</w:t>
            </w:r>
          </w:p>
        </w:tc>
        <w:tc>
          <w:tcPr>
            <w:tcW w:w="623" w:type="dxa"/>
            <w:vAlign w:val="center"/>
          </w:tcPr>
          <w:p w14:paraId="1E67A372"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8.36</w:t>
            </w:r>
          </w:p>
        </w:tc>
        <w:tc>
          <w:tcPr>
            <w:tcW w:w="794" w:type="dxa"/>
            <w:vAlign w:val="center"/>
          </w:tcPr>
          <w:p w14:paraId="6EF4797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6.32</w:t>
            </w:r>
          </w:p>
        </w:tc>
        <w:tc>
          <w:tcPr>
            <w:tcW w:w="849" w:type="dxa"/>
            <w:vAlign w:val="center"/>
          </w:tcPr>
          <w:p w14:paraId="2AC641B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69EB622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Brazil a</w:t>
            </w:r>
          </w:p>
        </w:tc>
      </w:tr>
      <w:tr w:rsidR="00B03AB3" w14:paraId="24B736AC" w14:textId="77777777">
        <w:trPr>
          <w:trHeight w:val="256"/>
        </w:trPr>
        <w:tc>
          <w:tcPr>
            <w:tcW w:w="3796" w:type="dxa"/>
            <w:vAlign w:val="center"/>
          </w:tcPr>
          <w:p w14:paraId="09A3BD8A"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Brazil / Neotropical</w:t>
            </w:r>
          </w:p>
        </w:tc>
        <w:tc>
          <w:tcPr>
            <w:tcW w:w="967" w:type="dxa"/>
            <w:vAlign w:val="center"/>
          </w:tcPr>
          <w:p w14:paraId="13CEDEF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91.00</w:t>
            </w:r>
          </w:p>
        </w:tc>
        <w:tc>
          <w:tcPr>
            <w:tcW w:w="623" w:type="dxa"/>
            <w:vAlign w:val="center"/>
          </w:tcPr>
          <w:p w14:paraId="3FEE9EA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91.50</w:t>
            </w:r>
          </w:p>
        </w:tc>
        <w:tc>
          <w:tcPr>
            <w:tcW w:w="794" w:type="dxa"/>
            <w:vAlign w:val="center"/>
          </w:tcPr>
          <w:p w14:paraId="3BB5896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4.49</w:t>
            </w:r>
          </w:p>
        </w:tc>
        <w:tc>
          <w:tcPr>
            <w:tcW w:w="849" w:type="dxa"/>
            <w:vAlign w:val="center"/>
          </w:tcPr>
          <w:p w14:paraId="4F1F5D8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263E0D8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Global b</w:t>
            </w:r>
          </w:p>
        </w:tc>
      </w:tr>
      <w:tr w:rsidR="00B03AB3" w14:paraId="036D417E" w14:textId="77777777">
        <w:trPr>
          <w:trHeight w:val="256"/>
        </w:trPr>
        <w:tc>
          <w:tcPr>
            <w:tcW w:w="3796" w:type="dxa"/>
            <w:vAlign w:val="center"/>
          </w:tcPr>
          <w:p w14:paraId="54C15BFE"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Brazil / (Pan-Americano)</w:t>
            </w:r>
          </w:p>
        </w:tc>
        <w:tc>
          <w:tcPr>
            <w:tcW w:w="967" w:type="dxa"/>
            <w:vAlign w:val="center"/>
          </w:tcPr>
          <w:p w14:paraId="3BF63AF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91.00</w:t>
            </w:r>
          </w:p>
        </w:tc>
        <w:tc>
          <w:tcPr>
            <w:tcW w:w="623" w:type="dxa"/>
            <w:vAlign w:val="center"/>
          </w:tcPr>
          <w:p w14:paraId="529F752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91.50</w:t>
            </w:r>
          </w:p>
        </w:tc>
        <w:tc>
          <w:tcPr>
            <w:tcW w:w="794" w:type="dxa"/>
            <w:vAlign w:val="center"/>
          </w:tcPr>
          <w:p w14:paraId="11423FF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4.49</w:t>
            </w:r>
          </w:p>
        </w:tc>
        <w:tc>
          <w:tcPr>
            <w:tcW w:w="849" w:type="dxa"/>
            <w:vAlign w:val="center"/>
          </w:tcPr>
          <w:p w14:paraId="52114F1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2841DDE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Neotropical b</w:t>
            </w:r>
          </w:p>
        </w:tc>
      </w:tr>
      <w:tr w:rsidR="00B03AB3" w14:paraId="4D373358" w14:textId="77777777">
        <w:trPr>
          <w:trHeight w:val="256"/>
        </w:trPr>
        <w:tc>
          <w:tcPr>
            <w:tcW w:w="3796" w:type="dxa"/>
            <w:vAlign w:val="center"/>
          </w:tcPr>
          <w:p w14:paraId="4F45FAD7"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Brazil / South America</w:t>
            </w:r>
          </w:p>
        </w:tc>
        <w:tc>
          <w:tcPr>
            <w:tcW w:w="967" w:type="dxa"/>
            <w:vAlign w:val="center"/>
          </w:tcPr>
          <w:p w14:paraId="12DE3BA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7.58</w:t>
            </w:r>
          </w:p>
        </w:tc>
        <w:tc>
          <w:tcPr>
            <w:tcW w:w="623" w:type="dxa"/>
            <w:vAlign w:val="center"/>
          </w:tcPr>
          <w:p w14:paraId="3A41929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w:t>
            </w:r>
          </w:p>
        </w:tc>
        <w:tc>
          <w:tcPr>
            <w:tcW w:w="794" w:type="dxa"/>
            <w:vAlign w:val="center"/>
          </w:tcPr>
          <w:p w14:paraId="2F30E90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6.60</w:t>
            </w:r>
          </w:p>
        </w:tc>
        <w:tc>
          <w:tcPr>
            <w:tcW w:w="849" w:type="dxa"/>
            <w:vAlign w:val="center"/>
          </w:tcPr>
          <w:p w14:paraId="4023971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3865B06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Pan-Americano b</w:t>
            </w:r>
          </w:p>
        </w:tc>
      </w:tr>
      <w:tr w:rsidR="00B03AB3" w14:paraId="6C8B5CF9" w14:textId="77777777">
        <w:trPr>
          <w:trHeight w:val="256"/>
        </w:trPr>
        <w:tc>
          <w:tcPr>
            <w:tcW w:w="3796" w:type="dxa"/>
            <w:vAlign w:val="center"/>
          </w:tcPr>
          <w:p w14:paraId="423E6AF9"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Global / Neotropical</w:t>
            </w:r>
          </w:p>
        </w:tc>
        <w:tc>
          <w:tcPr>
            <w:tcW w:w="967" w:type="dxa"/>
            <w:vAlign w:val="center"/>
          </w:tcPr>
          <w:p w14:paraId="25899A42"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623" w:type="dxa"/>
            <w:vAlign w:val="center"/>
          </w:tcPr>
          <w:p w14:paraId="4D6B4A3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5.48</w:t>
            </w:r>
          </w:p>
        </w:tc>
        <w:tc>
          <w:tcPr>
            <w:tcW w:w="794" w:type="dxa"/>
            <w:vAlign w:val="center"/>
          </w:tcPr>
          <w:p w14:paraId="5CE47A9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1.47</w:t>
            </w:r>
          </w:p>
        </w:tc>
        <w:tc>
          <w:tcPr>
            <w:tcW w:w="849" w:type="dxa"/>
            <w:vAlign w:val="center"/>
          </w:tcPr>
          <w:p w14:paraId="1BAE65C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0.583</w:t>
            </w:r>
          </w:p>
        </w:tc>
        <w:tc>
          <w:tcPr>
            <w:tcW w:w="2180" w:type="dxa"/>
            <w:vAlign w:val="center"/>
          </w:tcPr>
          <w:p w14:paraId="6149806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South America b</w:t>
            </w:r>
          </w:p>
        </w:tc>
      </w:tr>
      <w:tr w:rsidR="00B03AB3" w14:paraId="3AA00668" w14:textId="77777777">
        <w:trPr>
          <w:trHeight w:val="256"/>
        </w:trPr>
        <w:tc>
          <w:tcPr>
            <w:tcW w:w="3796" w:type="dxa"/>
            <w:vAlign w:val="center"/>
          </w:tcPr>
          <w:p w14:paraId="45DEAC3E"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Global / (Pan-Americano)</w:t>
            </w:r>
          </w:p>
        </w:tc>
        <w:tc>
          <w:tcPr>
            <w:tcW w:w="967" w:type="dxa"/>
            <w:vAlign w:val="center"/>
          </w:tcPr>
          <w:p w14:paraId="2ADED41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623" w:type="dxa"/>
            <w:vAlign w:val="center"/>
          </w:tcPr>
          <w:p w14:paraId="26D72D0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5.48</w:t>
            </w:r>
          </w:p>
        </w:tc>
        <w:tc>
          <w:tcPr>
            <w:tcW w:w="794" w:type="dxa"/>
            <w:vAlign w:val="center"/>
          </w:tcPr>
          <w:p w14:paraId="799FF8C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1.47</w:t>
            </w:r>
          </w:p>
        </w:tc>
        <w:tc>
          <w:tcPr>
            <w:tcW w:w="849" w:type="dxa"/>
            <w:vAlign w:val="center"/>
          </w:tcPr>
          <w:p w14:paraId="561641B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0.583</w:t>
            </w:r>
          </w:p>
        </w:tc>
        <w:tc>
          <w:tcPr>
            <w:tcW w:w="2180" w:type="dxa"/>
            <w:vAlign w:val="center"/>
          </w:tcPr>
          <w:p w14:paraId="6B62F1B3"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5EFB8B5A" w14:textId="77777777">
        <w:trPr>
          <w:trHeight w:val="256"/>
        </w:trPr>
        <w:tc>
          <w:tcPr>
            <w:tcW w:w="3796" w:type="dxa"/>
            <w:vAlign w:val="center"/>
          </w:tcPr>
          <w:p w14:paraId="4E228ECA"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Global / South America</w:t>
            </w:r>
          </w:p>
        </w:tc>
        <w:tc>
          <w:tcPr>
            <w:tcW w:w="967" w:type="dxa"/>
            <w:vAlign w:val="center"/>
          </w:tcPr>
          <w:p w14:paraId="1050285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0.42</w:t>
            </w:r>
          </w:p>
        </w:tc>
        <w:tc>
          <w:tcPr>
            <w:tcW w:w="623" w:type="dxa"/>
            <w:vAlign w:val="center"/>
          </w:tcPr>
          <w:p w14:paraId="4FEEAD5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c>
          <w:tcPr>
            <w:tcW w:w="794" w:type="dxa"/>
            <w:vAlign w:val="center"/>
          </w:tcPr>
          <w:p w14:paraId="6F1CB74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-1.64</w:t>
            </w:r>
          </w:p>
        </w:tc>
        <w:tc>
          <w:tcPr>
            <w:tcW w:w="849" w:type="dxa"/>
            <w:vAlign w:val="center"/>
          </w:tcPr>
          <w:p w14:paraId="3C082E5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0.469</w:t>
            </w:r>
          </w:p>
        </w:tc>
        <w:tc>
          <w:tcPr>
            <w:tcW w:w="2180" w:type="dxa"/>
            <w:vAlign w:val="center"/>
          </w:tcPr>
          <w:p w14:paraId="02F2C34E"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40A7F532" w14:textId="77777777">
        <w:trPr>
          <w:trHeight w:val="256"/>
        </w:trPr>
        <w:tc>
          <w:tcPr>
            <w:tcW w:w="3796" w:type="dxa"/>
            <w:vAlign w:val="center"/>
          </w:tcPr>
          <w:p w14:paraId="2219ECF1"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Neotropical / (Pan-Americano)</w:t>
            </w:r>
          </w:p>
        </w:tc>
        <w:tc>
          <w:tcPr>
            <w:tcW w:w="967" w:type="dxa"/>
            <w:vAlign w:val="center"/>
          </w:tcPr>
          <w:p w14:paraId="31D3593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623" w:type="dxa"/>
            <w:vAlign w:val="center"/>
          </w:tcPr>
          <w:p w14:paraId="123C3A4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1.41</w:t>
            </w:r>
          </w:p>
        </w:tc>
        <w:tc>
          <w:tcPr>
            <w:tcW w:w="794" w:type="dxa"/>
            <w:vAlign w:val="center"/>
          </w:tcPr>
          <w:p w14:paraId="5BEE17D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849" w:type="dxa"/>
            <w:vAlign w:val="center"/>
          </w:tcPr>
          <w:p w14:paraId="3DAD09E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2180" w:type="dxa"/>
            <w:vAlign w:val="center"/>
          </w:tcPr>
          <w:p w14:paraId="680A4E5D"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1F718B5E" w14:textId="77777777">
        <w:trPr>
          <w:trHeight w:val="256"/>
        </w:trPr>
        <w:tc>
          <w:tcPr>
            <w:tcW w:w="3796" w:type="dxa"/>
            <w:vAlign w:val="center"/>
          </w:tcPr>
          <w:p w14:paraId="4A799900"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Neotropical / South America</w:t>
            </w:r>
          </w:p>
        </w:tc>
        <w:tc>
          <w:tcPr>
            <w:tcW w:w="967" w:type="dxa"/>
            <w:vAlign w:val="center"/>
          </w:tcPr>
          <w:p w14:paraId="6BFE43F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w:t>
            </w:r>
          </w:p>
        </w:tc>
        <w:tc>
          <w:tcPr>
            <w:tcW w:w="623" w:type="dxa"/>
            <w:vAlign w:val="center"/>
          </w:tcPr>
          <w:p w14:paraId="58DD8E1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w:t>
            </w:r>
          </w:p>
        </w:tc>
        <w:tc>
          <w:tcPr>
            <w:tcW w:w="794" w:type="dxa"/>
            <w:vAlign w:val="center"/>
          </w:tcPr>
          <w:p w14:paraId="79478B9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w:t>
            </w:r>
          </w:p>
        </w:tc>
        <w:tc>
          <w:tcPr>
            <w:tcW w:w="849" w:type="dxa"/>
            <w:vAlign w:val="center"/>
          </w:tcPr>
          <w:p w14:paraId="0006239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0.119</w:t>
            </w:r>
          </w:p>
        </w:tc>
        <w:tc>
          <w:tcPr>
            <w:tcW w:w="2180" w:type="dxa"/>
            <w:vAlign w:val="center"/>
          </w:tcPr>
          <w:p w14:paraId="19219836" w14:textId="77777777" w:rsidR="00B03AB3" w:rsidRDefault="00B03AB3" w:rsidP="00915440">
            <w:pPr>
              <w:pStyle w:val="TableContents"/>
              <w:jc w:val="center"/>
              <w:rPr>
                <w:rFonts w:ascii="Times New Roman" w:eastAsia="Times New Roman" w:hAnsi="Times New Roman" w:cs="Times New Roman"/>
              </w:rPr>
            </w:pPr>
          </w:p>
        </w:tc>
      </w:tr>
      <w:tr w:rsidR="00B03AB3" w14:paraId="65EF48DF" w14:textId="77777777">
        <w:trPr>
          <w:trHeight w:val="256"/>
        </w:trPr>
        <w:tc>
          <w:tcPr>
            <w:tcW w:w="3796" w:type="dxa"/>
            <w:tcBorders>
              <w:bottom w:val="single" w:sz="2" w:space="0" w:color="000000"/>
            </w:tcBorders>
            <w:vAlign w:val="center"/>
          </w:tcPr>
          <w:p w14:paraId="66637BD5"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(Pan-Americano) / South America</w:t>
            </w:r>
          </w:p>
        </w:tc>
        <w:tc>
          <w:tcPr>
            <w:tcW w:w="967" w:type="dxa"/>
            <w:tcBorders>
              <w:bottom w:val="single" w:sz="2" w:space="0" w:color="000000"/>
            </w:tcBorders>
            <w:vAlign w:val="center"/>
          </w:tcPr>
          <w:p w14:paraId="14E3EC6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w:t>
            </w:r>
          </w:p>
        </w:tc>
        <w:tc>
          <w:tcPr>
            <w:tcW w:w="623" w:type="dxa"/>
            <w:vAlign w:val="center"/>
          </w:tcPr>
          <w:p w14:paraId="2061DAF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w:t>
            </w:r>
          </w:p>
        </w:tc>
        <w:tc>
          <w:tcPr>
            <w:tcW w:w="794" w:type="dxa"/>
            <w:vAlign w:val="center"/>
          </w:tcPr>
          <w:p w14:paraId="1601A818"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w:t>
            </w:r>
          </w:p>
        </w:tc>
        <w:tc>
          <w:tcPr>
            <w:tcW w:w="849" w:type="dxa"/>
            <w:vAlign w:val="center"/>
          </w:tcPr>
          <w:p w14:paraId="2433E24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0.119</w:t>
            </w:r>
          </w:p>
        </w:tc>
        <w:tc>
          <w:tcPr>
            <w:tcW w:w="2180" w:type="dxa"/>
            <w:vAlign w:val="center"/>
          </w:tcPr>
          <w:p w14:paraId="296FEF7D" w14:textId="77777777" w:rsidR="00B03AB3" w:rsidRDefault="00B03AB3" w:rsidP="00915440">
            <w:pPr>
              <w:pStyle w:val="TableContents"/>
              <w:jc w:val="center"/>
              <w:rPr>
                <w:rFonts w:ascii="Times New Roman" w:eastAsia="Times New Roman" w:hAnsi="Times New Roman" w:cs="Times New Roman"/>
              </w:rPr>
            </w:pPr>
          </w:p>
        </w:tc>
      </w:tr>
      <w:tr w:rsidR="00B03AB3" w14:paraId="403A48C2" w14:textId="77777777">
        <w:trPr>
          <w:trHeight w:val="477"/>
        </w:trPr>
        <w:tc>
          <w:tcPr>
            <w:tcW w:w="9209" w:type="dxa"/>
            <w:gridSpan w:val="6"/>
            <w:tcBorders>
              <w:top w:val="single" w:sz="6" w:space="0" w:color="000000"/>
              <w:bottom w:val="single" w:sz="6" w:space="0" w:color="000000"/>
            </w:tcBorders>
            <w:vAlign w:val="center"/>
          </w:tcPr>
          <w:p w14:paraId="5FDABB57" w14:textId="77777777" w:rsidR="00B03AB3" w:rsidRDefault="00000000" w:rsidP="00915440">
            <w:pPr>
              <w:jc w:val="center"/>
              <w:rPr>
                <w:rFonts w:ascii="Times New Roman" w:eastAsia="Times New Roman" w:hAnsi="Times New Roman" w:cs="Times New Roman"/>
                <w:b/>
                <w:bCs/>
                <w:color w:val="4EA72E" w:themeColor="accent6"/>
                <w:sz w:val="18"/>
                <w:szCs w:val="18"/>
              </w:rPr>
            </w:pPr>
            <w:r>
              <w:rPr>
                <w:rFonts w:ascii="Times New Roman" w:eastAsia="Times New Roman" w:hAnsi="Times New Roman" w:cs="Times New Roman"/>
                <w:b/>
                <w:bCs/>
                <w:color w:val="000000"/>
                <w:sz w:val="18"/>
                <w:szCs w:val="18"/>
              </w:rPr>
              <w:t>Ecosystem</w:t>
            </w:r>
          </w:p>
        </w:tc>
      </w:tr>
      <w:tr w:rsidR="00B03AB3" w14:paraId="3DD267CD" w14:textId="77777777">
        <w:trPr>
          <w:trHeight w:val="256"/>
        </w:trPr>
        <w:tc>
          <w:tcPr>
            <w:tcW w:w="3796" w:type="dxa"/>
            <w:tcBorders>
              <w:bottom w:val="single" w:sz="2" w:space="0" w:color="000000"/>
            </w:tcBorders>
            <w:tcMar>
              <w:top w:w="28" w:type="dxa"/>
              <w:left w:w="28" w:type="dxa"/>
              <w:bottom w:w="28" w:type="dxa"/>
              <w:right w:w="28" w:type="dxa"/>
            </w:tcMar>
            <w:vAlign w:val="center"/>
          </w:tcPr>
          <w:p w14:paraId="201436EB" w14:textId="77777777"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Contrasts</w:t>
            </w:r>
          </w:p>
        </w:tc>
        <w:tc>
          <w:tcPr>
            <w:tcW w:w="967" w:type="dxa"/>
            <w:tcBorders>
              <w:bottom w:val="single" w:sz="2" w:space="0" w:color="000000"/>
            </w:tcBorders>
            <w:tcMar>
              <w:top w:w="28" w:type="dxa"/>
              <w:left w:w="28" w:type="dxa"/>
              <w:bottom w:w="28" w:type="dxa"/>
              <w:right w:w="28" w:type="dxa"/>
            </w:tcMar>
            <w:vAlign w:val="center"/>
          </w:tcPr>
          <w:p w14:paraId="623D9EC1"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Ratio</w:t>
            </w:r>
          </w:p>
        </w:tc>
        <w:tc>
          <w:tcPr>
            <w:tcW w:w="623" w:type="dxa"/>
            <w:tcBorders>
              <w:bottom w:val="single" w:sz="2" w:space="0" w:color="000000"/>
            </w:tcBorders>
            <w:tcMar>
              <w:top w:w="28" w:type="dxa"/>
              <w:left w:w="28" w:type="dxa"/>
              <w:bottom w:w="28" w:type="dxa"/>
              <w:right w:w="28" w:type="dxa"/>
            </w:tcMar>
            <w:vAlign w:val="center"/>
          </w:tcPr>
          <w:p w14:paraId="74A93C3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794" w:type="dxa"/>
            <w:tcBorders>
              <w:bottom w:val="single" w:sz="2" w:space="0" w:color="000000"/>
            </w:tcBorders>
            <w:tcMar>
              <w:top w:w="28" w:type="dxa"/>
              <w:left w:w="28" w:type="dxa"/>
              <w:bottom w:w="28" w:type="dxa"/>
              <w:right w:w="28" w:type="dxa"/>
            </w:tcMar>
            <w:vAlign w:val="center"/>
          </w:tcPr>
          <w:p w14:paraId="41312FC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Z-Ratio</w:t>
            </w:r>
          </w:p>
        </w:tc>
        <w:tc>
          <w:tcPr>
            <w:tcW w:w="849" w:type="dxa"/>
            <w:tcBorders>
              <w:bottom w:val="single" w:sz="2" w:space="0" w:color="000000"/>
            </w:tcBorders>
            <w:tcMar>
              <w:top w:w="28" w:type="dxa"/>
              <w:left w:w="28" w:type="dxa"/>
              <w:bottom w:w="28" w:type="dxa"/>
              <w:right w:w="28" w:type="dxa"/>
            </w:tcMar>
            <w:vAlign w:val="center"/>
          </w:tcPr>
          <w:p w14:paraId="7BF654D8"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P-value</w:t>
            </w:r>
          </w:p>
        </w:tc>
        <w:tc>
          <w:tcPr>
            <w:tcW w:w="2180" w:type="dxa"/>
            <w:tcBorders>
              <w:bottom w:val="single" w:sz="2" w:space="0" w:color="000000"/>
            </w:tcBorders>
            <w:tcMar>
              <w:top w:w="28" w:type="dxa"/>
              <w:left w:w="28" w:type="dxa"/>
              <w:bottom w:w="28" w:type="dxa"/>
              <w:right w:w="28" w:type="dxa"/>
            </w:tcMar>
            <w:vAlign w:val="center"/>
          </w:tcPr>
          <w:p w14:paraId="0E77EE35"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Groups *</w:t>
            </w:r>
          </w:p>
        </w:tc>
      </w:tr>
      <w:tr w:rsidR="00B03AB3" w14:paraId="34CCC134" w14:textId="77777777">
        <w:trPr>
          <w:trHeight w:val="256"/>
        </w:trPr>
        <w:tc>
          <w:tcPr>
            <w:tcW w:w="3796" w:type="dxa"/>
            <w:vAlign w:val="center"/>
          </w:tcPr>
          <w:p w14:paraId="23F6FB17"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Aquatic / Marine</w:t>
            </w:r>
          </w:p>
        </w:tc>
        <w:tc>
          <w:tcPr>
            <w:tcW w:w="967" w:type="dxa"/>
            <w:vAlign w:val="center"/>
          </w:tcPr>
          <w:p w14:paraId="4C88A2F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0.56</w:t>
            </w:r>
          </w:p>
        </w:tc>
        <w:tc>
          <w:tcPr>
            <w:tcW w:w="623" w:type="dxa"/>
            <w:vAlign w:val="center"/>
          </w:tcPr>
          <w:p w14:paraId="7CC9DE6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w:t>
            </w:r>
          </w:p>
        </w:tc>
        <w:tc>
          <w:tcPr>
            <w:tcW w:w="794" w:type="dxa"/>
            <w:vAlign w:val="center"/>
          </w:tcPr>
          <w:p w14:paraId="4FC7FD5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w:t>
            </w:r>
          </w:p>
        </w:tc>
        <w:tc>
          <w:tcPr>
            <w:tcW w:w="849" w:type="dxa"/>
            <w:vAlign w:val="center"/>
          </w:tcPr>
          <w:p w14:paraId="0BA918C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0.543</w:t>
            </w:r>
          </w:p>
        </w:tc>
        <w:tc>
          <w:tcPr>
            <w:tcW w:w="2180" w:type="dxa"/>
            <w:vAlign w:val="center"/>
          </w:tcPr>
          <w:p w14:paraId="5E20CCA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Terrestrial a</w:t>
            </w:r>
          </w:p>
        </w:tc>
      </w:tr>
      <w:tr w:rsidR="00B03AB3" w14:paraId="50EC95A9" w14:textId="77777777">
        <w:trPr>
          <w:trHeight w:val="256"/>
        </w:trPr>
        <w:tc>
          <w:tcPr>
            <w:tcW w:w="3796" w:type="dxa"/>
            <w:vAlign w:val="center"/>
          </w:tcPr>
          <w:p w14:paraId="1E38C4E3"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Aquatic / Terrestrial</w:t>
            </w:r>
          </w:p>
        </w:tc>
        <w:tc>
          <w:tcPr>
            <w:tcW w:w="967" w:type="dxa"/>
            <w:vAlign w:val="center"/>
          </w:tcPr>
          <w:p w14:paraId="009123C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623" w:type="dxa"/>
            <w:vAlign w:val="center"/>
          </w:tcPr>
          <w:p w14:paraId="3B4BA5B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0.02</w:t>
            </w:r>
          </w:p>
        </w:tc>
        <w:tc>
          <w:tcPr>
            <w:tcW w:w="794" w:type="dxa"/>
            <w:vAlign w:val="center"/>
          </w:tcPr>
          <w:p w14:paraId="4834BF0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-6.54</w:t>
            </w:r>
          </w:p>
        </w:tc>
        <w:tc>
          <w:tcPr>
            <w:tcW w:w="849" w:type="dxa"/>
            <w:vAlign w:val="center"/>
          </w:tcPr>
          <w:p w14:paraId="1229128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4A6ECD6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Aquatic b</w:t>
            </w:r>
          </w:p>
        </w:tc>
      </w:tr>
      <w:tr w:rsidR="00B03AB3" w14:paraId="35E4C21E" w14:textId="77777777">
        <w:trPr>
          <w:trHeight w:val="256"/>
        </w:trPr>
        <w:tc>
          <w:tcPr>
            <w:tcW w:w="3796" w:type="dxa"/>
            <w:vAlign w:val="center"/>
          </w:tcPr>
          <w:p w14:paraId="40DF31C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Marine / Terrestrial</w:t>
            </w:r>
          </w:p>
        </w:tc>
        <w:tc>
          <w:tcPr>
            <w:tcW w:w="967" w:type="dxa"/>
            <w:vAlign w:val="center"/>
          </w:tcPr>
          <w:p w14:paraId="7A1EE57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0.09</w:t>
            </w:r>
          </w:p>
        </w:tc>
        <w:tc>
          <w:tcPr>
            <w:tcW w:w="623" w:type="dxa"/>
            <w:vAlign w:val="center"/>
          </w:tcPr>
          <w:p w14:paraId="7D8B33C6"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794" w:type="dxa"/>
            <w:vAlign w:val="center"/>
          </w:tcPr>
          <w:p w14:paraId="5318C9B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-6.92</w:t>
            </w:r>
          </w:p>
        </w:tc>
        <w:tc>
          <w:tcPr>
            <w:tcW w:w="849" w:type="dxa"/>
            <w:vAlign w:val="center"/>
          </w:tcPr>
          <w:p w14:paraId="42287DF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4C74E87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Marine b</w:t>
            </w:r>
          </w:p>
        </w:tc>
      </w:tr>
      <w:tr w:rsidR="00B03AB3" w14:paraId="5AC48A09" w14:textId="77777777">
        <w:trPr>
          <w:trHeight w:val="477"/>
        </w:trPr>
        <w:tc>
          <w:tcPr>
            <w:tcW w:w="9209" w:type="dxa"/>
            <w:gridSpan w:val="6"/>
            <w:tcBorders>
              <w:top w:val="single" w:sz="6" w:space="0" w:color="000000"/>
              <w:bottom w:val="single" w:sz="6" w:space="0" w:color="000000"/>
            </w:tcBorders>
            <w:vAlign w:val="center"/>
          </w:tcPr>
          <w:p w14:paraId="08D9C08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Ecological level</w:t>
            </w:r>
          </w:p>
        </w:tc>
      </w:tr>
      <w:tr w:rsidR="00B03AB3" w14:paraId="1ABADFFF" w14:textId="77777777">
        <w:trPr>
          <w:trHeight w:val="256"/>
        </w:trPr>
        <w:tc>
          <w:tcPr>
            <w:tcW w:w="3796" w:type="dxa"/>
            <w:tcBorders>
              <w:top w:val="single" w:sz="2" w:space="0" w:color="000000"/>
              <w:bottom w:val="single" w:sz="2" w:space="0" w:color="000000"/>
            </w:tcBorders>
            <w:tcMar>
              <w:top w:w="28" w:type="dxa"/>
              <w:left w:w="28" w:type="dxa"/>
              <w:bottom w:w="28" w:type="dxa"/>
              <w:right w:w="28" w:type="dxa"/>
            </w:tcMar>
            <w:vAlign w:val="center"/>
          </w:tcPr>
          <w:p w14:paraId="665A9363" w14:textId="77777777" w:rsidR="00B03AB3" w:rsidRDefault="00000000" w:rsidP="00915440">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Contrasts</w:t>
            </w:r>
          </w:p>
        </w:tc>
        <w:tc>
          <w:tcPr>
            <w:tcW w:w="967" w:type="dxa"/>
            <w:tcBorders>
              <w:bottom w:val="single" w:sz="2" w:space="0" w:color="000000"/>
            </w:tcBorders>
            <w:tcMar>
              <w:top w:w="28" w:type="dxa"/>
              <w:left w:w="28" w:type="dxa"/>
              <w:bottom w:w="28" w:type="dxa"/>
              <w:right w:w="28" w:type="dxa"/>
            </w:tcMar>
            <w:vAlign w:val="center"/>
          </w:tcPr>
          <w:p w14:paraId="1BA768E2"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Ratio</w:t>
            </w:r>
          </w:p>
        </w:tc>
        <w:tc>
          <w:tcPr>
            <w:tcW w:w="623" w:type="dxa"/>
            <w:tcBorders>
              <w:bottom w:val="single" w:sz="2" w:space="0" w:color="000000"/>
            </w:tcBorders>
            <w:tcMar>
              <w:top w:w="28" w:type="dxa"/>
              <w:left w:w="28" w:type="dxa"/>
              <w:bottom w:w="28" w:type="dxa"/>
              <w:right w:w="28" w:type="dxa"/>
            </w:tcMar>
            <w:vAlign w:val="center"/>
          </w:tcPr>
          <w:p w14:paraId="7C67E0BE"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SE</w:t>
            </w:r>
          </w:p>
        </w:tc>
        <w:tc>
          <w:tcPr>
            <w:tcW w:w="794" w:type="dxa"/>
            <w:tcBorders>
              <w:bottom w:val="single" w:sz="2" w:space="0" w:color="000000"/>
            </w:tcBorders>
            <w:tcMar>
              <w:top w:w="28" w:type="dxa"/>
              <w:left w:w="28" w:type="dxa"/>
              <w:bottom w:w="28" w:type="dxa"/>
              <w:right w:w="28" w:type="dxa"/>
            </w:tcMar>
            <w:vAlign w:val="center"/>
          </w:tcPr>
          <w:p w14:paraId="2D4695B3"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Z-Ratio</w:t>
            </w:r>
          </w:p>
        </w:tc>
        <w:tc>
          <w:tcPr>
            <w:tcW w:w="849" w:type="dxa"/>
            <w:tcBorders>
              <w:bottom w:val="single" w:sz="2" w:space="0" w:color="000000"/>
            </w:tcBorders>
            <w:tcMar>
              <w:top w:w="28" w:type="dxa"/>
              <w:left w:w="28" w:type="dxa"/>
              <w:bottom w:w="28" w:type="dxa"/>
              <w:right w:w="28" w:type="dxa"/>
            </w:tcMar>
            <w:vAlign w:val="center"/>
          </w:tcPr>
          <w:p w14:paraId="7BF1F3D0"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P-value</w:t>
            </w:r>
          </w:p>
        </w:tc>
        <w:tc>
          <w:tcPr>
            <w:tcW w:w="2180" w:type="dxa"/>
            <w:tcBorders>
              <w:bottom w:val="single" w:sz="2" w:space="0" w:color="000000"/>
            </w:tcBorders>
            <w:tcMar>
              <w:top w:w="28" w:type="dxa"/>
              <w:left w:w="28" w:type="dxa"/>
              <w:bottom w:w="28" w:type="dxa"/>
              <w:right w:w="28" w:type="dxa"/>
            </w:tcMar>
            <w:vAlign w:val="center"/>
          </w:tcPr>
          <w:p w14:paraId="100DD52C" w14:textId="77777777" w:rsidR="00B03AB3" w:rsidRDefault="00000000" w:rsidP="00915440">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Groups *</w:t>
            </w:r>
          </w:p>
        </w:tc>
      </w:tr>
      <w:tr w:rsidR="00B03AB3" w14:paraId="681BB86D" w14:textId="77777777">
        <w:trPr>
          <w:trHeight w:val="256"/>
        </w:trPr>
        <w:tc>
          <w:tcPr>
            <w:tcW w:w="3796" w:type="dxa"/>
            <w:vAlign w:val="center"/>
          </w:tcPr>
          <w:p w14:paraId="429BEE85"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Communities / Ecosystems</w:t>
            </w:r>
          </w:p>
        </w:tc>
        <w:tc>
          <w:tcPr>
            <w:tcW w:w="967" w:type="dxa"/>
            <w:vAlign w:val="center"/>
          </w:tcPr>
          <w:p w14:paraId="5D1E8F64"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6.87</w:t>
            </w:r>
          </w:p>
        </w:tc>
        <w:tc>
          <w:tcPr>
            <w:tcW w:w="623" w:type="dxa"/>
            <w:vAlign w:val="center"/>
          </w:tcPr>
          <w:p w14:paraId="1B67409A"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2.60</w:t>
            </w:r>
          </w:p>
        </w:tc>
        <w:tc>
          <w:tcPr>
            <w:tcW w:w="794" w:type="dxa"/>
            <w:vAlign w:val="center"/>
          </w:tcPr>
          <w:p w14:paraId="6AD66CA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5.09</w:t>
            </w:r>
          </w:p>
        </w:tc>
        <w:tc>
          <w:tcPr>
            <w:tcW w:w="849" w:type="dxa"/>
            <w:vAlign w:val="center"/>
          </w:tcPr>
          <w:p w14:paraId="1775B2B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5BEAA03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Communities a</w:t>
            </w:r>
          </w:p>
        </w:tc>
      </w:tr>
      <w:tr w:rsidR="00B03AB3" w14:paraId="1FFB0A4A" w14:textId="77777777">
        <w:trPr>
          <w:trHeight w:val="256"/>
        </w:trPr>
        <w:tc>
          <w:tcPr>
            <w:tcW w:w="3796" w:type="dxa"/>
            <w:vAlign w:val="center"/>
          </w:tcPr>
          <w:p w14:paraId="1EF0B6CB"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Communities / Populations</w:t>
            </w:r>
          </w:p>
        </w:tc>
        <w:tc>
          <w:tcPr>
            <w:tcW w:w="967" w:type="dxa"/>
            <w:vAlign w:val="center"/>
          </w:tcPr>
          <w:p w14:paraId="4CB4790C"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1.22</w:t>
            </w:r>
          </w:p>
        </w:tc>
        <w:tc>
          <w:tcPr>
            <w:tcW w:w="623" w:type="dxa"/>
            <w:vAlign w:val="center"/>
          </w:tcPr>
          <w:p w14:paraId="18EF2E8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w:t>
            </w:r>
          </w:p>
        </w:tc>
        <w:tc>
          <w:tcPr>
            <w:tcW w:w="794" w:type="dxa"/>
            <w:vAlign w:val="center"/>
          </w:tcPr>
          <w:p w14:paraId="5D00472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849" w:type="dxa"/>
            <w:vAlign w:val="center"/>
          </w:tcPr>
          <w:p w14:paraId="1216B86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0.750</w:t>
            </w:r>
          </w:p>
        </w:tc>
        <w:tc>
          <w:tcPr>
            <w:tcW w:w="2180" w:type="dxa"/>
            <w:vAlign w:val="center"/>
          </w:tcPr>
          <w:p w14:paraId="45AF11C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Populations a</w:t>
            </w:r>
          </w:p>
        </w:tc>
      </w:tr>
      <w:tr w:rsidR="00B03AB3" w14:paraId="0F76E963" w14:textId="77777777">
        <w:trPr>
          <w:trHeight w:val="256"/>
        </w:trPr>
        <w:tc>
          <w:tcPr>
            <w:tcW w:w="3796" w:type="dxa"/>
            <w:vAlign w:val="center"/>
          </w:tcPr>
          <w:p w14:paraId="48EEDED3"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Communities / Social</w:t>
            </w:r>
          </w:p>
        </w:tc>
        <w:tc>
          <w:tcPr>
            <w:tcW w:w="967" w:type="dxa"/>
            <w:vAlign w:val="center"/>
          </w:tcPr>
          <w:p w14:paraId="5FDEF98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18.33</w:t>
            </w:r>
          </w:p>
        </w:tc>
        <w:tc>
          <w:tcPr>
            <w:tcW w:w="623" w:type="dxa"/>
            <w:vAlign w:val="center"/>
          </w:tcPr>
          <w:p w14:paraId="0037AB4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94" w:type="dxa"/>
            <w:vAlign w:val="center"/>
          </w:tcPr>
          <w:p w14:paraId="450F2A6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4.91</w:t>
            </w:r>
          </w:p>
        </w:tc>
        <w:tc>
          <w:tcPr>
            <w:tcW w:w="849" w:type="dxa"/>
            <w:vAlign w:val="center"/>
          </w:tcPr>
          <w:p w14:paraId="786858F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3C03490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Ecosystems b</w:t>
            </w:r>
          </w:p>
        </w:tc>
      </w:tr>
      <w:tr w:rsidR="00B03AB3" w14:paraId="6F6494A2" w14:textId="77777777">
        <w:trPr>
          <w:trHeight w:val="256"/>
        </w:trPr>
        <w:tc>
          <w:tcPr>
            <w:tcW w:w="3796" w:type="dxa"/>
            <w:vAlign w:val="center"/>
          </w:tcPr>
          <w:p w14:paraId="33E9618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Ecosystems / Populations</w:t>
            </w:r>
          </w:p>
        </w:tc>
        <w:tc>
          <w:tcPr>
            <w:tcW w:w="967" w:type="dxa"/>
            <w:vAlign w:val="center"/>
          </w:tcPr>
          <w:p w14:paraId="609ED1D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w:t>
            </w:r>
          </w:p>
        </w:tc>
        <w:tc>
          <w:tcPr>
            <w:tcW w:w="623" w:type="dxa"/>
            <w:vAlign w:val="center"/>
          </w:tcPr>
          <w:p w14:paraId="7FCDF781"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794" w:type="dxa"/>
            <w:vAlign w:val="center"/>
          </w:tcPr>
          <w:p w14:paraId="6A16425F"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-4.50</w:t>
            </w:r>
          </w:p>
        </w:tc>
        <w:tc>
          <w:tcPr>
            <w:tcW w:w="849" w:type="dxa"/>
            <w:vAlign w:val="center"/>
          </w:tcPr>
          <w:p w14:paraId="4446FACD"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vAlign w:val="center"/>
          </w:tcPr>
          <w:p w14:paraId="1B48EAE0"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Social b</w:t>
            </w:r>
          </w:p>
        </w:tc>
      </w:tr>
      <w:tr w:rsidR="00B03AB3" w14:paraId="219252BE" w14:textId="77777777">
        <w:trPr>
          <w:trHeight w:val="256"/>
        </w:trPr>
        <w:tc>
          <w:tcPr>
            <w:tcW w:w="3796" w:type="dxa"/>
            <w:vAlign w:val="center"/>
          </w:tcPr>
          <w:p w14:paraId="4D311588"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Ecosystems / Social</w:t>
            </w:r>
          </w:p>
        </w:tc>
        <w:tc>
          <w:tcPr>
            <w:tcW w:w="967" w:type="dxa"/>
            <w:vAlign w:val="center"/>
          </w:tcPr>
          <w:p w14:paraId="1FAEFC93"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2.67</w:t>
            </w:r>
          </w:p>
        </w:tc>
        <w:tc>
          <w:tcPr>
            <w:tcW w:w="623" w:type="dxa"/>
            <w:vAlign w:val="center"/>
          </w:tcPr>
          <w:p w14:paraId="7D50F545"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1.81</w:t>
            </w:r>
          </w:p>
        </w:tc>
        <w:tc>
          <w:tcPr>
            <w:tcW w:w="794" w:type="dxa"/>
            <w:vAlign w:val="center"/>
          </w:tcPr>
          <w:p w14:paraId="72785BB7"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1.45</w:t>
            </w:r>
          </w:p>
        </w:tc>
        <w:tc>
          <w:tcPr>
            <w:tcW w:w="849" w:type="dxa"/>
            <w:vAlign w:val="center"/>
          </w:tcPr>
          <w:p w14:paraId="3A977FB9"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0.469</w:t>
            </w:r>
          </w:p>
        </w:tc>
        <w:tc>
          <w:tcPr>
            <w:tcW w:w="2180" w:type="dxa"/>
            <w:vAlign w:val="center"/>
          </w:tcPr>
          <w:p w14:paraId="7194DBDC"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r w:rsidR="00B03AB3" w14:paraId="3B32C0A3" w14:textId="77777777">
        <w:trPr>
          <w:trHeight w:val="256"/>
        </w:trPr>
        <w:tc>
          <w:tcPr>
            <w:tcW w:w="3796" w:type="dxa"/>
            <w:tcBorders>
              <w:bottom w:val="single" w:sz="2" w:space="0" w:color="000000"/>
            </w:tcBorders>
            <w:tcMar>
              <w:top w:w="28" w:type="dxa"/>
              <w:left w:w="28" w:type="dxa"/>
              <w:bottom w:w="28" w:type="dxa"/>
              <w:right w:w="28" w:type="dxa"/>
            </w:tcMar>
            <w:vAlign w:val="center"/>
          </w:tcPr>
          <w:p w14:paraId="06631534" w14:textId="77777777" w:rsidR="00B03AB3" w:rsidRDefault="00000000" w:rsidP="00915440">
            <w:pPr>
              <w:pStyle w:val="TableContent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Populations / Social</w:t>
            </w:r>
          </w:p>
        </w:tc>
        <w:tc>
          <w:tcPr>
            <w:tcW w:w="967" w:type="dxa"/>
            <w:tcBorders>
              <w:bottom w:val="single" w:sz="2" w:space="0" w:color="000000"/>
            </w:tcBorders>
            <w:tcMar>
              <w:top w:w="28" w:type="dxa"/>
              <w:left w:w="28" w:type="dxa"/>
              <w:bottom w:w="28" w:type="dxa"/>
              <w:right w:w="28" w:type="dxa"/>
            </w:tcMar>
            <w:vAlign w:val="center"/>
          </w:tcPr>
          <w:p w14:paraId="3570D11B"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15.00</w:t>
            </w:r>
          </w:p>
        </w:tc>
        <w:tc>
          <w:tcPr>
            <w:tcW w:w="623" w:type="dxa"/>
            <w:tcBorders>
              <w:bottom w:val="single" w:sz="2" w:space="0" w:color="000000"/>
            </w:tcBorders>
            <w:tcMar>
              <w:top w:w="28" w:type="dxa"/>
              <w:left w:w="28" w:type="dxa"/>
              <w:bottom w:w="28" w:type="dxa"/>
              <w:right w:w="28" w:type="dxa"/>
            </w:tcMar>
            <w:vAlign w:val="center"/>
          </w:tcPr>
          <w:p w14:paraId="7B6B8352"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8.94</w:t>
            </w:r>
          </w:p>
        </w:tc>
        <w:tc>
          <w:tcPr>
            <w:tcW w:w="794" w:type="dxa"/>
            <w:tcBorders>
              <w:bottom w:val="single" w:sz="2" w:space="0" w:color="000000"/>
            </w:tcBorders>
            <w:tcMar>
              <w:top w:w="28" w:type="dxa"/>
              <w:left w:w="28" w:type="dxa"/>
              <w:bottom w:w="28" w:type="dxa"/>
              <w:right w:w="28" w:type="dxa"/>
            </w:tcMar>
            <w:vAlign w:val="center"/>
          </w:tcPr>
          <w:p w14:paraId="7E1B4EF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4.54</w:t>
            </w:r>
          </w:p>
        </w:tc>
        <w:tc>
          <w:tcPr>
            <w:tcW w:w="849" w:type="dxa"/>
            <w:tcBorders>
              <w:bottom w:val="single" w:sz="2" w:space="0" w:color="000000"/>
            </w:tcBorders>
            <w:tcMar>
              <w:top w:w="28" w:type="dxa"/>
              <w:left w:w="28" w:type="dxa"/>
              <w:bottom w:w="28" w:type="dxa"/>
              <w:right w:w="28" w:type="dxa"/>
            </w:tcMar>
            <w:vAlign w:val="center"/>
          </w:tcPr>
          <w:p w14:paraId="388B286E" w14:textId="77777777" w:rsidR="00B03AB3" w:rsidRDefault="00000000" w:rsidP="00915440">
            <w:pPr>
              <w:pStyle w:val="TableContent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0.001</w:t>
            </w:r>
          </w:p>
        </w:tc>
        <w:tc>
          <w:tcPr>
            <w:tcW w:w="2180" w:type="dxa"/>
            <w:tcBorders>
              <w:bottom w:val="single" w:sz="2" w:space="0" w:color="000000"/>
            </w:tcBorders>
            <w:tcMar>
              <w:top w:w="28" w:type="dxa"/>
              <w:left w:w="28" w:type="dxa"/>
              <w:bottom w:w="28" w:type="dxa"/>
              <w:right w:w="28" w:type="dxa"/>
            </w:tcMar>
            <w:vAlign w:val="center"/>
          </w:tcPr>
          <w:p w14:paraId="769D0D3C" w14:textId="77777777" w:rsidR="00B03AB3" w:rsidRDefault="00B03AB3" w:rsidP="00915440">
            <w:pPr>
              <w:pStyle w:val="TableContents"/>
              <w:jc w:val="center"/>
              <w:rPr>
                <w:rFonts w:ascii="Times New Roman" w:eastAsia="Times New Roman" w:hAnsi="Times New Roman" w:cs="Times New Roman"/>
                <w:color w:val="000000"/>
                <w:sz w:val="18"/>
                <w:szCs w:val="18"/>
              </w:rPr>
            </w:pPr>
          </w:p>
        </w:tc>
      </w:tr>
    </w:tbl>
    <w:p w14:paraId="1231BE67" w14:textId="77777777" w:rsidR="00B03AB3" w:rsidRDefault="00000000" w:rsidP="00915440">
      <w:pPr>
        <w:rPr>
          <w:rFonts w:ascii="Times New Roman" w:eastAsia="Times New Roman" w:hAnsi="Times New Roman" w:cs="Times New Roman"/>
          <w:color w:val="000000"/>
          <w:highlight w:val="yellow"/>
        </w:rPr>
      </w:pPr>
      <w:r>
        <w:br w:type="page"/>
      </w:r>
    </w:p>
    <w:p w14:paraId="63E4A9CD" w14:textId="4628B005" w:rsidR="00B03AB3" w:rsidRDefault="00000000" w:rsidP="00915440">
      <w:pPr>
        <w:pStyle w:val="BodyText"/>
        <w:spacing w:after="0" w:line="240" w:lineRule="auto"/>
        <w:rPr>
          <w:rFonts w:ascii="Times New Roman" w:eastAsia="Times New Roman" w:hAnsi="Times New Roman" w:cs="Times New Roman"/>
          <w:color w:val="000000"/>
        </w:rPr>
      </w:pPr>
      <w:bookmarkStart w:id="5" w:name="WACViewPanel_ClipboardElement1"/>
      <w:bookmarkEnd w:id="5"/>
      <w:r>
        <w:rPr>
          <w:rFonts w:ascii="Times New Roman" w:eastAsia="Times New Roman" w:hAnsi="Times New Roman" w:cs="Times New Roman"/>
          <w:noProof/>
          <w:color w:val="000000"/>
        </w:rPr>
        <w:lastRenderedPageBreak/>
        <w:drawing>
          <wp:inline distT="0" distB="0" distL="0" distR="0" wp14:anchorId="71014FCD" wp14:editId="07777777">
            <wp:extent cx="5724525" cy="5629275"/>
            <wp:effectExtent l="0" t="0" r="0" b="0"/>
            <wp:docPr id="11"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
                    <pic:cNvPicPr>
                      <a:picLocks noChangeAspect="1" noChangeArrowheads="1"/>
                    </pic:cNvPicPr>
                  </pic:nvPicPr>
                  <pic:blipFill>
                    <a:blip r:embed="rId19"/>
                    <a:stretch>
                      <a:fillRect/>
                    </a:stretch>
                  </pic:blipFill>
                  <pic:spPr bwMode="auto">
                    <a:xfrm>
                      <a:off x="0" y="0"/>
                      <a:ext cx="5724525" cy="5629275"/>
                    </a:xfrm>
                    <a:prstGeom prst="rect">
                      <a:avLst/>
                    </a:prstGeom>
                  </pic:spPr>
                </pic:pic>
              </a:graphicData>
            </a:graphic>
          </wp:inline>
        </w:drawing>
      </w:r>
    </w:p>
    <w:p w14:paraId="48A21919" w14:textId="6D91622C" w:rsidR="00B03AB3" w:rsidRPr="00D00D00" w:rsidRDefault="00495394" w:rsidP="00915440">
      <w:pPr>
        <w:rPr>
          <w:rFonts w:ascii="Times New Roman" w:eastAsia="Times New Roman" w:hAnsi="Times New Roman" w:cs="Times New Roman"/>
          <w:lang w:val="pt-BR"/>
        </w:rPr>
      </w:pPr>
      <w:r w:rsidRPr="00495394">
        <w:rPr>
          <w:rFonts w:ascii="Times New Roman;Times New Roman" w:hAnsi="Times New Roman;Times New Roman"/>
          <w:b/>
        </w:rPr>
        <w:t xml:space="preserve">Fig. S11. </w:t>
      </w:r>
      <w:r w:rsidRPr="00495394">
        <w:rPr>
          <w:rFonts w:ascii="Times New Roman;Times New Roman" w:hAnsi="Times New Roman;Times New Roman"/>
          <w:bCs/>
        </w:rPr>
        <w:t xml:space="preserve">(A) Most productive institutional affiliations. (B) International collaboration among countries. </w:t>
      </w:r>
      <w:r w:rsidRPr="00D00D00">
        <w:rPr>
          <w:rFonts w:ascii="Times New Roman;Times New Roman" w:hAnsi="Times New Roman;Times New Roman"/>
          <w:bCs/>
          <w:lang w:val="pt-BR"/>
        </w:rPr>
        <w:t>(C) Publication output by country.</w:t>
      </w:r>
      <w:r w:rsidR="00000000" w:rsidRPr="00D00D00">
        <w:rPr>
          <w:lang w:val="pt-BR"/>
        </w:rPr>
        <w:br w:type="page"/>
      </w:r>
    </w:p>
    <w:p w14:paraId="3CD12DC5" w14:textId="70FA240F" w:rsidR="00B03AB3" w:rsidRPr="00D00D00" w:rsidRDefault="005C1F4A" w:rsidP="00915440">
      <w:pPr>
        <w:pStyle w:val="BodyText"/>
        <w:spacing w:after="0" w:line="240" w:lineRule="auto"/>
        <w:jc w:val="both"/>
        <w:rPr>
          <w:rFonts w:ascii="Times New Roman" w:eastAsia="Times New Roman" w:hAnsi="Times New Roman" w:cs="Times New Roman"/>
          <w:b/>
          <w:bCs/>
          <w:sz w:val="28"/>
          <w:szCs w:val="28"/>
          <w:lang w:val="pt-BR"/>
        </w:rPr>
      </w:pPr>
      <w:bookmarkStart w:id="6" w:name="WACViewPanel_ClipboardElement"/>
      <w:bookmarkEnd w:id="6"/>
      <w:r w:rsidRPr="00D00D00">
        <w:rPr>
          <w:rFonts w:ascii="Times New Roman" w:eastAsia="Times New Roman" w:hAnsi="Times New Roman" w:cs="Times New Roman"/>
          <w:b/>
          <w:bCs/>
          <w:sz w:val="28"/>
          <w:szCs w:val="28"/>
          <w:lang w:val="pt-BR"/>
        </w:rPr>
        <w:lastRenderedPageBreak/>
        <w:t>REFERENCES</w:t>
      </w:r>
    </w:p>
    <w:p w14:paraId="1A9F13AE" w14:textId="29C3B24C" w:rsidR="00B03AB3" w:rsidRPr="005C1F4A" w:rsidRDefault="423305BB" w:rsidP="00915440">
      <w:pPr>
        <w:ind w:left="482" w:hanging="482"/>
        <w:rPr>
          <w:rFonts w:ascii="Times New Roman" w:eastAsia="Times New Roman" w:hAnsi="Times New Roman" w:cs="Times New Roman"/>
          <w:lang w:val="pt-BR"/>
        </w:rPr>
      </w:pPr>
      <w:r w:rsidRPr="005C1F4A">
        <w:rPr>
          <w:rFonts w:ascii="Times New Roman" w:eastAsia="Times New Roman" w:hAnsi="Times New Roman" w:cs="Times New Roman"/>
          <w:lang w:val="pt-BR"/>
        </w:rPr>
        <w:t>IBGE</w:t>
      </w:r>
      <w:r w:rsidR="005B1E45">
        <w:rPr>
          <w:rFonts w:ascii="Times New Roman" w:eastAsia="Times New Roman" w:hAnsi="Times New Roman" w:cs="Times New Roman"/>
          <w:lang w:val="pt-BR"/>
        </w:rPr>
        <w:t xml:space="preserve"> </w:t>
      </w:r>
      <w:r w:rsidRPr="005C1F4A">
        <w:rPr>
          <w:rFonts w:ascii="Times New Roman" w:eastAsia="Times New Roman" w:hAnsi="Times New Roman" w:cs="Times New Roman"/>
          <w:lang w:val="pt-BR"/>
        </w:rPr>
        <w:t xml:space="preserve">(2024). Sistema IBGE de recuperação automática: SIDRA. </w:t>
      </w:r>
      <w:r w:rsidRPr="005C1F4A">
        <w:rPr>
          <w:rFonts w:ascii="Times New Roman" w:eastAsia="Times New Roman" w:hAnsi="Times New Roman" w:cs="Times New Roman"/>
          <w:i/>
          <w:iCs/>
          <w:lang w:val="pt-BR"/>
        </w:rPr>
        <w:t>Tabela 9625 - Número de Espécies Da Fauna e Da Flora Brasileira Avaliadas Quanto Ao Risco de Extinção, Por Grupos Taxonômicos, Hábito Ou Forma de Vida, Tipo de Ambiente, Biomas e Sistema Costeiro-Marinho e Categorias de Risco</w:t>
      </w:r>
      <w:r w:rsidRPr="005C1F4A">
        <w:rPr>
          <w:rFonts w:ascii="Times New Roman" w:eastAsia="Times New Roman" w:hAnsi="Times New Roman" w:cs="Times New Roman"/>
          <w:lang w:val="pt-BR"/>
        </w:rPr>
        <w:t xml:space="preserve">. </w:t>
      </w:r>
      <w:hyperlink r:id="rId20" w:anchor="notas-tabela" w:history="1">
        <w:r w:rsidRPr="005C1F4A">
          <w:rPr>
            <w:rStyle w:val="Hyperlink"/>
            <w:rFonts w:ascii="Times New Roman" w:eastAsia="Times New Roman" w:hAnsi="Times New Roman" w:cs="Times New Roman"/>
            <w:lang w:val="pt-BR"/>
          </w:rPr>
          <w:t>https://sidra.ibge.gov.br/tabela/9625#notas-tabela</w:t>
        </w:r>
      </w:hyperlink>
      <w:r w:rsidRPr="005C1F4A">
        <w:rPr>
          <w:rFonts w:ascii="Times New Roman" w:eastAsia="Times New Roman" w:hAnsi="Times New Roman" w:cs="Times New Roman"/>
          <w:lang w:val="pt-BR"/>
        </w:rPr>
        <w:t>.</w:t>
      </w:r>
    </w:p>
    <w:p w14:paraId="33D4CF5F" w14:textId="60A29F00" w:rsidR="00B03AB3" w:rsidRPr="00D00D00" w:rsidRDefault="007E3DD6" w:rsidP="00915440">
      <w:pPr>
        <w:ind w:left="482" w:hanging="482"/>
        <w:rPr>
          <w:rFonts w:ascii="Times New Roman" w:eastAsia="Times New Roman" w:hAnsi="Times New Roman" w:cs="Times New Roman"/>
        </w:rPr>
      </w:pPr>
      <w:r w:rsidRPr="00D00D00">
        <w:rPr>
          <w:rFonts w:ascii="Times New Roman" w:eastAsia="Times New Roman" w:hAnsi="Times New Roman" w:cs="Times New Roman"/>
          <w:lang w:val="pt-BR"/>
        </w:rPr>
        <w:t>CAPES – Coordenação de Aperfeiçoamento de Pessoal de Nível Superior</w:t>
      </w:r>
      <w:r w:rsidRPr="007E3DD6">
        <w:rPr>
          <w:rFonts w:ascii="Times New Roman" w:eastAsia="Times New Roman" w:hAnsi="Times New Roman" w:cs="Times New Roman"/>
          <w:lang w:val="pt-BR"/>
        </w:rPr>
        <w:t xml:space="preserve"> </w:t>
      </w:r>
      <w:r w:rsidR="00000000" w:rsidRPr="005C1F4A">
        <w:rPr>
          <w:rFonts w:ascii="Times New Roman" w:eastAsia="Times New Roman" w:hAnsi="Times New Roman" w:cs="Times New Roman"/>
          <w:lang w:val="pt-BR"/>
        </w:rPr>
        <w:t xml:space="preserve">(2024). Cursos Graduação e Pós-Graduação Avaliados e Reconhecidos. Plataforma Sucupira. </w:t>
      </w:r>
      <w:hyperlink r:id="rId21">
        <w:r w:rsidR="00000000" w:rsidRPr="00D00D00">
          <w:rPr>
            <w:rStyle w:val="Hyperlink"/>
            <w:rFonts w:ascii="Times New Roman" w:eastAsia="Times New Roman" w:hAnsi="Times New Roman" w:cs="Times New Roman"/>
          </w:rPr>
          <w:t>https://sucupira-v2.capes.gov.br/sucupira4/</w:t>
        </w:r>
      </w:hyperlink>
      <w:r w:rsidR="00000000" w:rsidRPr="00D00D00">
        <w:rPr>
          <w:rFonts w:ascii="Times New Roman" w:eastAsia="Times New Roman" w:hAnsi="Times New Roman" w:cs="Times New Roman"/>
        </w:rPr>
        <w:t>.</w:t>
      </w:r>
    </w:p>
    <w:p w14:paraId="0AD9C6F4" w14:textId="3FBD788C" w:rsidR="00B03AB3" w:rsidRPr="005C1F4A" w:rsidRDefault="00000000" w:rsidP="005C1F4A">
      <w:pPr>
        <w:ind w:left="482" w:hanging="482"/>
        <w:rPr>
          <w:rFonts w:ascii="Times New Roman" w:eastAsia="Times New Roman" w:hAnsi="Times New Roman" w:cs="Times New Roman"/>
        </w:rPr>
      </w:pPr>
      <w:r w:rsidRPr="00D00D00">
        <w:rPr>
          <w:rFonts w:ascii="Times New Roman" w:eastAsia="Times New Roman" w:hAnsi="Times New Roman" w:cs="Times New Roman"/>
        </w:rPr>
        <w:t xml:space="preserve">Kursa, M.B. &amp; W. R. Rudnicki (2010). </w:t>
      </w:r>
      <w:r w:rsidRPr="005C1F4A">
        <w:rPr>
          <w:rFonts w:ascii="Times New Roman" w:eastAsia="Times New Roman" w:hAnsi="Times New Roman" w:cs="Times New Roman"/>
        </w:rPr>
        <w:t xml:space="preserve">Feature Selection with the Boruta Package. Journal of Statistical Software, 36(11), 1-13. URL </w:t>
      </w:r>
      <w:hyperlink r:id="rId22">
        <w:r w:rsidRPr="005C1F4A">
          <w:rPr>
            <w:rStyle w:val="Hyperlink"/>
            <w:rFonts w:ascii="Times New Roman" w:eastAsia="Times New Roman" w:hAnsi="Times New Roman" w:cs="Times New Roman"/>
            <w:color w:val="auto"/>
          </w:rPr>
          <w:t>https://doi.org/10.18637/jss.v036.i11</w:t>
        </w:r>
      </w:hyperlink>
      <w:r w:rsidRPr="005C1F4A">
        <w:rPr>
          <w:rFonts w:ascii="Times New Roman" w:eastAsia="Times New Roman" w:hAnsi="Times New Roman" w:cs="Times New Roman"/>
        </w:rPr>
        <w:t>.</w:t>
      </w:r>
    </w:p>
    <w:sectPr w:rsidR="00B03AB3" w:rsidRPr="005C1F4A">
      <w:type w:val="continuous"/>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jaVu Sans">
    <w:panose1 w:val="020B0604020202020204"/>
    <w:charset w:val="00"/>
    <w:family w:val="roman"/>
    <w:notTrueType/>
    <w:pitch w:val="default"/>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panose1 w:val="020B0604020202020204"/>
    <w:charset w:val="01"/>
    <w:family w:val="roman"/>
    <w:pitch w:val="variable"/>
  </w:font>
  <w:font w:name="Times New Roman;Times New Roman">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3CD874"/>
    <w:multiLevelType w:val="multilevel"/>
    <w:tmpl w:val="9E8247B6"/>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3350B6"/>
    <w:multiLevelType w:val="multilevel"/>
    <w:tmpl w:val="E3A242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99117959">
    <w:abstractNumId w:val="0"/>
  </w:num>
  <w:num w:numId="2" w16cid:durableId="89489950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65"/>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23305BB"/>
    <w:rsid w:val="000420E0"/>
    <w:rsid w:val="000753BF"/>
    <w:rsid w:val="00085EB9"/>
    <w:rsid w:val="000C60AD"/>
    <w:rsid w:val="00124FF7"/>
    <w:rsid w:val="0012607D"/>
    <w:rsid w:val="0016439B"/>
    <w:rsid w:val="00196AF6"/>
    <w:rsid w:val="001D66F9"/>
    <w:rsid w:val="001E0687"/>
    <w:rsid w:val="00247482"/>
    <w:rsid w:val="00314359"/>
    <w:rsid w:val="00393BC9"/>
    <w:rsid w:val="003A040F"/>
    <w:rsid w:val="00406A07"/>
    <w:rsid w:val="00443644"/>
    <w:rsid w:val="00490928"/>
    <w:rsid w:val="00495394"/>
    <w:rsid w:val="004A5010"/>
    <w:rsid w:val="004C013E"/>
    <w:rsid w:val="004E4B96"/>
    <w:rsid w:val="005B1E45"/>
    <w:rsid w:val="005C1F4A"/>
    <w:rsid w:val="0062570E"/>
    <w:rsid w:val="006C5FEB"/>
    <w:rsid w:val="00705248"/>
    <w:rsid w:val="00754E6B"/>
    <w:rsid w:val="0076546B"/>
    <w:rsid w:val="007E3DD6"/>
    <w:rsid w:val="007F6A15"/>
    <w:rsid w:val="0081593F"/>
    <w:rsid w:val="0085227A"/>
    <w:rsid w:val="008F1F56"/>
    <w:rsid w:val="00915440"/>
    <w:rsid w:val="00975B9A"/>
    <w:rsid w:val="009C4A84"/>
    <w:rsid w:val="009E4C45"/>
    <w:rsid w:val="00A2487B"/>
    <w:rsid w:val="00B03AB3"/>
    <w:rsid w:val="00B62052"/>
    <w:rsid w:val="00BF33D2"/>
    <w:rsid w:val="00C064DC"/>
    <w:rsid w:val="00C14BD1"/>
    <w:rsid w:val="00CE5BF2"/>
    <w:rsid w:val="00D00D00"/>
    <w:rsid w:val="00DB3937"/>
    <w:rsid w:val="00E66B39"/>
    <w:rsid w:val="00EE07F8"/>
    <w:rsid w:val="00F210CD"/>
    <w:rsid w:val="00F874D9"/>
    <w:rsid w:val="103F21A7"/>
    <w:rsid w:val="25A72665"/>
    <w:rsid w:val="3F92B0F1"/>
    <w:rsid w:val="423305BB"/>
    <w:rsid w:val="4EF88BFA"/>
    <w:rsid w:val="58522790"/>
    <w:rsid w:val="5EE954E6"/>
    <w:rsid w:val="635D0B43"/>
    <w:rsid w:val="6806FEAB"/>
    <w:rsid w:val="6F91AF72"/>
    <w:rsid w:val="7271D087"/>
    <w:rsid w:val="7B4FFE63"/>
    <w:rsid w:val="7E0283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09CC176"/>
  <w15:docId w15:val="{092FEF58-A1C6-46F3-ABE8-36E6922A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DejaVu Sans"/>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Heading"/>
    <w:next w:val="BodyText"/>
    <w:link w:val="Heading1Char"/>
    <w:uiPriority w:val="9"/>
    <w:qFormat/>
    <w:pPr>
      <w:numPr>
        <w:numId w:val="1"/>
      </w:numP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PreformattedChar">
    <w:name w:val="HTML Preformatted Char"/>
    <w:basedOn w:val="DefaultParagraphFont"/>
    <w:qFormat/>
    <w:rPr>
      <w:rFonts w:ascii="Courier New" w:eastAsia="Times New Roman" w:hAnsi="Courier New" w:cs="Courier New"/>
      <w:szCs w:val="20"/>
    </w:rPr>
  </w:style>
  <w:style w:type="character" w:customStyle="1" w:styleId="ggboefpdgvb">
    <w:name w:val="ggboefpdgvb"/>
    <w:basedOn w:val="DefaultParagraphFont"/>
    <w:qFormat/>
  </w:style>
  <w:style w:type="character" w:customStyle="1" w:styleId="ggboefpdawb">
    <w:name w:val="ggboefpdawb"/>
    <w:basedOn w:val="DefaultParagraphFont"/>
    <w:qFormat/>
  </w:style>
  <w:style w:type="character" w:styleId="Hyperlink">
    <w:name w:val="Hyperlink"/>
    <w:rPr>
      <w:color w:val="000080"/>
      <w:u w:val="single"/>
    </w:rPr>
  </w:style>
  <w:style w:type="character" w:styleId="PlaceholderText">
    <w:name w:val="Placeholder Text"/>
    <w:basedOn w:val="DefaultParagraphFont"/>
    <w:uiPriority w:val="99"/>
    <w:semiHidden/>
    <w:qFormat/>
    <w:rsid w:val="00BD26F6"/>
    <w:rPr>
      <w:color w:val="666666"/>
    </w:rPr>
  </w:style>
  <w:style w:type="character" w:customStyle="1" w:styleId="Heading1Char">
    <w:name w:val="Heading 1 Char"/>
    <w:basedOn w:val="DefaultParagraphFont"/>
    <w:link w:val="Heading1"/>
    <w:uiPriority w:val="9"/>
    <w:qFormat/>
    <w:rsid w:val="00BD26F6"/>
    <w:rPr>
      <w:rFonts w:ascii="Liberation Sans" w:eastAsia="Noto Sans CJK SC" w:hAnsi="Liberation Sans" w:cs="Lohit Devanagari"/>
      <w:b/>
      <w:bCs/>
      <w:sz w:val="36"/>
      <w:szCs w:val="36"/>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PreformattedText">
    <w:name w:val="Preformatted Text"/>
    <w:basedOn w:val="Normal"/>
    <w:qFormat/>
    <w:rPr>
      <w:rFonts w:ascii="Liberation Mono" w:eastAsia="Liberation Mono" w:hAnsi="Liberation Mono" w:cs="Liberation Mono"/>
      <w:sz w:val="20"/>
      <w:szCs w:val="20"/>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ListParagraph">
    <w:name w:val="List Paragraph"/>
    <w:basedOn w:val="Normal"/>
    <w:uiPriority w:val="34"/>
    <w:qFormat/>
    <w:rsid w:val="006F650F"/>
    <w:pPr>
      <w:ind w:left="720"/>
      <w:contextualSpacing/>
    </w:pPr>
  </w:style>
  <w:style w:type="table" w:styleId="TableGrid">
    <w:name w:val="Table Grid"/>
    <w:basedOn w:val="TableNormal"/>
    <w:uiPriority w:val="39"/>
    <w:rsid w:val="006F6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E5BF2"/>
    <w:pPr>
      <w:suppressAutoHyphens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sucupira-v2.capes.gov.br/sucupira4/"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sidra.ibge.gov.br/tabela/96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8637/jss.v036.i1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BAFFC1771034BA7A4A1DB4EBD550C" ma:contentTypeVersion="11" ma:contentTypeDescription="Create a new document." ma:contentTypeScope="" ma:versionID="cb350a4e21a7671b6506ce2d4108736a">
  <xsd:schema xmlns:xsd="http://www.w3.org/2001/XMLSchema" xmlns:xs="http://www.w3.org/2001/XMLSchema" xmlns:p="http://schemas.microsoft.com/office/2006/metadata/properties" xmlns:ns2="e3611531-9f13-419e-a240-afed859e07d9" xmlns:ns3="0bbae511-37a8-405d-858c-4a53eeaa87d4" targetNamespace="http://schemas.microsoft.com/office/2006/metadata/properties" ma:root="true" ma:fieldsID="44aabde9e018692f38916d0c2f800540" ns2:_="" ns3:_="">
    <xsd:import namespace="e3611531-9f13-419e-a240-afed859e07d9"/>
    <xsd:import namespace="0bbae511-37a8-405d-858c-4a53eeaa87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11531-9f13-419e-a240-afed859e0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42374f3-4cab-4e95-b6f7-35998408ef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bae511-37a8-405d-858c-4a53eeaa87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5d102f-522a-4192-a497-c1d41c24bc03}" ma:internalName="TaxCatchAll" ma:showField="CatchAllData" ma:web="0bbae511-37a8-405d-858c-4a53eeaa87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611531-9f13-419e-a240-afed859e07d9">
      <Terms xmlns="http://schemas.microsoft.com/office/infopath/2007/PartnerControls"/>
    </lcf76f155ced4ddcb4097134ff3c332f>
    <TaxCatchAll xmlns="0bbae511-37a8-405d-858c-4a53eeaa87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Referência Numérica" Version="1987"/>
</file>

<file path=customXml/itemProps1.xml><?xml version="1.0" encoding="utf-8"?>
<ds:datastoreItem xmlns:ds="http://schemas.openxmlformats.org/officeDocument/2006/customXml" ds:itemID="{FA22E984-680D-4A5A-9DAB-5FF8A25CA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11531-9f13-419e-a240-afed859e07d9"/>
    <ds:schemaRef ds:uri="0bbae511-37a8-405d-858c-4a53eeaa8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F67D0-255B-48F7-B897-A85A1F6E8C56}">
  <ds:schemaRefs>
    <ds:schemaRef ds:uri="http://schemas.microsoft.com/office/2006/metadata/properties"/>
    <ds:schemaRef ds:uri="http://schemas.microsoft.com/office/infopath/2007/PartnerControls"/>
    <ds:schemaRef ds:uri="e3611531-9f13-419e-a240-afed859e07d9"/>
    <ds:schemaRef ds:uri="0bbae511-37a8-405d-858c-4a53eeaa87d4"/>
  </ds:schemaRefs>
</ds:datastoreItem>
</file>

<file path=customXml/itemProps3.xml><?xml version="1.0" encoding="utf-8"?>
<ds:datastoreItem xmlns:ds="http://schemas.openxmlformats.org/officeDocument/2006/customXml" ds:itemID="{34009E46-7295-4A8B-90B0-6A98878D44D6}">
  <ds:schemaRefs>
    <ds:schemaRef ds:uri="http://schemas.microsoft.com/sharepoint/v3/contenttype/forms"/>
  </ds:schemaRefs>
</ds:datastoreItem>
</file>

<file path=customXml/itemProps4.xml><?xml version="1.0" encoding="utf-8"?>
<ds:datastoreItem xmlns:ds="http://schemas.openxmlformats.org/officeDocument/2006/customXml" ds:itemID="{43AEEBAA-7852-4C3A-BBDF-D83D995A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29</Pages>
  <Words>6828</Words>
  <Characters>38923</Characters>
  <Application>Microsoft Office Word</Application>
  <DocSecurity>0</DocSecurity>
  <Lines>324</Lines>
  <Paragraphs>91</Paragraphs>
  <ScaleCrop>false</ScaleCrop>
  <Company/>
  <LinksUpToDate>false</LinksUpToDate>
  <CharactersWithSpaces>45660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Tarcisio Abreu</dc:creator>
  <dc:description/>
  <cp:lastModifiedBy>Colli, Guarino</cp:lastModifiedBy>
  <cp:revision>93</cp:revision>
  <dcterms:created xsi:type="dcterms:W3CDTF">2024-05-15T17:18:00Z</dcterms:created>
  <dcterms:modified xsi:type="dcterms:W3CDTF">2026-08-23T15:42:00Z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0x010100E93BAFFC1771034BA7A4A1DB4EBD550C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