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DFAE2">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Detailed Proteomic Profiling and Gene Set Enrichment Analysis</w:t>
      </w:r>
    </w:p>
    <w:p w14:paraId="7FB6AEFD">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1. Patient selection and matching</w:t>
      </w:r>
    </w:p>
    <w:p w14:paraId="028D2A24">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To explore biological pathways associated with heart rate variability (HRV) status, a subset of patients was selected from the parent cohort. Patients were chosen from the top and bottom tertiles of SDNN (standard deviation of normal-to-normal intervals) and were matched by age (±5 years), sex, and Child‑Pugh class (A or B). After matching, the high-HRV group (SDNN ≥ 18.59 ms, n = 12) and the low-HRV group (SDNN ＜ 18.59 ms, n = 13) showed no significant differences in baseline characteristics (all P &gt; 0.05).</w:t>
      </w:r>
    </w:p>
    <w:p w14:paraId="1AE3D7D9">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2. Serum sample processing and protein digestion</w:t>
      </w:r>
    </w:p>
    <w:p w14:paraId="3DDF9EB6">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Serum samples collected within one week before microwave ablation (MWA) were processed as follows. A high-throughput liquid processing platform (Bravo, Agilent) was used for serum proteomics sample preparation. Briefly, 5 μL of serum sample and 20 μL of protein lysate were added into a dedicated 96-well deep well plate, followed by incubation at 95 ℃ for 10 min. Then 5 μL of 5 μg/μL protein enrichment magnetic beads were added, mixed with 45 μL acetonitrile and shaken for 15 min. The supernatant was removed after magnetic bead enrichment. The beads were washed twice with 80% ethanol, and rinsed once more with acetonitrile. Subsequently, 35 μL trypsin buffer and 10 μL sequencing‑grade trypsin working solution (Promega, Madison, WI, USA) were added, and the mixture was incubated at 37 ℃ on a thermoshaker for 16 h.</w:t>
      </w:r>
    </w:p>
    <w:p w14:paraId="5F328C06">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Optifit Tips (Sartorius, Göttingen, Germany) assembled with C18 solid-phase extraction membrane were activated in advance: 20 μL of 80% acetonitrile containing 0.1% formic acid was loaded, centrifuged at 550 g for 2 min, and soaked in chromatographic-grade isopropanol for 10 min. Afterward, 20 μL of 0.1% formic acid was added, centrifuged at 550 g for 2 min, and the tips were stored in 0.1% formic acid until use.</w:t>
      </w:r>
    </w:p>
    <w:p w14:paraId="1428C4E8">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After digestion, 6 μL of 5% trifluoroacetic acid (TFA) was added to terminate the reaction, and magnetic beads were captured. The supernatant was transferred to activated C18 tips and centrifuged at 800 g for 2 min. The tips were washed sequentially with 50 μL and 100 μL of 0.1% formic acid (FA) at 800 g for 2 min each. After brief centrifugation, samples were subjected to mass spectrometry detection.</w:t>
      </w:r>
    </w:p>
    <w:p w14:paraId="52047AAC">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3. Liquid chromatography-tandem mass spectrometry (LC-MS/MS)</w:t>
      </w:r>
    </w:p>
    <w:p w14:paraId="42AAA8ED">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Samples were analyzed using an EvosepOne liquid chromatography system (Evosep) coupled with an Orbitrap Fusion Lumos mass spectrometer (Thermo Scientific). Protein digests were loaded onto disposable Evotip trapping columns. Peptide separation was performed using EV-1106 (150 μm × 15 cm, 1.9 μm) and EV-1137 (150 μm × 15 cm, 1.5 μm) columns with the built-in SPD30 method. The column temperature was maintained at 50 °C, and isocratic gradient elution was performed at a constant flow rate and pressure for 21 min.</w:t>
      </w:r>
    </w:p>
    <w:p w14:paraId="113E68BF">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Data-independent acquisition (DIA) mode was applied for proteomic data collection. Main parameters were set as follows: total method duration = 44 min; ion source type = NSI; positive spray voltage = 2200 V; negative spray voltage = 600 V; ion transfer tube temperature = 305 °C; carrier gas flow = 5; FAIMS mode = standard resolution; default charge state = 2; advanced peak determination = enabled</w:t>
      </w:r>
    </w:p>
    <w:p w14:paraId="525B7388">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4. proteomics searching</w:t>
      </w:r>
    </w:p>
    <w:p w14:paraId="78395C79">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Raw data were searched using the default DIA workflow in Spectronaut (v19.6) against the UniProtKB Homo sapiens proteome database. Search parameters were set as: enzyme = trypsin with specific digestion; peptide length ranging from 7 to 52 amino acids; maximum missed cleavages = 2. Cysteine carbamidomethylation was defined as fixed modification, while protein N-terminal acetylation and methionine oxidation were set as variable modifications. The decoy database was generated via mutation strategy. The precursor PEP cutoff was 0.2, and the Q-value cutoffs for precursor and protein were both 0.01. Protein quantification was performed at the MS2 level with automatic LFQ mode, data filtering based on Q-value sparse, and IDPicker as the inference algorithm.</w:t>
      </w:r>
    </w:p>
    <w:p w14:paraId="47F2C495">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5. Label-free quantification (LFQ)</w:t>
      </w:r>
    </w:p>
    <w:p w14:paraId="47E468AB">
      <w:pPr>
        <w:spacing w:before="156" w:beforeLines="50" w:line="48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Label‑free quantification was performed using the MaxLFQ algorithm integrated in MaxQuant. Protein LFQ intensities were log2-transformed and median-normalized across samples prior to analysis.</w:t>
      </w:r>
    </w:p>
    <w:p w14:paraId="61F5F8F5">
      <w:pPr>
        <w:numPr>
          <w:ilvl w:val="0"/>
          <w:numId w:val="0"/>
        </w:num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6</w:t>
      </w:r>
      <w:r>
        <w:rPr>
          <w:rFonts w:hint="default" w:ascii="Times New Roman" w:hAnsi="Times New Roman" w:cs="Times New Roman"/>
          <w:b/>
          <w:bCs/>
          <w:color w:val="000000" w:themeColor="text1"/>
          <w14:textFill>
            <w14:solidFill>
              <w14:schemeClr w14:val="tx1"/>
            </w14:solidFill>
          </w14:textFill>
        </w:rPr>
        <w:t>. Quality control</w:t>
      </w:r>
    </w:p>
    <w:p w14:paraId="2F74BD16">
      <w:pPr>
        <w:spacing w:before="156" w:beforeLines="50" w:line="48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Quality control (QC) samples were generated by pooling equal volumes of all individual serum specimens and processed alongside experimental samples. One QC sample was injected after every 10 test samples to monitor instrument performance and data reproducibility.</w:t>
      </w:r>
    </w:p>
    <w:p w14:paraId="6BC10AF9">
      <w:pPr>
        <w:spacing w:before="156" w:beforeLines="50" w:line="48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Principal component analysis (PCA) was performed on normalized protein intensities to evaluate global proteomic profiles and intergroup differences (</w:t>
      </w:r>
      <w:r>
        <w:rPr>
          <w:rFonts w:hint="default" w:ascii="Times New Roman" w:hAnsi="Times New Roman" w:cs="Times New Roman"/>
          <w:b/>
          <w:bCs/>
          <w:color w:val="000000" w:themeColor="text1"/>
          <w14:textFill>
            <w14:solidFill>
              <w14:schemeClr w14:val="tx1"/>
            </w14:solidFill>
          </w14:textFill>
        </w:rPr>
        <w:t>Fig</w:t>
      </w:r>
      <w:r>
        <w:rPr>
          <w:rFonts w:hint="eastAsia" w:ascii="Times New Roman" w:hAnsi="Times New Roman" w:cs="Times New Roman"/>
          <w:b/>
          <w:bCs/>
          <w:color w:val="000000" w:themeColor="text1"/>
          <w:lang w:val="en-US"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 xml:space="preserve"> </w:t>
      </w:r>
      <w:r>
        <w:rPr>
          <w:rFonts w:hint="eastAsia" w:ascii="Times New Roman" w:hAnsi="Times New Roman" w:cs="Times New Roman"/>
          <w:b/>
          <w:bCs/>
          <w:color w:val="000000" w:themeColor="text1"/>
          <w:lang w:val="en-US" w:eastAsia="zh-CN"/>
          <w14:textFill>
            <w14:solidFill>
              <w14:schemeClr w14:val="tx1"/>
            </w14:solidFill>
          </w14:textFill>
        </w:rPr>
        <w:t>S</w:t>
      </w:r>
      <w:r>
        <w:rPr>
          <w:rFonts w:hint="default" w:ascii="Times New Roman" w:hAnsi="Times New Roman" w:cs="Times New Roman"/>
          <w:b/>
          <w:bCs/>
          <w:color w:val="000000" w:themeColor="text1"/>
          <w14:textFill>
            <w14:solidFill>
              <w14:schemeClr w14:val="tx1"/>
            </w14:solidFill>
          </w14:textFill>
        </w:rPr>
        <w:t>1</w:t>
      </w:r>
      <w:r>
        <w:rPr>
          <w:rFonts w:hint="default" w:ascii="Times New Roman" w:hAnsi="Times New Roman" w:cs="Times New Roman"/>
          <w:b w:val="0"/>
          <w:bCs w:val="0"/>
          <w:color w:val="000000" w:themeColor="text1"/>
          <w14:textFill>
            <w14:solidFill>
              <w14:schemeClr w14:val="tx1"/>
            </w14:solidFill>
          </w14:textFill>
        </w:rPr>
        <w:t>). The first two principal components (PC1 and PC2) explained 24.0% and 11.8% of the total variation, respectively. Partial separation was observed between the high-HRV and low-HRV groups, with moderate overlap of 95% confidence ellipses.</w:t>
      </w:r>
    </w:p>
    <w:p w14:paraId="28B0C290">
      <w:pPr>
        <w:spacing w:before="156" w:beforeLines="50" w:line="48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The coefficient of variation (CV) of protein quantitative values was calculated to assess technical reproducibility (</w:t>
      </w:r>
      <w:r>
        <w:rPr>
          <w:rFonts w:hint="default" w:ascii="Times New Roman" w:hAnsi="Times New Roman" w:cs="Times New Roman"/>
          <w:b/>
          <w:bCs/>
          <w:color w:val="000000" w:themeColor="text1"/>
          <w14:textFill>
            <w14:solidFill>
              <w14:schemeClr w14:val="tx1"/>
            </w14:solidFill>
          </w14:textFill>
        </w:rPr>
        <w:t>Fig</w:t>
      </w:r>
      <w:r>
        <w:rPr>
          <w:rFonts w:hint="eastAsia" w:ascii="Times New Roman" w:hAnsi="Times New Roman" w:cs="Times New Roman"/>
          <w:b/>
          <w:bCs/>
          <w:color w:val="000000" w:themeColor="text1"/>
          <w:lang w:val="en-US" w:eastAsia="zh-CN"/>
          <w14:textFill>
            <w14:solidFill>
              <w14:schemeClr w14:val="tx1"/>
            </w14:solidFill>
          </w14:textFill>
        </w:rPr>
        <w:t>.</w:t>
      </w:r>
      <w:bookmarkStart w:id="0" w:name="_GoBack"/>
      <w:bookmarkEnd w:id="0"/>
      <w:r>
        <w:rPr>
          <w:rFonts w:hint="default" w:ascii="Times New Roman" w:hAnsi="Times New Roman" w:cs="Times New Roman"/>
          <w:b/>
          <w:bCs/>
          <w:color w:val="000000" w:themeColor="text1"/>
          <w14:textFill>
            <w14:solidFill>
              <w14:schemeClr w14:val="tx1"/>
            </w14:solidFill>
          </w14:textFill>
        </w:rPr>
        <w:t xml:space="preserve"> </w:t>
      </w:r>
      <w:r>
        <w:rPr>
          <w:rFonts w:hint="eastAsia" w:ascii="Times New Roman" w:hAnsi="Times New Roman" w:cs="Times New Roman"/>
          <w:b/>
          <w:bCs/>
          <w:color w:val="000000" w:themeColor="text1"/>
          <w:lang w:val="en-US" w:eastAsia="zh-CN"/>
          <w14:textFill>
            <w14:solidFill>
              <w14:schemeClr w14:val="tx1"/>
            </w14:solidFill>
          </w14:textFill>
        </w:rPr>
        <w:t>S2</w:t>
      </w:r>
      <w:r>
        <w:rPr>
          <w:rFonts w:hint="default" w:ascii="Times New Roman" w:hAnsi="Times New Roman" w:cs="Times New Roman"/>
          <w:b w:val="0"/>
          <w:bCs w:val="0"/>
          <w:color w:val="000000" w:themeColor="text1"/>
          <w14:textFill>
            <w14:solidFill>
              <w14:schemeClr w14:val="tx1"/>
            </w14:solidFill>
          </w14:textFill>
        </w:rPr>
        <w:t>). The median CV across all samples was less than 15%. The cumulative CV distribution curve indicated that most proteins exhibited stable quantification. Collectively, these results demonstrated excellent reproducibility and reliable quality of the acquired proteomic data.</w:t>
      </w:r>
    </w:p>
    <w:p w14:paraId="46C0EB7C">
      <w:pPr>
        <w:spacing w:before="156" w:beforeLines="50" w:line="480" w:lineRule="auto"/>
        <w:rPr>
          <w:rFonts w:hint="default"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7</w:t>
      </w:r>
      <w:r>
        <w:rPr>
          <w:rFonts w:hint="default" w:ascii="Times New Roman" w:hAnsi="Times New Roman" w:cs="Times New Roman"/>
          <w:b/>
          <w:bCs/>
          <w:color w:val="000000" w:themeColor="text1"/>
          <w14:textFill>
            <w14:solidFill>
              <w14:schemeClr w14:val="tx1"/>
            </w14:solidFill>
          </w14:textFill>
        </w:rPr>
        <w:t>. Gene set enrichment analysis (GSEA)</w:t>
      </w:r>
    </w:p>
    <w:p w14:paraId="2128E661">
      <w:pPr>
        <w:spacing w:before="156" w:beforeLines="50" w:line="48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Gene set enrichment analysis was conducted to identify pathways significantly altered between the high-HRV and low-HRV groups. All quantified proteins were ranked according to log2 fold changes between the two groups. Enrichment analysis was carried out against the KEGG pathway database (MSigDB c2.cp.kegg.v2023.1.Hs.symbols) using the R package clusterProfiler (version 4.10.1) with 1,000 gene set permutations. Pathways with a nominal P value &lt; 0.05 and an absolute normalized enrichment score (|NES|) &gt; 1.5 were defined as statistically significant.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865D5C8B-6884-4B74-A141-02181C70BA20}"/>
  </w:font>
  <w:font w:name="宋体">
    <w:panose1 w:val="02010600030101010101"/>
    <w:charset w:val="86"/>
    <w:family w:val="auto"/>
    <w:pitch w:val="default"/>
    <w:sig w:usb0="00000203" w:usb1="288F0000" w:usb2="00000006" w:usb3="00000000" w:csb0="00040001" w:csb1="00000000"/>
    <w:embedRegular r:id="rId2" w:fontKey="{83929006-1A60-412E-AD7B-5A12513A02C7}"/>
  </w:font>
  <w:font w:name="Wingdings">
    <w:panose1 w:val="05000000000000000000"/>
    <w:charset w:val="02"/>
    <w:family w:val="auto"/>
    <w:pitch w:val="default"/>
    <w:sig w:usb0="00000000" w:usb1="00000000" w:usb2="00000000" w:usb3="00000000" w:csb0="80000000" w:csb1="00000000"/>
    <w:embedRegular r:id="rId3" w:fontKey="{4ECAE88E-345E-4316-9823-F1A6C316FA1E}"/>
  </w:font>
  <w:font w:name="Arial">
    <w:panose1 w:val="020B0604020202020204"/>
    <w:charset w:val="01"/>
    <w:family w:val="swiss"/>
    <w:pitch w:val="default"/>
    <w:sig w:usb0="E0002EFF" w:usb1="C000785B" w:usb2="00000009" w:usb3="00000000" w:csb0="400001FF" w:csb1="FFFF0000"/>
    <w:embedRegular r:id="rId4" w:fontKey="{E260FA09-D6B7-41E4-AC0A-B6665DDA655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8DDAAE24-6CA1-49AF-AA7C-1CDD0BDA0B5D}"/>
  </w:font>
  <w:font w:name="Symbol">
    <w:panose1 w:val="05050102010706020507"/>
    <w:charset w:val="02"/>
    <w:family w:val="roman"/>
    <w:pitch w:val="default"/>
    <w:sig w:usb0="00000000" w:usb1="00000000" w:usb2="00000000" w:usb3="00000000" w:csb0="80000000" w:csb1="00000000"/>
    <w:embedRegular r:id="rId6" w:fontKey="{2327C598-EE11-45B1-8C3F-7FBD13D9F755}"/>
  </w:font>
  <w:font w:name="Calibri">
    <w:panose1 w:val="020F0502020204030204"/>
    <w:charset w:val="00"/>
    <w:family w:val="swiss"/>
    <w:pitch w:val="default"/>
    <w:sig w:usb0="E4002EFF" w:usb1="C200247B" w:usb2="00000009" w:usb3="00000000" w:csb0="200001FF" w:csb1="00000000"/>
    <w:embedRegular r:id="rId7" w:fontKey="{BBDC6437-8A62-450A-B930-4B0713216F2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142DB"/>
    <w:rsid w:val="00044AD9"/>
    <w:rsid w:val="000B0B59"/>
    <w:rsid w:val="00117CB5"/>
    <w:rsid w:val="00140AEB"/>
    <w:rsid w:val="001503B3"/>
    <w:rsid w:val="001B6D8A"/>
    <w:rsid w:val="001F1D9F"/>
    <w:rsid w:val="00220554"/>
    <w:rsid w:val="002C79AC"/>
    <w:rsid w:val="00314FCE"/>
    <w:rsid w:val="00346B7F"/>
    <w:rsid w:val="003A409F"/>
    <w:rsid w:val="003E4639"/>
    <w:rsid w:val="00437241"/>
    <w:rsid w:val="00440B50"/>
    <w:rsid w:val="004B3EE7"/>
    <w:rsid w:val="005C7B43"/>
    <w:rsid w:val="00611955"/>
    <w:rsid w:val="007261DB"/>
    <w:rsid w:val="009A7196"/>
    <w:rsid w:val="009F5DF7"/>
    <w:rsid w:val="00C2375F"/>
    <w:rsid w:val="00D5236C"/>
    <w:rsid w:val="00DD538A"/>
    <w:rsid w:val="00FB31C8"/>
    <w:rsid w:val="00FB4DBF"/>
    <w:rsid w:val="00FC3ED4"/>
    <w:rsid w:val="04CD48F9"/>
    <w:rsid w:val="130F5DBE"/>
    <w:rsid w:val="13B142DB"/>
    <w:rsid w:val="1F1C7941"/>
    <w:rsid w:val="291A3EBD"/>
    <w:rsid w:val="298A3168"/>
    <w:rsid w:val="3163193B"/>
    <w:rsid w:val="3715513B"/>
    <w:rsid w:val="4D9D7C57"/>
    <w:rsid w:val="768D7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893</Words>
  <Characters>5076</Characters>
  <Lines>49</Lines>
  <Paragraphs>13</Paragraphs>
  <TotalTime>5</TotalTime>
  <ScaleCrop>false</ScaleCrop>
  <LinksUpToDate>false</LinksUpToDate>
  <CharactersWithSpaces>5949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2026-05-18T08:08:00Z</dcterms:created>
  <dc:creator>刘奇奇</dc:creator>
  <cp:lastModifiedBy>刘奇奇</cp:lastModifiedBy>
  <dcterms:modified xsi:type="dcterms:W3CDTF">2026-06-21T08:41:05Z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7A228C7246974F70AD3A83240B606FEB_13</vt:lpwstr>
  </property>
  <property fmtid="{D5CDD505-2E9C-101B-9397-08002B2CF9AE}" pid="4" name="KSOTemplateDocerSaveRecord">
    <vt:lpwstr>eyJoZGlkIjoiMzEwNTM5NzYwMDRjMzkwZTVkZjY2ODkwMGIxNGU0OTUiLCJ1c2VySWQiOiI0OTAzNzA0MjAifQ==</vt:lpwstr>
  </property>
</Properties>
</file>