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672C5" w14:textId="77777777" w:rsidR="00546234" w:rsidRPr="00092549" w:rsidRDefault="00546234">
      <w:pPr>
        <w:rPr>
          <w:rFonts w:ascii="Aptos" w:hAnsi="Aptos" w:cs="Times New Roman"/>
        </w:rPr>
      </w:pPr>
    </w:p>
    <w:p w14:paraId="52BDA464" w14:textId="537B3931" w:rsidR="00F30FC9" w:rsidRPr="00092549" w:rsidRDefault="00330C1A" w:rsidP="006175C4">
      <w:pPr>
        <w:jc w:val="center"/>
        <w:rPr>
          <w:rFonts w:ascii="Aptos" w:hAnsi="Aptos" w:cs="Times New Roman"/>
          <w:b/>
          <w:bCs/>
        </w:rPr>
      </w:pPr>
      <w:r w:rsidRPr="00092549">
        <w:rPr>
          <w:rFonts w:ascii="Aptos" w:hAnsi="Aptos" w:cs="Times New Roman"/>
          <w:b/>
          <w:bCs/>
        </w:rPr>
        <w:t xml:space="preserve">Supplementary </w:t>
      </w:r>
      <w:r w:rsidR="00B858B8">
        <w:rPr>
          <w:rFonts w:ascii="Aptos" w:hAnsi="Aptos" w:cs="Times New Roman" w:hint="eastAsia"/>
          <w:b/>
          <w:bCs/>
        </w:rPr>
        <w:t>Information</w:t>
      </w:r>
    </w:p>
    <w:p w14:paraId="50586C57" w14:textId="77777777" w:rsidR="00330C1A" w:rsidRDefault="00330C1A">
      <w:pPr>
        <w:rPr>
          <w:rFonts w:ascii="Aptos" w:hAnsi="Aptos" w:cs="Times New Roman"/>
        </w:rPr>
      </w:pPr>
    </w:p>
    <w:p w14:paraId="63DFCECA" w14:textId="7A4DD7FD" w:rsidR="00B858B8" w:rsidRPr="00B858B8" w:rsidRDefault="00B858B8" w:rsidP="00B858B8">
      <w:pPr>
        <w:rPr>
          <w:rFonts w:ascii="Aptos" w:hAnsi="Aptos" w:cs="Times New Roman"/>
        </w:rPr>
      </w:pPr>
      <w:r>
        <w:rPr>
          <w:rFonts w:ascii="Aptos" w:hAnsi="Aptos" w:cs="Times New Roman" w:hint="eastAsia"/>
          <w:b/>
          <w:bCs/>
        </w:rPr>
        <w:t>C</w:t>
      </w:r>
      <w:r w:rsidRPr="00B858B8">
        <w:rPr>
          <w:rFonts w:ascii="Aptos" w:hAnsi="Aptos" w:cs="Times New Roman"/>
          <w:b/>
          <w:bCs/>
        </w:rPr>
        <w:t>ovariate Adjustment and Interpretation of Mortality Estimates in ADHD: A Systematic Review and Meta-analysis</w:t>
      </w:r>
    </w:p>
    <w:p w14:paraId="7C4B369C" w14:textId="77777777" w:rsidR="00B858B8" w:rsidRPr="00B858B8" w:rsidRDefault="00B858B8">
      <w:pPr>
        <w:rPr>
          <w:rFonts w:ascii="Aptos" w:hAnsi="Aptos" w:cs="Times New Roman"/>
        </w:rPr>
      </w:pPr>
    </w:p>
    <w:p w14:paraId="6B41218A"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Method S1.</w:t>
      </w:r>
      <w:r w:rsidRPr="00092549">
        <w:rPr>
          <w:rFonts w:ascii="Aptos" w:hAnsi="Aptos" w:cs="Times New Roman"/>
          <w:szCs w:val="36"/>
        </w:rPr>
        <w:t> PRISMA 2020 checklist for this systematic review</w:t>
      </w:r>
    </w:p>
    <w:p w14:paraId="3CB0A677"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Method S2.</w:t>
      </w:r>
      <w:r w:rsidRPr="00092549">
        <w:rPr>
          <w:rFonts w:ascii="Aptos" w:hAnsi="Aptos" w:cs="Times New Roman"/>
          <w:szCs w:val="36"/>
        </w:rPr>
        <w:t xml:space="preserve"> Protocol </w:t>
      </w:r>
      <w:r w:rsidR="00285D96">
        <w:rPr>
          <w:rFonts w:ascii="Aptos" w:hAnsi="Aptos" w:cs="Times New Roman"/>
          <w:szCs w:val="36"/>
        </w:rPr>
        <w:t>amendment</w:t>
      </w:r>
    </w:p>
    <w:p w14:paraId="5FEEFC78"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Method S3.</w:t>
      </w:r>
      <w:r w:rsidRPr="00092549">
        <w:rPr>
          <w:rFonts w:ascii="Aptos" w:hAnsi="Aptos" w:cs="Times New Roman"/>
          <w:szCs w:val="36"/>
        </w:rPr>
        <w:t> Database search strategies and keywords</w:t>
      </w:r>
    </w:p>
    <w:p w14:paraId="6E586E3E"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w:t>
      </w:r>
      <w:r w:rsidRPr="00092549">
        <w:rPr>
          <w:rFonts w:ascii="Aptos" w:hAnsi="Aptos" w:cs="Times New Roman"/>
          <w:szCs w:val="36"/>
        </w:rPr>
        <w:t> Reasons for exclusion of studies at the full-</w:t>
      </w:r>
      <w:r w:rsidR="00036AC2" w:rsidRPr="00092549">
        <w:rPr>
          <w:rFonts w:ascii="Aptos" w:hAnsi="Aptos" w:cs="Times New Roman"/>
          <w:szCs w:val="36"/>
        </w:rPr>
        <w:t>text</w:t>
      </w:r>
      <w:r w:rsidRPr="00092549">
        <w:rPr>
          <w:rFonts w:ascii="Aptos" w:hAnsi="Aptos" w:cs="Times New Roman"/>
          <w:szCs w:val="36"/>
        </w:rPr>
        <w:t xml:space="preserve"> screening stage</w:t>
      </w:r>
    </w:p>
    <w:p w14:paraId="518A3AE1"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S2.</w:t>
      </w:r>
      <w:r w:rsidRPr="00092549">
        <w:rPr>
          <w:rFonts w:ascii="Aptos" w:hAnsi="Aptos" w:cs="Times New Roman"/>
          <w:szCs w:val="36"/>
        </w:rPr>
        <w:t> Summary of study-specific risk estimates for all-cause and cause-specific mortality</w:t>
      </w:r>
    </w:p>
    <w:p w14:paraId="3F01BB68"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S3.</w:t>
      </w:r>
      <w:r w:rsidRPr="00092549">
        <w:rPr>
          <w:rFonts w:ascii="Aptos" w:hAnsi="Aptos" w:cs="Times New Roman"/>
          <w:szCs w:val="36"/>
        </w:rPr>
        <w:t xml:space="preserve"> Meta-analysis of the association between ADHD and mortality from </w:t>
      </w:r>
      <w:r w:rsidR="00036AC2" w:rsidRPr="00092549">
        <w:rPr>
          <w:rFonts w:ascii="Aptos" w:hAnsi="Aptos" w:cs="Times New Roman"/>
          <w:szCs w:val="36"/>
        </w:rPr>
        <w:t>external</w:t>
      </w:r>
      <w:r w:rsidRPr="00092549">
        <w:rPr>
          <w:rFonts w:ascii="Aptos" w:hAnsi="Aptos" w:cs="Times New Roman"/>
          <w:szCs w:val="36"/>
        </w:rPr>
        <w:t xml:space="preserve"> causes</w:t>
      </w:r>
    </w:p>
    <w:p w14:paraId="407F4D50"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S4.</w:t>
      </w:r>
      <w:r w:rsidRPr="00092549">
        <w:rPr>
          <w:rFonts w:ascii="Aptos" w:hAnsi="Aptos" w:cs="Times New Roman"/>
          <w:szCs w:val="36"/>
        </w:rPr>
        <w:t> Meta-analysis of the association between ADHD and mortality from natural causes</w:t>
      </w:r>
    </w:p>
    <w:p w14:paraId="6EC5C94E"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S5.</w:t>
      </w:r>
      <w:r w:rsidRPr="00092549">
        <w:rPr>
          <w:rFonts w:ascii="Aptos" w:hAnsi="Aptos" w:cs="Times New Roman"/>
          <w:szCs w:val="36"/>
        </w:rPr>
        <w:t> Meta-analysis of all-cause mortality associated with ADHD in females</w:t>
      </w:r>
    </w:p>
    <w:p w14:paraId="34C8ADF9"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S6.</w:t>
      </w:r>
      <w:r w:rsidRPr="00092549">
        <w:rPr>
          <w:rFonts w:ascii="Aptos" w:hAnsi="Aptos" w:cs="Times New Roman"/>
          <w:szCs w:val="36"/>
        </w:rPr>
        <w:t> Meta-analysis of all-cause mortality associated with ADHD in males</w:t>
      </w:r>
    </w:p>
    <w:p w14:paraId="11C6EE05"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S7.</w:t>
      </w:r>
      <w:r w:rsidRPr="00092549">
        <w:rPr>
          <w:rFonts w:ascii="Aptos" w:hAnsi="Aptos" w:cs="Times New Roman"/>
          <w:szCs w:val="36"/>
        </w:rPr>
        <w:t xml:space="preserve"> Meta-analysis of mortality from </w:t>
      </w:r>
      <w:r w:rsidR="00036AC2" w:rsidRPr="00092549">
        <w:rPr>
          <w:rFonts w:ascii="Aptos" w:hAnsi="Aptos" w:cs="Times New Roman"/>
          <w:szCs w:val="36"/>
        </w:rPr>
        <w:t>external</w:t>
      </w:r>
      <w:r w:rsidRPr="00092549">
        <w:rPr>
          <w:rFonts w:ascii="Aptos" w:hAnsi="Aptos" w:cs="Times New Roman"/>
          <w:szCs w:val="36"/>
        </w:rPr>
        <w:t xml:space="preserve"> causes associated with ADHD in females</w:t>
      </w:r>
    </w:p>
    <w:p w14:paraId="17A5F103"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S8.</w:t>
      </w:r>
      <w:r w:rsidRPr="00092549">
        <w:rPr>
          <w:rFonts w:ascii="Aptos" w:hAnsi="Aptos" w:cs="Times New Roman"/>
          <w:szCs w:val="36"/>
        </w:rPr>
        <w:t xml:space="preserve"> Meta-analysis of mortality from </w:t>
      </w:r>
      <w:r w:rsidR="00036AC2" w:rsidRPr="00092549">
        <w:rPr>
          <w:rFonts w:ascii="Aptos" w:hAnsi="Aptos" w:cs="Times New Roman"/>
          <w:szCs w:val="36"/>
        </w:rPr>
        <w:t>external</w:t>
      </w:r>
      <w:r w:rsidRPr="00092549">
        <w:rPr>
          <w:rFonts w:ascii="Aptos" w:hAnsi="Aptos" w:cs="Times New Roman"/>
          <w:szCs w:val="36"/>
        </w:rPr>
        <w:t xml:space="preserve"> causes associated with ADHD in males</w:t>
      </w:r>
    </w:p>
    <w:p w14:paraId="541BC699" w14:textId="77777777" w:rsidR="0042116F" w:rsidRPr="00092549" w:rsidRDefault="00A87467">
      <w:pPr>
        <w:spacing w:after="0" w:line="240" w:lineRule="auto"/>
        <w:rPr>
          <w:rFonts w:ascii="Aptos" w:hAnsi="Aptos" w:cs="Times New Roman"/>
          <w:sz w:val="36"/>
          <w:szCs w:val="36"/>
        </w:rPr>
      </w:pPr>
      <w:r w:rsidRPr="00725058">
        <w:rPr>
          <w:rFonts w:ascii="Aptos" w:hAnsi="Aptos" w:cs="Times New Roman"/>
          <w:b/>
          <w:bCs/>
          <w:szCs w:val="36"/>
        </w:rPr>
        <w:t>Result S9.</w:t>
      </w:r>
      <w:r w:rsidRPr="00092549">
        <w:rPr>
          <w:rFonts w:ascii="Aptos" w:hAnsi="Aptos" w:cs="Times New Roman"/>
          <w:szCs w:val="36"/>
        </w:rPr>
        <w:t xml:space="preserve"> Summary of pooled and study-specific risk ratios for all-cause and cause-specific mortality associated with ADHD</w:t>
      </w:r>
    </w:p>
    <w:p w14:paraId="489EB280"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S10.</w:t>
      </w:r>
      <w:r w:rsidRPr="00092549">
        <w:rPr>
          <w:rFonts w:ascii="Aptos" w:hAnsi="Aptos" w:cs="Times New Roman"/>
          <w:szCs w:val="36"/>
        </w:rPr>
        <w:t> Leave-one-out sensitivity analysis of the association between ADHD and all-cause mortality</w:t>
      </w:r>
    </w:p>
    <w:p w14:paraId="0B32A6F4"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S11.</w:t>
      </w:r>
      <w:r w:rsidRPr="00092549">
        <w:rPr>
          <w:rFonts w:ascii="Aptos" w:hAnsi="Aptos" w:cs="Times New Roman"/>
          <w:szCs w:val="36"/>
        </w:rPr>
        <w:t> Meta-analysis of all-cause mortality associated with ADHD by Newcastle–Ottawa Scale risk-of-bias subgroup</w:t>
      </w:r>
    </w:p>
    <w:p w14:paraId="313B98F0"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S12.</w:t>
      </w:r>
      <w:r w:rsidRPr="00092549">
        <w:rPr>
          <w:rFonts w:ascii="Aptos" w:hAnsi="Aptos" w:cs="Times New Roman"/>
          <w:szCs w:val="36"/>
        </w:rPr>
        <w:t> Meta-analysis of all-cause mortality risk associated with ADHD by geographic region</w:t>
      </w:r>
    </w:p>
    <w:p w14:paraId="5666EECD" w14:textId="2E00821B" w:rsidR="00FF1D7B" w:rsidRDefault="00000000">
      <w:r>
        <w:rPr>
          <w:rFonts w:ascii="Aptos" w:hAnsi="Aptos"/>
          <w:b/>
        </w:rPr>
        <w:t xml:space="preserve">Result S13. </w:t>
      </w:r>
      <w:r w:rsidR="00E92913" w:rsidRPr="00F46AD2">
        <w:rPr>
          <w:rFonts w:ascii="Aptos" w:hAnsi="Aptos" w:hint="eastAsia"/>
          <w:bCs/>
        </w:rPr>
        <w:t>S</w:t>
      </w:r>
      <w:r w:rsidR="00E92913" w:rsidRPr="00F46AD2">
        <w:rPr>
          <w:rFonts w:ascii="Aptos" w:hAnsi="Aptos"/>
          <w:bCs/>
        </w:rPr>
        <w:t xml:space="preserve">ensitivity analysis excluding studies reporting SMR or </w:t>
      </w:r>
      <w:proofErr w:type="spellStart"/>
      <w:r w:rsidR="00E92913" w:rsidRPr="00F46AD2">
        <w:rPr>
          <w:rFonts w:ascii="Aptos" w:hAnsi="Aptos"/>
          <w:bCs/>
        </w:rPr>
        <w:t>OR</w:t>
      </w:r>
      <w:proofErr w:type="spellEnd"/>
      <w:r w:rsidR="00E92913" w:rsidRPr="00F46AD2">
        <w:rPr>
          <w:rFonts w:ascii="Aptos" w:hAnsi="Aptos"/>
          <w:bCs/>
        </w:rPr>
        <w:t xml:space="preserve"> estimates</w:t>
      </w:r>
    </w:p>
    <w:p w14:paraId="45E4107B"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S14.</w:t>
      </w:r>
      <w:r w:rsidRPr="00092549">
        <w:rPr>
          <w:rFonts w:ascii="Aptos" w:hAnsi="Aptos" w:cs="Times New Roman"/>
          <w:szCs w:val="36"/>
        </w:rPr>
        <w:t> Methodological quality assessment of included studies using the Newcastle-Ottawa Scale</w:t>
      </w:r>
    </w:p>
    <w:p w14:paraId="595908A3" w14:textId="77777777" w:rsidR="0042116F"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S15.</w:t>
      </w:r>
      <w:r w:rsidRPr="00092549">
        <w:rPr>
          <w:rFonts w:ascii="Aptos" w:hAnsi="Aptos" w:cs="Times New Roman"/>
          <w:szCs w:val="36"/>
        </w:rPr>
        <w:t> Risk-of-bias assessment of included studies using the ROBINS-E tool</w:t>
      </w:r>
    </w:p>
    <w:p w14:paraId="47AD39C5" w14:textId="77777777" w:rsidR="00330C1A" w:rsidRPr="00092549" w:rsidRDefault="00A87467">
      <w:pPr>
        <w:spacing w:after="0" w:line="240" w:lineRule="auto"/>
        <w:rPr>
          <w:rFonts w:ascii="Aptos" w:hAnsi="Aptos" w:cs="Times New Roman"/>
          <w:sz w:val="36"/>
          <w:szCs w:val="36"/>
        </w:rPr>
      </w:pPr>
      <w:r w:rsidRPr="00092549">
        <w:rPr>
          <w:rFonts w:ascii="Aptos" w:hAnsi="Aptos" w:cs="Times New Roman"/>
          <w:b/>
          <w:bCs/>
          <w:szCs w:val="36"/>
        </w:rPr>
        <w:t>Result S16.</w:t>
      </w:r>
      <w:r w:rsidRPr="00092549">
        <w:rPr>
          <w:rFonts w:ascii="Aptos" w:hAnsi="Aptos" w:cs="Times New Roman"/>
          <w:szCs w:val="36"/>
        </w:rPr>
        <w:t> Funnel plot and Egger’s test for publication bias in studies of ADHD and mortality</w:t>
      </w:r>
    </w:p>
    <w:p w14:paraId="5B8E0B43" w14:textId="77777777" w:rsidR="00FF1D7B" w:rsidRPr="00F46AD2" w:rsidRDefault="00000000">
      <w:pPr>
        <w:rPr>
          <w:bCs/>
        </w:rPr>
      </w:pPr>
      <w:r>
        <w:rPr>
          <w:rFonts w:ascii="Aptos" w:hAnsi="Aptos"/>
          <w:b/>
        </w:rPr>
        <w:t xml:space="preserve">Result S17. </w:t>
      </w:r>
      <w:r w:rsidRPr="00F46AD2">
        <w:rPr>
          <w:rFonts w:ascii="Aptos" w:hAnsi="Aptos"/>
          <w:bCs/>
        </w:rPr>
        <w:t>GRADE evidence profile for the primary mortality outcomes</w:t>
      </w:r>
    </w:p>
    <w:p w14:paraId="7352FB3A" w14:textId="77777777" w:rsidR="00330C1A" w:rsidRPr="00092549" w:rsidRDefault="00330C1A">
      <w:pPr>
        <w:rPr>
          <w:rFonts w:ascii="Aptos" w:hAnsi="Aptos" w:cs="Times New Roman"/>
        </w:rPr>
      </w:pPr>
    </w:p>
    <w:p w14:paraId="517CE3DE" w14:textId="77777777" w:rsidR="00330C1A" w:rsidRPr="00092549" w:rsidRDefault="009D60DC" w:rsidP="00E045D4">
      <w:pPr>
        <w:pageBreakBefore/>
        <w:rPr>
          <w:rFonts w:ascii="Aptos" w:hAnsi="Aptos" w:cs="Times New Roman"/>
        </w:rPr>
      </w:pPr>
      <w:r w:rsidRPr="00092549">
        <w:rPr>
          <w:rFonts w:ascii="Aptos" w:hAnsi="Aptos" w:cs="Times New Roman"/>
          <w:b/>
          <w:bCs/>
        </w:rPr>
        <w:lastRenderedPageBreak/>
        <w:t xml:space="preserve">Method S1. </w:t>
      </w:r>
      <w:r w:rsidR="006175C4" w:rsidRPr="00092549">
        <w:rPr>
          <w:rFonts w:ascii="Aptos" w:hAnsi="Aptos" w:cs="Times New Roman"/>
        </w:rPr>
        <w:t>PRISMA 2020 checklist for this systematic review</w:t>
      </w:r>
    </w:p>
    <w:tbl>
      <w:tblPr>
        <w:tblW w:w="5000" w:type="pct"/>
        <w:tblBorders>
          <w:top w:val="nil"/>
          <w:left w:val="nil"/>
          <w:bottom w:val="nil"/>
          <w:right w:val="nil"/>
        </w:tblBorders>
        <w:tblLook w:val="0000" w:firstRow="0" w:lastRow="0" w:firstColumn="0" w:lastColumn="0" w:noHBand="0" w:noVBand="0"/>
      </w:tblPr>
      <w:tblGrid>
        <w:gridCol w:w="1561"/>
        <w:gridCol w:w="665"/>
        <w:gridCol w:w="6116"/>
        <w:gridCol w:w="2112"/>
      </w:tblGrid>
      <w:tr w:rsidR="00BB3A3D" w:rsidRPr="00B420C8" w14:paraId="520C60B0" w14:textId="77777777" w:rsidTr="009D60DC">
        <w:trPr>
          <w:trHeight w:val="65"/>
          <w:tblHeader/>
        </w:trPr>
        <w:tc>
          <w:tcPr>
            <w:tcW w:w="747"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3F3EA8F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Section and Topic </w:t>
            </w:r>
          </w:p>
        </w:tc>
        <w:tc>
          <w:tcPr>
            <w:tcW w:w="318"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1E50C75"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Item #</w:t>
            </w:r>
          </w:p>
        </w:tc>
        <w:tc>
          <w:tcPr>
            <w:tcW w:w="292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2B1BC09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Checklist item </w:t>
            </w:r>
          </w:p>
        </w:tc>
        <w:tc>
          <w:tcPr>
            <w:tcW w:w="1010"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62B843C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Location where item is reported </w:t>
            </w:r>
          </w:p>
        </w:tc>
      </w:tr>
      <w:tr w:rsidR="00BB3A3D" w:rsidRPr="00B420C8" w14:paraId="599FA3AA"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E6196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TITLE </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7969599C" w14:textId="77777777" w:rsidR="00330C1A" w:rsidRPr="00CF44EB" w:rsidRDefault="00330C1A" w:rsidP="00B128EA">
            <w:pPr>
              <w:pStyle w:val="af2"/>
              <w:rPr>
                <w:rFonts w:ascii="Aptos" w:hAnsi="Aptos" w:cs="Times New Roman"/>
                <w:sz w:val="18"/>
                <w:szCs w:val="18"/>
              </w:rPr>
            </w:pPr>
          </w:p>
        </w:tc>
      </w:tr>
      <w:tr w:rsidR="00BB3A3D" w:rsidRPr="00B420C8" w14:paraId="64F66A1E" w14:textId="77777777" w:rsidTr="009D60DC">
        <w:trPr>
          <w:trHeight w:val="48"/>
        </w:trPr>
        <w:tc>
          <w:tcPr>
            <w:tcW w:w="747" w:type="pct"/>
            <w:tcBorders>
              <w:top w:val="single" w:sz="5" w:space="0" w:color="000000"/>
              <w:left w:val="single" w:sz="5" w:space="0" w:color="000000"/>
              <w:bottom w:val="double" w:sz="2" w:space="0" w:color="FFFFCC"/>
              <w:right w:val="single" w:sz="5" w:space="0" w:color="000000"/>
            </w:tcBorders>
          </w:tcPr>
          <w:p w14:paraId="5C56A379"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Title </w:t>
            </w:r>
          </w:p>
        </w:tc>
        <w:tc>
          <w:tcPr>
            <w:tcW w:w="318" w:type="pct"/>
            <w:tcBorders>
              <w:top w:val="single" w:sz="5" w:space="0" w:color="000000"/>
              <w:left w:val="single" w:sz="5" w:space="0" w:color="000000"/>
              <w:bottom w:val="double" w:sz="2" w:space="0" w:color="FFFFCC"/>
              <w:right w:val="single" w:sz="5" w:space="0" w:color="000000"/>
            </w:tcBorders>
          </w:tcPr>
          <w:p w14:paraId="02CA365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w:t>
            </w:r>
          </w:p>
        </w:tc>
        <w:tc>
          <w:tcPr>
            <w:tcW w:w="2925" w:type="pct"/>
            <w:tcBorders>
              <w:top w:val="single" w:sz="5" w:space="0" w:color="000000"/>
              <w:left w:val="single" w:sz="5" w:space="0" w:color="000000"/>
              <w:bottom w:val="double" w:sz="5" w:space="0" w:color="000000"/>
              <w:right w:val="single" w:sz="5" w:space="0" w:color="000000"/>
            </w:tcBorders>
          </w:tcPr>
          <w:p w14:paraId="2292A7B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Identify the report as a systematic review.</w:t>
            </w:r>
          </w:p>
        </w:tc>
        <w:tc>
          <w:tcPr>
            <w:tcW w:w="1010" w:type="pct"/>
            <w:tcBorders>
              <w:top w:val="single" w:sz="5" w:space="0" w:color="000000"/>
              <w:left w:val="single" w:sz="5" w:space="0" w:color="000000"/>
              <w:bottom w:val="double" w:sz="5" w:space="0" w:color="000000"/>
              <w:right w:val="single" w:sz="5" w:space="0" w:color="000000"/>
            </w:tcBorders>
          </w:tcPr>
          <w:p w14:paraId="6F387BE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Title Page</w:t>
            </w:r>
          </w:p>
        </w:tc>
      </w:tr>
      <w:tr w:rsidR="00BB3A3D" w:rsidRPr="00B420C8" w14:paraId="18B40776"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51DE0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ABSTRACT </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4BBFD0A4" w14:textId="77777777" w:rsidR="00330C1A" w:rsidRPr="00CF44EB" w:rsidRDefault="00330C1A" w:rsidP="00B128EA">
            <w:pPr>
              <w:pStyle w:val="af2"/>
              <w:rPr>
                <w:rFonts w:ascii="Aptos" w:hAnsi="Aptos" w:cs="Times New Roman"/>
                <w:sz w:val="18"/>
                <w:szCs w:val="18"/>
              </w:rPr>
            </w:pPr>
          </w:p>
        </w:tc>
      </w:tr>
      <w:tr w:rsidR="00BB3A3D" w:rsidRPr="00B420C8" w14:paraId="395EEA45" w14:textId="77777777" w:rsidTr="009D60DC">
        <w:trPr>
          <w:trHeight w:val="48"/>
        </w:trPr>
        <w:tc>
          <w:tcPr>
            <w:tcW w:w="747" w:type="pct"/>
            <w:tcBorders>
              <w:top w:val="single" w:sz="5" w:space="0" w:color="000000"/>
              <w:left w:val="single" w:sz="5" w:space="0" w:color="000000"/>
              <w:bottom w:val="double" w:sz="2" w:space="0" w:color="FFFFCC"/>
              <w:right w:val="single" w:sz="5" w:space="0" w:color="000000"/>
            </w:tcBorders>
          </w:tcPr>
          <w:p w14:paraId="4D8EF23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Abstract </w:t>
            </w:r>
          </w:p>
        </w:tc>
        <w:tc>
          <w:tcPr>
            <w:tcW w:w="318" w:type="pct"/>
            <w:tcBorders>
              <w:top w:val="single" w:sz="5" w:space="0" w:color="000000"/>
              <w:left w:val="single" w:sz="5" w:space="0" w:color="000000"/>
              <w:bottom w:val="double" w:sz="2" w:space="0" w:color="FFFFCC"/>
              <w:right w:val="single" w:sz="5" w:space="0" w:color="000000"/>
            </w:tcBorders>
          </w:tcPr>
          <w:p w14:paraId="7FEEF23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w:t>
            </w:r>
          </w:p>
        </w:tc>
        <w:tc>
          <w:tcPr>
            <w:tcW w:w="2925" w:type="pct"/>
            <w:tcBorders>
              <w:top w:val="single" w:sz="5" w:space="0" w:color="000000"/>
              <w:left w:val="single" w:sz="5" w:space="0" w:color="000000"/>
              <w:bottom w:val="double" w:sz="5" w:space="0" w:color="000000"/>
              <w:right w:val="single" w:sz="5" w:space="0" w:color="000000"/>
            </w:tcBorders>
          </w:tcPr>
          <w:p w14:paraId="0CCFC1D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See the PRISMA 2020 for Abstracts checklist.</w:t>
            </w:r>
          </w:p>
        </w:tc>
        <w:tc>
          <w:tcPr>
            <w:tcW w:w="1010" w:type="pct"/>
            <w:tcBorders>
              <w:top w:val="single" w:sz="5" w:space="0" w:color="000000"/>
              <w:left w:val="single" w:sz="5" w:space="0" w:color="000000"/>
              <w:bottom w:val="double" w:sz="5" w:space="0" w:color="000000"/>
              <w:right w:val="single" w:sz="5" w:space="0" w:color="000000"/>
            </w:tcBorders>
          </w:tcPr>
          <w:p w14:paraId="194CFBA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Abstract</w:t>
            </w:r>
          </w:p>
        </w:tc>
      </w:tr>
      <w:tr w:rsidR="00BB3A3D" w:rsidRPr="00B420C8" w14:paraId="3224645E"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4E202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INTRODUCTION </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1535204A" w14:textId="77777777" w:rsidR="00330C1A" w:rsidRPr="00CF44EB" w:rsidRDefault="00330C1A" w:rsidP="00B128EA">
            <w:pPr>
              <w:pStyle w:val="af2"/>
              <w:rPr>
                <w:rFonts w:ascii="Aptos" w:hAnsi="Aptos" w:cs="Times New Roman"/>
                <w:sz w:val="18"/>
                <w:szCs w:val="18"/>
              </w:rPr>
            </w:pPr>
          </w:p>
        </w:tc>
      </w:tr>
      <w:tr w:rsidR="00BB3A3D" w:rsidRPr="00B420C8" w14:paraId="0DC113AA"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392B277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Rationale </w:t>
            </w:r>
          </w:p>
        </w:tc>
        <w:tc>
          <w:tcPr>
            <w:tcW w:w="318" w:type="pct"/>
            <w:tcBorders>
              <w:top w:val="single" w:sz="5" w:space="0" w:color="000000"/>
              <w:left w:val="single" w:sz="5" w:space="0" w:color="000000"/>
              <w:bottom w:val="single" w:sz="5" w:space="0" w:color="000000"/>
              <w:right w:val="single" w:sz="5" w:space="0" w:color="000000"/>
            </w:tcBorders>
          </w:tcPr>
          <w:p w14:paraId="4794E3D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3</w:t>
            </w:r>
          </w:p>
        </w:tc>
        <w:tc>
          <w:tcPr>
            <w:tcW w:w="2925" w:type="pct"/>
            <w:tcBorders>
              <w:top w:val="single" w:sz="5" w:space="0" w:color="000000"/>
              <w:left w:val="single" w:sz="5" w:space="0" w:color="000000"/>
              <w:bottom w:val="single" w:sz="5" w:space="0" w:color="000000"/>
              <w:right w:val="single" w:sz="5" w:space="0" w:color="000000"/>
            </w:tcBorders>
          </w:tcPr>
          <w:p w14:paraId="35F61F2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Describe the rationale for the review in the </w:t>
            </w:r>
            <w:r w:rsidR="00E2633C" w:rsidRPr="00CF44EB">
              <w:rPr>
                <w:rFonts w:ascii="Aptos" w:hAnsi="Aptos" w:cs="Times New Roman"/>
                <w:sz w:val="18"/>
                <w:szCs w:val="18"/>
              </w:rPr>
              <w:t xml:space="preserve">context </w:t>
            </w:r>
            <w:r w:rsidRPr="00CF44EB">
              <w:rPr>
                <w:rFonts w:ascii="Aptos" w:hAnsi="Aptos" w:cs="Times New Roman"/>
                <w:sz w:val="18"/>
                <w:szCs w:val="18"/>
              </w:rPr>
              <w:t>of existing knowledge.</w:t>
            </w:r>
          </w:p>
        </w:tc>
        <w:tc>
          <w:tcPr>
            <w:tcW w:w="1010" w:type="pct"/>
            <w:tcBorders>
              <w:top w:val="single" w:sz="5" w:space="0" w:color="000000"/>
              <w:left w:val="single" w:sz="5" w:space="0" w:color="000000"/>
              <w:bottom w:val="single" w:sz="5" w:space="0" w:color="000000"/>
              <w:right w:val="single" w:sz="5" w:space="0" w:color="000000"/>
            </w:tcBorders>
          </w:tcPr>
          <w:p w14:paraId="3E16DA4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Introduction, Paragraphs 1-3</w:t>
            </w:r>
          </w:p>
        </w:tc>
      </w:tr>
      <w:tr w:rsidR="00BB3A3D" w:rsidRPr="00B420C8" w14:paraId="291C6E15" w14:textId="77777777" w:rsidTr="009D60DC">
        <w:trPr>
          <w:trHeight w:val="48"/>
        </w:trPr>
        <w:tc>
          <w:tcPr>
            <w:tcW w:w="747" w:type="pct"/>
            <w:tcBorders>
              <w:top w:val="single" w:sz="5" w:space="0" w:color="000000"/>
              <w:left w:val="single" w:sz="5" w:space="0" w:color="000000"/>
              <w:bottom w:val="double" w:sz="2" w:space="0" w:color="FFFFCC"/>
              <w:right w:val="single" w:sz="5" w:space="0" w:color="000000"/>
            </w:tcBorders>
          </w:tcPr>
          <w:p w14:paraId="431C1EE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Objectives </w:t>
            </w:r>
          </w:p>
        </w:tc>
        <w:tc>
          <w:tcPr>
            <w:tcW w:w="318" w:type="pct"/>
            <w:tcBorders>
              <w:top w:val="single" w:sz="5" w:space="0" w:color="000000"/>
              <w:left w:val="single" w:sz="5" w:space="0" w:color="000000"/>
              <w:bottom w:val="double" w:sz="2" w:space="0" w:color="FFFFCC"/>
              <w:right w:val="single" w:sz="5" w:space="0" w:color="000000"/>
            </w:tcBorders>
          </w:tcPr>
          <w:p w14:paraId="28D9411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4</w:t>
            </w:r>
          </w:p>
        </w:tc>
        <w:tc>
          <w:tcPr>
            <w:tcW w:w="2925" w:type="pct"/>
            <w:tcBorders>
              <w:top w:val="single" w:sz="5" w:space="0" w:color="000000"/>
              <w:left w:val="single" w:sz="5" w:space="0" w:color="000000"/>
              <w:bottom w:val="double" w:sz="5" w:space="0" w:color="000000"/>
              <w:right w:val="single" w:sz="5" w:space="0" w:color="000000"/>
            </w:tcBorders>
          </w:tcPr>
          <w:p w14:paraId="31A37875"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Provide an explicit statement of the objective(s) or question(s) the review addresses.</w:t>
            </w:r>
          </w:p>
        </w:tc>
        <w:tc>
          <w:tcPr>
            <w:tcW w:w="1010" w:type="pct"/>
            <w:tcBorders>
              <w:top w:val="single" w:sz="5" w:space="0" w:color="000000"/>
              <w:left w:val="single" w:sz="5" w:space="0" w:color="000000"/>
              <w:bottom w:val="double" w:sz="5" w:space="0" w:color="000000"/>
              <w:right w:val="single" w:sz="5" w:space="0" w:color="000000"/>
            </w:tcBorders>
          </w:tcPr>
          <w:p w14:paraId="6750FD9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Introduction, Paragraphs 4</w:t>
            </w:r>
          </w:p>
        </w:tc>
      </w:tr>
      <w:tr w:rsidR="00BB3A3D" w:rsidRPr="00B420C8" w14:paraId="622E4568"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B7DD4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METHODS </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22B0580A" w14:textId="77777777" w:rsidR="00330C1A" w:rsidRPr="00CF44EB" w:rsidRDefault="00330C1A" w:rsidP="00B128EA">
            <w:pPr>
              <w:pStyle w:val="af2"/>
              <w:rPr>
                <w:rFonts w:ascii="Aptos" w:hAnsi="Aptos" w:cs="Times New Roman"/>
                <w:sz w:val="18"/>
                <w:szCs w:val="18"/>
              </w:rPr>
            </w:pPr>
          </w:p>
        </w:tc>
      </w:tr>
      <w:tr w:rsidR="00BB3A3D" w:rsidRPr="00B420C8" w14:paraId="57002A16"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2429957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Eligibility criteria </w:t>
            </w:r>
          </w:p>
        </w:tc>
        <w:tc>
          <w:tcPr>
            <w:tcW w:w="318" w:type="pct"/>
            <w:tcBorders>
              <w:top w:val="single" w:sz="5" w:space="0" w:color="000000"/>
              <w:left w:val="single" w:sz="5" w:space="0" w:color="000000"/>
              <w:bottom w:val="single" w:sz="5" w:space="0" w:color="000000"/>
              <w:right w:val="single" w:sz="5" w:space="0" w:color="000000"/>
            </w:tcBorders>
          </w:tcPr>
          <w:p w14:paraId="6A57417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5</w:t>
            </w:r>
          </w:p>
        </w:tc>
        <w:tc>
          <w:tcPr>
            <w:tcW w:w="2925" w:type="pct"/>
            <w:tcBorders>
              <w:top w:val="single" w:sz="5" w:space="0" w:color="000000"/>
              <w:left w:val="single" w:sz="5" w:space="0" w:color="000000"/>
              <w:bottom w:val="single" w:sz="5" w:space="0" w:color="000000"/>
              <w:right w:val="single" w:sz="5" w:space="0" w:color="000000"/>
            </w:tcBorders>
          </w:tcPr>
          <w:p w14:paraId="3077EA5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Specify the inclusion and exclusion criteria for the review and how studies were grouped for the syntheses.</w:t>
            </w:r>
          </w:p>
        </w:tc>
        <w:tc>
          <w:tcPr>
            <w:tcW w:w="1010" w:type="pct"/>
            <w:tcBorders>
              <w:top w:val="single" w:sz="5" w:space="0" w:color="000000"/>
              <w:left w:val="single" w:sz="5" w:space="0" w:color="000000"/>
              <w:bottom w:val="single" w:sz="5" w:space="0" w:color="000000"/>
              <w:right w:val="single" w:sz="5" w:space="0" w:color="000000"/>
            </w:tcBorders>
          </w:tcPr>
          <w:p w14:paraId="03650F1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Eligibility Criteria</w:t>
            </w:r>
          </w:p>
        </w:tc>
      </w:tr>
      <w:tr w:rsidR="00BB3A3D" w:rsidRPr="00B420C8" w14:paraId="5085967A" w14:textId="77777777" w:rsidTr="009D60DC">
        <w:trPr>
          <w:trHeight w:val="191"/>
        </w:trPr>
        <w:tc>
          <w:tcPr>
            <w:tcW w:w="747" w:type="pct"/>
            <w:tcBorders>
              <w:top w:val="single" w:sz="5" w:space="0" w:color="000000"/>
              <w:left w:val="single" w:sz="5" w:space="0" w:color="000000"/>
              <w:bottom w:val="single" w:sz="5" w:space="0" w:color="000000"/>
              <w:right w:val="single" w:sz="5" w:space="0" w:color="000000"/>
            </w:tcBorders>
          </w:tcPr>
          <w:p w14:paraId="3C5B743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Information sources </w:t>
            </w:r>
          </w:p>
        </w:tc>
        <w:tc>
          <w:tcPr>
            <w:tcW w:w="318" w:type="pct"/>
            <w:tcBorders>
              <w:top w:val="single" w:sz="5" w:space="0" w:color="000000"/>
              <w:left w:val="single" w:sz="5" w:space="0" w:color="000000"/>
              <w:bottom w:val="single" w:sz="5" w:space="0" w:color="000000"/>
              <w:right w:val="single" w:sz="5" w:space="0" w:color="000000"/>
            </w:tcBorders>
          </w:tcPr>
          <w:p w14:paraId="1B8572B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6</w:t>
            </w:r>
          </w:p>
        </w:tc>
        <w:tc>
          <w:tcPr>
            <w:tcW w:w="2925" w:type="pct"/>
            <w:tcBorders>
              <w:top w:val="single" w:sz="5" w:space="0" w:color="000000"/>
              <w:left w:val="single" w:sz="5" w:space="0" w:color="000000"/>
              <w:bottom w:val="single" w:sz="5" w:space="0" w:color="000000"/>
              <w:right w:val="single" w:sz="5" w:space="0" w:color="000000"/>
            </w:tcBorders>
          </w:tcPr>
          <w:p w14:paraId="698E941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Specify all databases, registers, websites, </w:t>
            </w:r>
            <w:proofErr w:type="spellStart"/>
            <w:r w:rsidRPr="00CF44EB">
              <w:rPr>
                <w:rFonts w:ascii="Aptos" w:hAnsi="Aptos" w:cs="Times New Roman"/>
                <w:sz w:val="18"/>
                <w:szCs w:val="18"/>
              </w:rPr>
              <w:t>organisations</w:t>
            </w:r>
            <w:proofErr w:type="spellEnd"/>
            <w:r w:rsidRPr="00CF44EB">
              <w:rPr>
                <w:rFonts w:ascii="Aptos" w:hAnsi="Aptos" w:cs="Times New Roman"/>
                <w:sz w:val="18"/>
                <w:szCs w:val="18"/>
              </w:rPr>
              <w:t>, reference lists and other sources searched or consulted to identify studies. Specify the date when each source was last searched or consulted.</w:t>
            </w:r>
          </w:p>
        </w:tc>
        <w:tc>
          <w:tcPr>
            <w:tcW w:w="1010" w:type="pct"/>
            <w:tcBorders>
              <w:top w:val="single" w:sz="5" w:space="0" w:color="000000"/>
              <w:left w:val="single" w:sz="5" w:space="0" w:color="000000"/>
              <w:bottom w:val="single" w:sz="5" w:space="0" w:color="000000"/>
              <w:right w:val="single" w:sz="5" w:space="0" w:color="000000"/>
            </w:tcBorders>
          </w:tcPr>
          <w:p w14:paraId="1DD35C3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Data Sources and Search Strategy</w:t>
            </w:r>
          </w:p>
        </w:tc>
      </w:tr>
      <w:tr w:rsidR="00BB3A3D" w:rsidRPr="00B420C8" w14:paraId="4BF84A1F"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2FEAA0C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Search strategy</w:t>
            </w:r>
          </w:p>
        </w:tc>
        <w:tc>
          <w:tcPr>
            <w:tcW w:w="318" w:type="pct"/>
            <w:tcBorders>
              <w:top w:val="single" w:sz="5" w:space="0" w:color="000000"/>
              <w:left w:val="single" w:sz="5" w:space="0" w:color="000000"/>
              <w:bottom w:val="single" w:sz="5" w:space="0" w:color="000000"/>
              <w:right w:val="single" w:sz="5" w:space="0" w:color="000000"/>
            </w:tcBorders>
          </w:tcPr>
          <w:p w14:paraId="5726158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7</w:t>
            </w:r>
          </w:p>
        </w:tc>
        <w:tc>
          <w:tcPr>
            <w:tcW w:w="2925" w:type="pct"/>
            <w:tcBorders>
              <w:top w:val="single" w:sz="5" w:space="0" w:color="000000"/>
              <w:left w:val="single" w:sz="5" w:space="0" w:color="000000"/>
              <w:bottom w:val="single" w:sz="5" w:space="0" w:color="000000"/>
              <w:right w:val="single" w:sz="5" w:space="0" w:color="000000"/>
            </w:tcBorders>
          </w:tcPr>
          <w:p w14:paraId="6B14E13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the full search strategies for all databases, registers and websites, including any filters and limits used.</w:t>
            </w:r>
          </w:p>
        </w:tc>
        <w:tc>
          <w:tcPr>
            <w:tcW w:w="1010" w:type="pct"/>
            <w:tcBorders>
              <w:top w:val="single" w:sz="5" w:space="0" w:color="000000"/>
              <w:left w:val="single" w:sz="5" w:space="0" w:color="000000"/>
              <w:bottom w:val="single" w:sz="5" w:space="0" w:color="000000"/>
              <w:right w:val="single" w:sz="5" w:space="0" w:color="000000"/>
            </w:tcBorders>
          </w:tcPr>
          <w:p w14:paraId="1B0FE60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Data Sources and Search Strategy </w:t>
            </w:r>
          </w:p>
        </w:tc>
      </w:tr>
      <w:tr w:rsidR="00BB3A3D" w:rsidRPr="00B420C8" w14:paraId="23284480"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0F406E3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Selection process</w:t>
            </w:r>
          </w:p>
        </w:tc>
        <w:tc>
          <w:tcPr>
            <w:tcW w:w="318" w:type="pct"/>
            <w:tcBorders>
              <w:top w:val="single" w:sz="5" w:space="0" w:color="000000"/>
              <w:left w:val="single" w:sz="5" w:space="0" w:color="000000"/>
              <w:bottom w:val="single" w:sz="5" w:space="0" w:color="000000"/>
              <w:right w:val="single" w:sz="5" w:space="0" w:color="000000"/>
            </w:tcBorders>
          </w:tcPr>
          <w:p w14:paraId="35D0FD7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8</w:t>
            </w:r>
          </w:p>
        </w:tc>
        <w:tc>
          <w:tcPr>
            <w:tcW w:w="2925" w:type="pct"/>
            <w:tcBorders>
              <w:top w:val="single" w:sz="5" w:space="0" w:color="000000"/>
              <w:left w:val="single" w:sz="5" w:space="0" w:color="000000"/>
              <w:bottom w:val="single" w:sz="5" w:space="0" w:color="000000"/>
              <w:right w:val="single" w:sz="5" w:space="0" w:color="000000"/>
            </w:tcBorders>
          </w:tcPr>
          <w:p w14:paraId="2D995F2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010" w:type="pct"/>
            <w:tcBorders>
              <w:top w:val="single" w:sz="5" w:space="0" w:color="000000"/>
              <w:left w:val="single" w:sz="5" w:space="0" w:color="000000"/>
              <w:bottom w:val="single" w:sz="5" w:space="0" w:color="000000"/>
              <w:right w:val="single" w:sz="5" w:space="0" w:color="000000"/>
            </w:tcBorders>
          </w:tcPr>
          <w:p w14:paraId="6FE4449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Methods &gt; Study Selection and Data </w:t>
            </w:r>
            <w:r w:rsidR="00036AC2" w:rsidRPr="00CF44EB">
              <w:rPr>
                <w:rFonts w:ascii="Aptos" w:hAnsi="Aptos" w:cs="Times New Roman"/>
                <w:sz w:val="18"/>
                <w:szCs w:val="18"/>
              </w:rPr>
              <w:t>Extraction</w:t>
            </w:r>
          </w:p>
        </w:tc>
      </w:tr>
      <w:tr w:rsidR="00BB3A3D" w:rsidRPr="00B420C8" w14:paraId="3455A44F" w14:textId="77777777" w:rsidTr="009D60DC">
        <w:trPr>
          <w:trHeight w:val="152"/>
        </w:trPr>
        <w:tc>
          <w:tcPr>
            <w:tcW w:w="747" w:type="pct"/>
            <w:tcBorders>
              <w:top w:val="single" w:sz="5" w:space="0" w:color="000000"/>
              <w:left w:val="single" w:sz="5" w:space="0" w:color="000000"/>
              <w:bottom w:val="single" w:sz="5" w:space="0" w:color="000000"/>
              <w:right w:val="single" w:sz="5" w:space="0" w:color="000000"/>
            </w:tcBorders>
          </w:tcPr>
          <w:p w14:paraId="5AD8AED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Data collection process </w:t>
            </w:r>
          </w:p>
        </w:tc>
        <w:tc>
          <w:tcPr>
            <w:tcW w:w="318" w:type="pct"/>
            <w:tcBorders>
              <w:top w:val="single" w:sz="5" w:space="0" w:color="000000"/>
              <w:left w:val="single" w:sz="5" w:space="0" w:color="000000"/>
              <w:bottom w:val="single" w:sz="5" w:space="0" w:color="000000"/>
              <w:right w:val="single" w:sz="5" w:space="0" w:color="000000"/>
            </w:tcBorders>
          </w:tcPr>
          <w:p w14:paraId="45B8BE8E"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9</w:t>
            </w:r>
          </w:p>
        </w:tc>
        <w:tc>
          <w:tcPr>
            <w:tcW w:w="2925" w:type="pct"/>
            <w:tcBorders>
              <w:top w:val="single" w:sz="5" w:space="0" w:color="000000"/>
              <w:left w:val="single" w:sz="5" w:space="0" w:color="000000"/>
              <w:bottom w:val="single" w:sz="5" w:space="0" w:color="000000"/>
              <w:right w:val="single" w:sz="5" w:space="0" w:color="000000"/>
            </w:tcBorders>
          </w:tcPr>
          <w:p w14:paraId="5B7333D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010" w:type="pct"/>
            <w:tcBorders>
              <w:top w:val="single" w:sz="5" w:space="0" w:color="000000"/>
              <w:left w:val="single" w:sz="5" w:space="0" w:color="000000"/>
              <w:bottom w:val="single" w:sz="5" w:space="0" w:color="000000"/>
              <w:right w:val="single" w:sz="5" w:space="0" w:color="000000"/>
            </w:tcBorders>
          </w:tcPr>
          <w:p w14:paraId="6D997CC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Methods &gt; Study Selection and Data </w:t>
            </w:r>
            <w:r w:rsidR="00036AC2" w:rsidRPr="00CF44EB">
              <w:rPr>
                <w:rFonts w:ascii="Aptos" w:hAnsi="Aptos" w:cs="Times New Roman"/>
                <w:sz w:val="18"/>
                <w:szCs w:val="18"/>
              </w:rPr>
              <w:t>Extraction</w:t>
            </w:r>
          </w:p>
        </w:tc>
      </w:tr>
      <w:tr w:rsidR="00BB3A3D" w:rsidRPr="00B420C8" w14:paraId="41D804F4" w14:textId="77777777" w:rsidTr="009D60DC">
        <w:trPr>
          <w:trHeight w:val="48"/>
        </w:trPr>
        <w:tc>
          <w:tcPr>
            <w:tcW w:w="747" w:type="pct"/>
            <w:vMerge w:val="restart"/>
            <w:tcBorders>
              <w:top w:val="single" w:sz="5" w:space="0" w:color="000000"/>
              <w:left w:val="single" w:sz="5" w:space="0" w:color="000000"/>
              <w:right w:val="single" w:sz="5" w:space="0" w:color="000000"/>
            </w:tcBorders>
          </w:tcPr>
          <w:p w14:paraId="548D2A7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Data items </w:t>
            </w:r>
          </w:p>
        </w:tc>
        <w:tc>
          <w:tcPr>
            <w:tcW w:w="318" w:type="pct"/>
            <w:tcBorders>
              <w:top w:val="single" w:sz="5" w:space="0" w:color="000000"/>
              <w:left w:val="single" w:sz="5" w:space="0" w:color="000000"/>
              <w:bottom w:val="single" w:sz="5" w:space="0" w:color="000000"/>
              <w:right w:val="single" w:sz="5" w:space="0" w:color="000000"/>
            </w:tcBorders>
          </w:tcPr>
          <w:p w14:paraId="46A2E0CF"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10a</w:t>
            </w:r>
          </w:p>
        </w:tc>
        <w:tc>
          <w:tcPr>
            <w:tcW w:w="2925" w:type="pct"/>
            <w:tcBorders>
              <w:top w:val="single" w:sz="5" w:space="0" w:color="000000"/>
              <w:left w:val="single" w:sz="5" w:space="0" w:color="000000"/>
              <w:bottom w:val="single" w:sz="5" w:space="0" w:color="000000"/>
              <w:right w:val="single" w:sz="5" w:space="0" w:color="000000"/>
            </w:tcBorders>
          </w:tcPr>
          <w:p w14:paraId="71974D4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010" w:type="pct"/>
            <w:tcBorders>
              <w:top w:val="single" w:sz="5" w:space="0" w:color="000000"/>
              <w:left w:val="single" w:sz="5" w:space="0" w:color="000000"/>
              <w:bottom w:val="single" w:sz="5" w:space="0" w:color="000000"/>
              <w:right w:val="single" w:sz="5" w:space="0" w:color="000000"/>
            </w:tcBorders>
          </w:tcPr>
          <w:p w14:paraId="547C5BBB" w14:textId="77777777" w:rsidR="008D4B67" w:rsidRPr="00CF44EB" w:rsidRDefault="00000000">
            <w:pPr>
              <w:rPr>
                <w:rFonts w:ascii="Aptos" w:hAnsi="Aptos" w:cs="Times New Roman"/>
                <w:sz w:val="18"/>
                <w:szCs w:val="18"/>
              </w:rPr>
            </w:pPr>
            <w:r w:rsidRPr="00CF44EB">
              <w:rPr>
                <w:rFonts w:ascii="Aptos" w:hAnsi="Aptos" w:cs="Times New Roman"/>
                <w:sz w:val="18"/>
                <w:szCs w:val="18"/>
              </w:rPr>
              <w:t xml:space="preserve">Methods &gt; Eligibility Criteria and </w:t>
            </w:r>
            <w:proofErr w:type="spellStart"/>
            <w:r w:rsidRPr="00CF44EB">
              <w:rPr>
                <w:rFonts w:ascii="Aptos" w:hAnsi="Aptos" w:cs="Times New Roman"/>
                <w:sz w:val="18"/>
                <w:szCs w:val="18"/>
              </w:rPr>
              <w:t>Estimand</w:t>
            </w:r>
            <w:proofErr w:type="spellEnd"/>
            <w:r w:rsidRPr="00CF44EB">
              <w:rPr>
                <w:rFonts w:ascii="Aptos" w:hAnsi="Aptos" w:cs="Times New Roman"/>
                <w:sz w:val="18"/>
                <w:szCs w:val="18"/>
              </w:rPr>
              <w:t xml:space="preserve"> Framework; Methods &gt; Evidence Mapping and Statistical Synthesis</w:t>
            </w:r>
          </w:p>
        </w:tc>
      </w:tr>
      <w:tr w:rsidR="00BB3A3D" w:rsidRPr="00B420C8" w14:paraId="2C6EC69E" w14:textId="77777777" w:rsidTr="009D60DC">
        <w:trPr>
          <w:trHeight w:val="48"/>
        </w:trPr>
        <w:tc>
          <w:tcPr>
            <w:tcW w:w="747" w:type="pct"/>
            <w:vMerge/>
            <w:tcBorders>
              <w:left w:val="single" w:sz="5" w:space="0" w:color="000000"/>
              <w:bottom w:val="single" w:sz="5" w:space="0" w:color="000000"/>
              <w:right w:val="single" w:sz="5" w:space="0" w:color="000000"/>
            </w:tcBorders>
          </w:tcPr>
          <w:p w14:paraId="1742CD53"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78CBA3F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10b</w:t>
            </w:r>
          </w:p>
        </w:tc>
        <w:tc>
          <w:tcPr>
            <w:tcW w:w="2925" w:type="pct"/>
            <w:tcBorders>
              <w:top w:val="single" w:sz="5" w:space="0" w:color="000000"/>
              <w:left w:val="single" w:sz="5" w:space="0" w:color="000000"/>
              <w:bottom w:val="single" w:sz="5" w:space="0" w:color="000000"/>
              <w:right w:val="single" w:sz="5" w:space="0" w:color="000000"/>
            </w:tcBorders>
          </w:tcPr>
          <w:p w14:paraId="375E517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List and define all other variables for which data were sought (e.g. participant and intervention characteristics, funding sources). Describe any assumptions made about any missing or unclear information.</w:t>
            </w:r>
          </w:p>
        </w:tc>
        <w:tc>
          <w:tcPr>
            <w:tcW w:w="1010" w:type="pct"/>
            <w:tcBorders>
              <w:top w:val="single" w:sz="5" w:space="0" w:color="000000"/>
              <w:left w:val="single" w:sz="5" w:space="0" w:color="000000"/>
              <w:bottom w:val="single" w:sz="5" w:space="0" w:color="000000"/>
              <w:right w:val="single" w:sz="5" w:space="0" w:color="000000"/>
            </w:tcBorders>
          </w:tcPr>
          <w:p w14:paraId="3868ED9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Methods &gt; Study Selection and Data </w:t>
            </w:r>
            <w:r w:rsidR="00036AC2" w:rsidRPr="00CF44EB">
              <w:rPr>
                <w:rFonts w:ascii="Aptos" w:hAnsi="Aptos" w:cs="Times New Roman"/>
                <w:sz w:val="18"/>
                <w:szCs w:val="18"/>
              </w:rPr>
              <w:t>Extraction</w:t>
            </w:r>
          </w:p>
        </w:tc>
      </w:tr>
      <w:tr w:rsidR="00BB3A3D" w:rsidRPr="00B420C8" w14:paraId="78C915DD"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30C6674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Study risk of bias assessment</w:t>
            </w:r>
          </w:p>
        </w:tc>
        <w:tc>
          <w:tcPr>
            <w:tcW w:w="318" w:type="pct"/>
            <w:tcBorders>
              <w:top w:val="single" w:sz="5" w:space="0" w:color="000000"/>
              <w:left w:val="single" w:sz="5" w:space="0" w:color="000000"/>
              <w:bottom w:val="single" w:sz="5" w:space="0" w:color="000000"/>
              <w:right w:val="single" w:sz="5" w:space="0" w:color="000000"/>
            </w:tcBorders>
          </w:tcPr>
          <w:p w14:paraId="4675CEE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11</w:t>
            </w:r>
          </w:p>
        </w:tc>
        <w:tc>
          <w:tcPr>
            <w:tcW w:w="2925" w:type="pct"/>
            <w:tcBorders>
              <w:top w:val="single" w:sz="5" w:space="0" w:color="000000"/>
              <w:left w:val="single" w:sz="5" w:space="0" w:color="000000"/>
              <w:bottom w:val="single" w:sz="5" w:space="0" w:color="000000"/>
              <w:right w:val="single" w:sz="5" w:space="0" w:color="000000"/>
            </w:tcBorders>
          </w:tcPr>
          <w:p w14:paraId="308EB31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Specify the methods used to assess risk of bias in the included studies, including details of the tool(s) used, how many reviewers assessed each </w:t>
            </w:r>
            <w:r w:rsidRPr="00CF44EB">
              <w:rPr>
                <w:rFonts w:ascii="Aptos" w:hAnsi="Aptos" w:cs="Times New Roman"/>
                <w:sz w:val="18"/>
                <w:szCs w:val="18"/>
              </w:rPr>
              <w:lastRenderedPageBreak/>
              <w:t>study and whether they worked independently, and if applicable, details of automation tools used in the process.</w:t>
            </w:r>
          </w:p>
        </w:tc>
        <w:tc>
          <w:tcPr>
            <w:tcW w:w="1010" w:type="pct"/>
            <w:tcBorders>
              <w:top w:val="single" w:sz="5" w:space="0" w:color="000000"/>
              <w:left w:val="single" w:sz="5" w:space="0" w:color="000000"/>
              <w:bottom w:val="single" w:sz="5" w:space="0" w:color="000000"/>
              <w:right w:val="single" w:sz="5" w:space="0" w:color="000000"/>
            </w:tcBorders>
          </w:tcPr>
          <w:p w14:paraId="6D79E813" w14:textId="77777777" w:rsidR="00FF1D7B" w:rsidRPr="00CF44EB" w:rsidRDefault="00000000">
            <w:pPr>
              <w:rPr>
                <w:rFonts w:ascii="Aptos" w:hAnsi="Aptos"/>
                <w:sz w:val="18"/>
                <w:szCs w:val="18"/>
              </w:rPr>
            </w:pPr>
            <w:r w:rsidRPr="00CF44EB">
              <w:rPr>
                <w:rFonts w:ascii="Aptos" w:hAnsi="Aptos"/>
                <w:sz w:val="18"/>
                <w:szCs w:val="18"/>
              </w:rPr>
              <w:lastRenderedPageBreak/>
              <w:t xml:space="preserve">Methods &gt; Quality Assessment and </w:t>
            </w:r>
            <w:r w:rsidRPr="00CF44EB">
              <w:rPr>
                <w:rFonts w:ascii="Aptos" w:hAnsi="Aptos"/>
                <w:sz w:val="18"/>
                <w:szCs w:val="18"/>
              </w:rPr>
              <w:lastRenderedPageBreak/>
              <w:t>Certainty of Evidence</w:t>
            </w:r>
          </w:p>
        </w:tc>
      </w:tr>
      <w:tr w:rsidR="00BB3A3D" w:rsidRPr="00B420C8" w14:paraId="5D3B629B"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5558ADF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lastRenderedPageBreak/>
              <w:t xml:space="preserve">Effect measures </w:t>
            </w:r>
          </w:p>
        </w:tc>
        <w:tc>
          <w:tcPr>
            <w:tcW w:w="318" w:type="pct"/>
            <w:tcBorders>
              <w:top w:val="single" w:sz="5" w:space="0" w:color="000000"/>
              <w:left w:val="single" w:sz="5" w:space="0" w:color="000000"/>
              <w:bottom w:val="single" w:sz="5" w:space="0" w:color="000000"/>
              <w:right w:val="single" w:sz="5" w:space="0" w:color="000000"/>
            </w:tcBorders>
          </w:tcPr>
          <w:p w14:paraId="46164E6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12</w:t>
            </w:r>
          </w:p>
        </w:tc>
        <w:tc>
          <w:tcPr>
            <w:tcW w:w="2925" w:type="pct"/>
            <w:tcBorders>
              <w:top w:val="single" w:sz="5" w:space="0" w:color="000000"/>
              <w:left w:val="single" w:sz="5" w:space="0" w:color="000000"/>
              <w:bottom w:val="single" w:sz="5" w:space="0" w:color="000000"/>
              <w:right w:val="single" w:sz="5" w:space="0" w:color="000000"/>
            </w:tcBorders>
          </w:tcPr>
          <w:p w14:paraId="60CB4479"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Specify for each outcome the effect measure(s) (e.g. risk ratio, mean difference) used in the synthesis or presentation of results.</w:t>
            </w:r>
          </w:p>
        </w:tc>
        <w:tc>
          <w:tcPr>
            <w:tcW w:w="1010" w:type="pct"/>
            <w:tcBorders>
              <w:top w:val="single" w:sz="5" w:space="0" w:color="000000"/>
              <w:left w:val="single" w:sz="5" w:space="0" w:color="000000"/>
              <w:bottom w:val="single" w:sz="5" w:space="0" w:color="000000"/>
              <w:right w:val="single" w:sz="5" w:space="0" w:color="000000"/>
            </w:tcBorders>
          </w:tcPr>
          <w:p w14:paraId="710EBB7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Evidence Mapping and Statistical Synthesis</w:t>
            </w:r>
          </w:p>
        </w:tc>
      </w:tr>
      <w:tr w:rsidR="00BB3A3D" w:rsidRPr="00B420C8" w14:paraId="17FD99E0" w14:textId="77777777" w:rsidTr="009D60DC">
        <w:trPr>
          <w:trHeight w:val="48"/>
        </w:trPr>
        <w:tc>
          <w:tcPr>
            <w:tcW w:w="747" w:type="pct"/>
            <w:vMerge w:val="restart"/>
            <w:tcBorders>
              <w:top w:val="single" w:sz="5" w:space="0" w:color="000000"/>
              <w:left w:val="single" w:sz="5" w:space="0" w:color="000000"/>
              <w:right w:val="single" w:sz="5" w:space="0" w:color="000000"/>
            </w:tcBorders>
          </w:tcPr>
          <w:p w14:paraId="4A42B72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Synthesis methods</w:t>
            </w:r>
          </w:p>
        </w:tc>
        <w:tc>
          <w:tcPr>
            <w:tcW w:w="318" w:type="pct"/>
            <w:tcBorders>
              <w:top w:val="single" w:sz="5" w:space="0" w:color="000000"/>
              <w:left w:val="single" w:sz="5" w:space="0" w:color="000000"/>
              <w:bottom w:val="single" w:sz="5" w:space="0" w:color="000000"/>
              <w:right w:val="single" w:sz="5" w:space="0" w:color="000000"/>
            </w:tcBorders>
          </w:tcPr>
          <w:p w14:paraId="7C78A9F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13a</w:t>
            </w:r>
          </w:p>
        </w:tc>
        <w:tc>
          <w:tcPr>
            <w:tcW w:w="2925" w:type="pct"/>
            <w:tcBorders>
              <w:top w:val="single" w:sz="5" w:space="0" w:color="000000"/>
              <w:left w:val="single" w:sz="5" w:space="0" w:color="000000"/>
              <w:bottom w:val="single" w:sz="5" w:space="0" w:color="000000"/>
              <w:right w:val="single" w:sz="5" w:space="0" w:color="000000"/>
            </w:tcBorders>
          </w:tcPr>
          <w:p w14:paraId="3C1CF99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010" w:type="pct"/>
            <w:tcBorders>
              <w:top w:val="single" w:sz="5" w:space="0" w:color="000000"/>
              <w:left w:val="single" w:sz="5" w:space="0" w:color="000000"/>
              <w:bottom w:val="single" w:sz="5" w:space="0" w:color="000000"/>
              <w:right w:val="single" w:sz="5" w:space="0" w:color="000000"/>
            </w:tcBorders>
          </w:tcPr>
          <w:p w14:paraId="3E9FEAC0" w14:textId="77777777" w:rsidR="008D4B67" w:rsidRPr="00CF44EB" w:rsidRDefault="00000000">
            <w:pPr>
              <w:rPr>
                <w:rFonts w:ascii="Aptos" w:hAnsi="Aptos" w:cs="Times New Roman"/>
                <w:sz w:val="18"/>
                <w:szCs w:val="18"/>
              </w:rPr>
            </w:pPr>
            <w:r w:rsidRPr="00CF44EB">
              <w:rPr>
                <w:rFonts w:ascii="Aptos" w:hAnsi="Aptos" w:cs="Times New Roman"/>
                <w:sz w:val="18"/>
                <w:szCs w:val="18"/>
              </w:rPr>
              <w:t xml:space="preserve">Methods &gt; Eligibility Criteria and </w:t>
            </w:r>
            <w:proofErr w:type="spellStart"/>
            <w:r w:rsidRPr="00CF44EB">
              <w:rPr>
                <w:rFonts w:ascii="Aptos" w:hAnsi="Aptos" w:cs="Times New Roman"/>
                <w:sz w:val="18"/>
                <w:szCs w:val="18"/>
              </w:rPr>
              <w:t>Estimand</w:t>
            </w:r>
            <w:proofErr w:type="spellEnd"/>
            <w:r w:rsidRPr="00CF44EB">
              <w:rPr>
                <w:rFonts w:ascii="Aptos" w:hAnsi="Aptos" w:cs="Times New Roman"/>
                <w:sz w:val="18"/>
                <w:szCs w:val="18"/>
              </w:rPr>
              <w:t xml:space="preserve"> Framework</w:t>
            </w:r>
          </w:p>
        </w:tc>
      </w:tr>
      <w:tr w:rsidR="00BB3A3D" w:rsidRPr="00B420C8" w14:paraId="3CDF5A37" w14:textId="77777777" w:rsidTr="009D60DC">
        <w:trPr>
          <w:trHeight w:val="48"/>
        </w:trPr>
        <w:tc>
          <w:tcPr>
            <w:tcW w:w="747" w:type="pct"/>
            <w:vMerge/>
            <w:tcBorders>
              <w:left w:val="single" w:sz="5" w:space="0" w:color="000000"/>
              <w:right w:val="single" w:sz="5" w:space="0" w:color="000000"/>
            </w:tcBorders>
          </w:tcPr>
          <w:p w14:paraId="7704DCD8"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10994CB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13b</w:t>
            </w:r>
          </w:p>
        </w:tc>
        <w:tc>
          <w:tcPr>
            <w:tcW w:w="2925" w:type="pct"/>
            <w:tcBorders>
              <w:top w:val="single" w:sz="5" w:space="0" w:color="000000"/>
              <w:left w:val="single" w:sz="5" w:space="0" w:color="000000"/>
              <w:bottom w:val="single" w:sz="5" w:space="0" w:color="000000"/>
              <w:right w:val="single" w:sz="5" w:space="0" w:color="000000"/>
            </w:tcBorders>
          </w:tcPr>
          <w:p w14:paraId="642016D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any methods required to prepare the data for presentation or synthesis, such as handling of missing summary statistics, or data conversions.</w:t>
            </w:r>
          </w:p>
        </w:tc>
        <w:tc>
          <w:tcPr>
            <w:tcW w:w="1010" w:type="pct"/>
            <w:tcBorders>
              <w:top w:val="single" w:sz="5" w:space="0" w:color="000000"/>
              <w:left w:val="single" w:sz="5" w:space="0" w:color="000000"/>
              <w:bottom w:val="single" w:sz="5" w:space="0" w:color="000000"/>
              <w:right w:val="single" w:sz="5" w:space="0" w:color="000000"/>
            </w:tcBorders>
          </w:tcPr>
          <w:p w14:paraId="3E1814B6" w14:textId="77777777" w:rsidR="008D4B67" w:rsidRPr="00CF44EB" w:rsidRDefault="00000000">
            <w:pPr>
              <w:rPr>
                <w:rFonts w:ascii="Aptos" w:hAnsi="Aptos" w:cs="Times New Roman"/>
                <w:sz w:val="18"/>
                <w:szCs w:val="18"/>
              </w:rPr>
            </w:pPr>
            <w:r w:rsidRPr="00CF44EB">
              <w:rPr>
                <w:rFonts w:ascii="Aptos" w:hAnsi="Aptos" w:cs="Times New Roman"/>
                <w:sz w:val="18"/>
                <w:szCs w:val="18"/>
              </w:rPr>
              <w:t xml:space="preserve">Methods &gt; Eligibility Criteria and </w:t>
            </w:r>
            <w:proofErr w:type="spellStart"/>
            <w:r w:rsidRPr="00CF44EB">
              <w:rPr>
                <w:rFonts w:ascii="Aptos" w:hAnsi="Aptos" w:cs="Times New Roman"/>
                <w:sz w:val="18"/>
                <w:szCs w:val="18"/>
              </w:rPr>
              <w:t>Estimand</w:t>
            </w:r>
            <w:proofErr w:type="spellEnd"/>
            <w:r w:rsidRPr="00CF44EB">
              <w:rPr>
                <w:rFonts w:ascii="Aptos" w:hAnsi="Aptos" w:cs="Times New Roman"/>
                <w:sz w:val="18"/>
                <w:szCs w:val="18"/>
              </w:rPr>
              <w:t xml:space="preserve"> Framework</w:t>
            </w:r>
          </w:p>
        </w:tc>
      </w:tr>
      <w:tr w:rsidR="00BB3A3D" w:rsidRPr="00B420C8" w14:paraId="273130BA" w14:textId="77777777" w:rsidTr="009D60DC">
        <w:trPr>
          <w:trHeight w:val="48"/>
        </w:trPr>
        <w:tc>
          <w:tcPr>
            <w:tcW w:w="747" w:type="pct"/>
            <w:vMerge/>
            <w:tcBorders>
              <w:left w:val="single" w:sz="5" w:space="0" w:color="000000"/>
              <w:right w:val="single" w:sz="5" w:space="0" w:color="000000"/>
            </w:tcBorders>
          </w:tcPr>
          <w:p w14:paraId="5F94D07D"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6B0F237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13c</w:t>
            </w:r>
          </w:p>
        </w:tc>
        <w:tc>
          <w:tcPr>
            <w:tcW w:w="2925" w:type="pct"/>
            <w:tcBorders>
              <w:top w:val="single" w:sz="5" w:space="0" w:color="000000"/>
              <w:left w:val="single" w:sz="5" w:space="0" w:color="000000"/>
              <w:bottom w:val="single" w:sz="5" w:space="0" w:color="000000"/>
              <w:right w:val="single" w:sz="5" w:space="0" w:color="000000"/>
            </w:tcBorders>
          </w:tcPr>
          <w:p w14:paraId="3ECFDD0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any methods used to tabulate or visually display results of individual studies and syntheses.</w:t>
            </w:r>
          </w:p>
        </w:tc>
        <w:tc>
          <w:tcPr>
            <w:tcW w:w="1010" w:type="pct"/>
            <w:tcBorders>
              <w:top w:val="single" w:sz="5" w:space="0" w:color="000000"/>
              <w:left w:val="single" w:sz="5" w:space="0" w:color="000000"/>
              <w:bottom w:val="single" w:sz="5" w:space="0" w:color="000000"/>
              <w:right w:val="single" w:sz="5" w:space="0" w:color="000000"/>
            </w:tcBorders>
          </w:tcPr>
          <w:p w14:paraId="475F1EE6" w14:textId="77777777" w:rsidR="00FF1D7B" w:rsidRPr="00CF44EB" w:rsidRDefault="00000000">
            <w:pPr>
              <w:rPr>
                <w:rFonts w:ascii="Aptos" w:hAnsi="Aptos"/>
                <w:sz w:val="18"/>
                <w:szCs w:val="18"/>
              </w:rPr>
            </w:pPr>
            <w:r w:rsidRPr="00CF44EB">
              <w:rPr>
                <w:rFonts w:ascii="Aptos" w:hAnsi="Aptos"/>
                <w:sz w:val="18"/>
                <w:szCs w:val="18"/>
              </w:rPr>
              <w:t>Results &gt; Tables 1-3; Figures 1-2; Supplementary Results S2-S17</w:t>
            </w:r>
          </w:p>
        </w:tc>
      </w:tr>
      <w:tr w:rsidR="00BB3A3D" w:rsidRPr="00B420C8" w14:paraId="6AB326D5" w14:textId="77777777" w:rsidTr="009D60DC">
        <w:trPr>
          <w:trHeight w:val="48"/>
        </w:trPr>
        <w:tc>
          <w:tcPr>
            <w:tcW w:w="747" w:type="pct"/>
            <w:vMerge/>
            <w:tcBorders>
              <w:left w:val="single" w:sz="5" w:space="0" w:color="000000"/>
              <w:right w:val="single" w:sz="5" w:space="0" w:color="000000"/>
            </w:tcBorders>
          </w:tcPr>
          <w:p w14:paraId="25271AE0"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683ECBE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13d</w:t>
            </w:r>
          </w:p>
        </w:tc>
        <w:tc>
          <w:tcPr>
            <w:tcW w:w="2925" w:type="pct"/>
            <w:tcBorders>
              <w:top w:val="single" w:sz="5" w:space="0" w:color="000000"/>
              <w:left w:val="single" w:sz="5" w:space="0" w:color="000000"/>
              <w:bottom w:val="single" w:sz="5" w:space="0" w:color="000000"/>
              <w:right w:val="single" w:sz="5" w:space="0" w:color="000000"/>
            </w:tcBorders>
          </w:tcPr>
          <w:p w14:paraId="4C21568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Describe any methods used to synthesize results and provide a rationale for the choice(s). If meta-analysis was performed, describe the model(s), method(s) to identify the presence and </w:t>
            </w:r>
            <w:r w:rsidR="00A36FD8" w:rsidRPr="00CF44EB">
              <w:rPr>
                <w:rFonts w:ascii="Aptos" w:hAnsi="Aptos" w:cs="Times New Roman"/>
                <w:sz w:val="18"/>
                <w:szCs w:val="18"/>
              </w:rPr>
              <w:t>extent</w:t>
            </w:r>
            <w:r w:rsidRPr="00CF44EB">
              <w:rPr>
                <w:rFonts w:ascii="Aptos" w:hAnsi="Aptos" w:cs="Times New Roman"/>
                <w:sz w:val="18"/>
                <w:szCs w:val="18"/>
              </w:rPr>
              <w:t xml:space="preserve"> of statistical heterogeneity, and software package(s) used.</w:t>
            </w:r>
          </w:p>
        </w:tc>
        <w:tc>
          <w:tcPr>
            <w:tcW w:w="1010" w:type="pct"/>
            <w:tcBorders>
              <w:top w:val="single" w:sz="5" w:space="0" w:color="000000"/>
              <w:left w:val="single" w:sz="5" w:space="0" w:color="000000"/>
              <w:bottom w:val="single" w:sz="5" w:space="0" w:color="000000"/>
              <w:right w:val="single" w:sz="5" w:space="0" w:color="000000"/>
            </w:tcBorders>
          </w:tcPr>
          <w:p w14:paraId="36014B5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Evidence Mapping and Statistical Synthesis</w:t>
            </w:r>
          </w:p>
        </w:tc>
      </w:tr>
      <w:tr w:rsidR="00BB3A3D" w:rsidRPr="00B420C8" w14:paraId="0BCC5A9C" w14:textId="77777777" w:rsidTr="009D60DC">
        <w:trPr>
          <w:trHeight w:val="48"/>
        </w:trPr>
        <w:tc>
          <w:tcPr>
            <w:tcW w:w="747" w:type="pct"/>
            <w:vMerge/>
            <w:tcBorders>
              <w:left w:val="single" w:sz="5" w:space="0" w:color="000000"/>
              <w:right w:val="single" w:sz="5" w:space="0" w:color="000000"/>
            </w:tcBorders>
          </w:tcPr>
          <w:p w14:paraId="75E5B35C"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081EC58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13e</w:t>
            </w:r>
          </w:p>
        </w:tc>
        <w:tc>
          <w:tcPr>
            <w:tcW w:w="2925" w:type="pct"/>
            <w:tcBorders>
              <w:top w:val="single" w:sz="5" w:space="0" w:color="000000"/>
              <w:left w:val="single" w:sz="5" w:space="0" w:color="000000"/>
              <w:bottom w:val="single" w:sz="5" w:space="0" w:color="000000"/>
              <w:right w:val="single" w:sz="5" w:space="0" w:color="000000"/>
            </w:tcBorders>
          </w:tcPr>
          <w:p w14:paraId="1F8CEF0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any methods used to explore possible causes of heterogeneity among study results (e.g. subgroup analysis, meta-regression).</w:t>
            </w:r>
          </w:p>
        </w:tc>
        <w:tc>
          <w:tcPr>
            <w:tcW w:w="1010" w:type="pct"/>
            <w:tcBorders>
              <w:top w:val="single" w:sz="5" w:space="0" w:color="000000"/>
              <w:left w:val="single" w:sz="5" w:space="0" w:color="000000"/>
              <w:bottom w:val="single" w:sz="5" w:space="0" w:color="000000"/>
              <w:right w:val="single" w:sz="5" w:space="0" w:color="000000"/>
            </w:tcBorders>
          </w:tcPr>
          <w:p w14:paraId="7CBA228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Evidence Mapping and Statistical Synthesis</w:t>
            </w:r>
          </w:p>
        </w:tc>
      </w:tr>
      <w:tr w:rsidR="00BB3A3D" w:rsidRPr="00B420C8" w14:paraId="2D0EA36A" w14:textId="77777777" w:rsidTr="009D60DC">
        <w:trPr>
          <w:trHeight w:val="50"/>
        </w:trPr>
        <w:tc>
          <w:tcPr>
            <w:tcW w:w="747" w:type="pct"/>
            <w:vMerge/>
            <w:tcBorders>
              <w:left w:val="single" w:sz="5" w:space="0" w:color="000000"/>
              <w:bottom w:val="single" w:sz="5" w:space="0" w:color="000000"/>
              <w:right w:val="single" w:sz="5" w:space="0" w:color="000000"/>
            </w:tcBorders>
          </w:tcPr>
          <w:p w14:paraId="39BCCEFD"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1B5DA23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13f</w:t>
            </w:r>
          </w:p>
        </w:tc>
        <w:tc>
          <w:tcPr>
            <w:tcW w:w="2925" w:type="pct"/>
            <w:tcBorders>
              <w:top w:val="single" w:sz="5" w:space="0" w:color="000000"/>
              <w:left w:val="single" w:sz="5" w:space="0" w:color="000000"/>
              <w:bottom w:val="single" w:sz="5" w:space="0" w:color="000000"/>
              <w:right w:val="single" w:sz="5" w:space="0" w:color="000000"/>
            </w:tcBorders>
          </w:tcPr>
          <w:p w14:paraId="7224FDCE"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any sensitivity analyses conducted to assess robustness of the synthesized results.</w:t>
            </w:r>
          </w:p>
        </w:tc>
        <w:tc>
          <w:tcPr>
            <w:tcW w:w="1010" w:type="pct"/>
            <w:tcBorders>
              <w:top w:val="single" w:sz="5" w:space="0" w:color="000000"/>
              <w:left w:val="single" w:sz="5" w:space="0" w:color="000000"/>
              <w:bottom w:val="single" w:sz="5" w:space="0" w:color="000000"/>
              <w:right w:val="single" w:sz="5" w:space="0" w:color="000000"/>
            </w:tcBorders>
          </w:tcPr>
          <w:p w14:paraId="1029C24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Evidence Mapping and Statistical Synthesis</w:t>
            </w:r>
          </w:p>
        </w:tc>
      </w:tr>
      <w:tr w:rsidR="00BB3A3D" w:rsidRPr="00B420C8" w14:paraId="23308226"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259FE4E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Reporting bias assessment</w:t>
            </w:r>
          </w:p>
        </w:tc>
        <w:tc>
          <w:tcPr>
            <w:tcW w:w="318" w:type="pct"/>
            <w:tcBorders>
              <w:top w:val="single" w:sz="5" w:space="0" w:color="000000"/>
              <w:left w:val="single" w:sz="5" w:space="0" w:color="000000"/>
              <w:bottom w:val="single" w:sz="5" w:space="0" w:color="000000"/>
              <w:right w:val="single" w:sz="5" w:space="0" w:color="000000"/>
            </w:tcBorders>
          </w:tcPr>
          <w:p w14:paraId="021CA7F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14</w:t>
            </w:r>
          </w:p>
        </w:tc>
        <w:tc>
          <w:tcPr>
            <w:tcW w:w="2925" w:type="pct"/>
            <w:tcBorders>
              <w:top w:val="single" w:sz="5" w:space="0" w:color="000000"/>
              <w:left w:val="single" w:sz="5" w:space="0" w:color="000000"/>
              <w:bottom w:val="single" w:sz="5" w:space="0" w:color="000000"/>
              <w:right w:val="single" w:sz="5" w:space="0" w:color="000000"/>
            </w:tcBorders>
          </w:tcPr>
          <w:p w14:paraId="20647DD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any methods used to assess risk of bias due to missing results in a synthesis (arising from reporting biases).</w:t>
            </w:r>
          </w:p>
        </w:tc>
        <w:tc>
          <w:tcPr>
            <w:tcW w:w="1010" w:type="pct"/>
            <w:tcBorders>
              <w:top w:val="single" w:sz="5" w:space="0" w:color="000000"/>
              <w:left w:val="single" w:sz="5" w:space="0" w:color="000000"/>
              <w:bottom w:val="single" w:sz="5" w:space="0" w:color="000000"/>
              <w:right w:val="single" w:sz="5" w:space="0" w:color="000000"/>
            </w:tcBorders>
          </w:tcPr>
          <w:p w14:paraId="4A3D0D35" w14:textId="77777777" w:rsidR="00FF1D7B" w:rsidRPr="00CF44EB" w:rsidRDefault="00000000">
            <w:pPr>
              <w:rPr>
                <w:rFonts w:ascii="Aptos" w:hAnsi="Aptos"/>
                <w:sz w:val="18"/>
                <w:szCs w:val="18"/>
              </w:rPr>
            </w:pPr>
            <w:r w:rsidRPr="00CF44EB">
              <w:rPr>
                <w:rFonts w:ascii="Aptos" w:hAnsi="Aptos"/>
                <w:sz w:val="18"/>
                <w:szCs w:val="18"/>
              </w:rPr>
              <w:t>Methods &gt; Quality Assessment and Certainty of Evidence</w:t>
            </w:r>
          </w:p>
        </w:tc>
      </w:tr>
      <w:tr w:rsidR="00BB3A3D" w:rsidRPr="00B420C8" w14:paraId="183513A9"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16FDA1C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Certainty assessment</w:t>
            </w:r>
          </w:p>
        </w:tc>
        <w:tc>
          <w:tcPr>
            <w:tcW w:w="318" w:type="pct"/>
            <w:tcBorders>
              <w:top w:val="single" w:sz="5" w:space="0" w:color="000000"/>
              <w:left w:val="single" w:sz="5" w:space="0" w:color="000000"/>
              <w:bottom w:val="single" w:sz="5" w:space="0" w:color="000000"/>
              <w:right w:val="single" w:sz="5" w:space="0" w:color="000000"/>
            </w:tcBorders>
          </w:tcPr>
          <w:p w14:paraId="1B333A9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15</w:t>
            </w:r>
          </w:p>
        </w:tc>
        <w:tc>
          <w:tcPr>
            <w:tcW w:w="2925" w:type="pct"/>
            <w:tcBorders>
              <w:top w:val="single" w:sz="5" w:space="0" w:color="000000"/>
              <w:left w:val="single" w:sz="5" w:space="0" w:color="000000"/>
              <w:bottom w:val="single" w:sz="5" w:space="0" w:color="000000"/>
              <w:right w:val="single" w:sz="5" w:space="0" w:color="000000"/>
            </w:tcBorders>
          </w:tcPr>
          <w:p w14:paraId="175A6AC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any methods used to assess certainty (or confidence) in the body of evidence for an outcome.</w:t>
            </w:r>
          </w:p>
        </w:tc>
        <w:tc>
          <w:tcPr>
            <w:tcW w:w="1010" w:type="pct"/>
            <w:tcBorders>
              <w:top w:val="single" w:sz="5" w:space="0" w:color="000000"/>
              <w:left w:val="single" w:sz="5" w:space="0" w:color="000000"/>
              <w:bottom w:val="single" w:sz="5" w:space="0" w:color="000000"/>
              <w:right w:val="single" w:sz="5" w:space="0" w:color="000000"/>
            </w:tcBorders>
          </w:tcPr>
          <w:p w14:paraId="02BFEEB4" w14:textId="77777777" w:rsidR="00FF1D7B" w:rsidRPr="00CF44EB" w:rsidRDefault="00000000">
            <w:pPr>
              <w:rPr>
                <w:rFonts w:ascii="Aptos" w:hAnsi="Aptos"/>
                <w:sz w:val="18"/>
                <w:szCs w:val="18"/>
              </w:rPr>
            </w:pPr>
            <w:r w:rsidRPr="00CF44EB">
              <w:rPr>
                <w:rFonts w:ascii="Aptos" w:hAnsi="Aptos"/>
                <w:sz w:val="18"/>
                <w:szCs w:val="18"/>
              </w:rPr>
              <w:t>Methods &gt; Quality Assessment and Certainty of Evidence</w:t>
            </w:r>
          </w:p>
        </w:tc>
      </w:tr>
      <w:tr w:rsidR="00BB3A3D" w:rsidRPr="00B420C8" w14:paraId="5D5D3912"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3FEA9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RESULTS </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7A16F260" w14:textId="77777777" w:rsidR="00330C1A" w:rsidRPr="00CF44EB" w:rsidRDefault="00330C1A" w:rsidP="00B128EA">
            <w:pPr>
              <w:pStyle w:val="af2"/>
              <w:rPr>
                <w:rFonts w:ascii="Aptos" w:hAnsi="Aptos" w:cs="Times New Roman"/>
                <w:sz w:val="18"/>
                <w:szCs w:val="18"/>
              </w:rPr>
            </w:pPr>
          </w:p>
        </w:tc>
      </w:tr>
      <w:tr w:rsidR="00BB3A3D" w:rsidRPr="00B420C8" w14:paraId="46473880" w14:textId="77777777" w:rsidTr="009D60DC">
        <w:trPr>
          <w:trHeight w:val="48"/>
        </w:trPr>
        <w:tc>
          <w:tcPr>
            <w:tcW w:w="747" w:type="pct"/>
            <w:vMerge w:val="restart"/>
            <w:tcBorders>
              <w:top w:val="single" w:sz="5" w:space="0" w:color="000000"/>
              <w:left w:val="single" w:sz="5" w:space="0" w:color="000000"/>
              <w:right w:val="single" w:sz="5" w:space="0" w:color="000000"/>
            </w:tcBorders>
          </w:tcPr>
          <w:p w14:paraId="5C634C7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Study selection </w:t>
            </w:r>
          </w:p>
        </w:tc>
        <w:tc>
          <w:tcPr>
            <w:tcW w:w="318" w:type="pct"/>
            <w:tcBorders>
              <w:top w:val="single" w:sz="5" w:space="0" w:color="000000"/>
              <w:left w:val="single" w:sz="5" w:space="0" w:color="000000"/>
              <w:bottom w:val="single" w:sz="5" w:space="0" w:color="000000"/>
              <w:right w:val="single" w:sz="5" w:space="0" w:color="000000"/>
            </w:tcBorders>
          </w:tcPr>
          <w:p w14:paraId="687964C5"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16a</w:t>
            </w:r>
          </w:p>
        </w:tc>
        <w:tc>
          <w:tcPr>
            <w:tcW w:w="2925" w:type="pct"/>
            <w:tcBorders>
              <w:top w:val="single" w:sz="5" w:space="0" w:color="000000"/>
              <w:left w:val="single" w:sz="5" w:space="0" w:color="000000"/>
              <w:bottom w:val="single" w:sz="5" w:space="0" w:color="000000"/>
              <w:right w:val="single" w:sz="5" w:space="0" w:color="000000"/>
            </w:tcBorders>
          </w:tcPr>
          <w:p w14:paraId="141BB6D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the results of the search and selection process, from the number of records identified in the search to the number of studies included in the review, ideally using a flow diagram.</w:t>
            </w:r>
          </w:p>
        </w:tc>
        <w:tc>
          <w:tcPr>
            <w:tcW w:w="1010" w:type="pct"/>
            <w:tcBorders>
              <w:top w:val="single" w:sz="5" w:space="0" w:color="000000"/>
              <w:left w:val="single" w:sz="5" w:space="0" w:color="000000"/>
              <w:bottom w:val="single" w:sz="5" w:space="0" w:color="000000"/>
              <w:right w:val="single" w:sz="5" w:space="0" w:color="000000"/>
            </w:tcBorders>
          </w:tcPr>
          <w:p w14:paraId="0642A88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Study Selection</w:t>
            </w:r>
          </w:p>
        </w:tc>
      </w:tr>
      <w:tr w:rsidR="00BB3A3D" w:rsidRPr="00B420C8" w14:paraId="65640F66" w14:textId="77777777" w:rsidTr="009D60DC">
        <w:trPr>
          <w:trHeight w:val="48"/>
        </w:trPr>
        <w:tc>
          <w:tcPr>
            <w:tcW w:w="747" w:type="pct"/>
            <w:vMerge/>
            <w:tcBorders>
              <w:left w:val="single" w:sz="5" w:space="0" w:color="000000"/>
              <w:bottom w:val="single" w:sz="5" w:space="0" w:color="000000"/>
              <w:right w:val="single" w:sz="5" w:space="0" w:color="000000"/>
            </w:tcBorders>
          </w:tcPr>
          <w:p w14:paraId="354F65F6"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4207519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16b</w:t>
            </w:r>
          </w:p>
        </w:tc>
        <w:tc>
          <w:tcPr>
            <w:tcW w:w="2925" w:type="pct"/>
            <w:tcBorders>
              <w:top w:val="single" w:sz="5" w:space="0" w:color="000000"/>
              <w:left w:val="single" w:sz="5" w:space="0" w:color="000000"/>
              <w:bottom w:val="single" w:sz="5" w:space="0" w:color="000000"/>
              <w:right w:val="single" w:sz="5" w:space="0" w:color="000000"/>
            </w:tcBorders>
          </w:tcPr>
          <w:p w14:paraId="2DD171F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Cite studies that might appear to meet the inclusion criteria, but which were excluded, and explain why they were excluded.</w:t>
            </w:r>
          </w:p>
        </w:tc>
        <w:tc>
          <w:tcPr>
            <w:tcW w:w="1010" w:type="pct"/>
            <w:tcBorders>
              <w:top w:val="single" w:sz="5" w:space="0" w:color="000000"/>
              <w:left w:val="single" w:sz="5" w:space="0" w:color="000000"/>
              <w:bottom w:val="single" w:sz="5" w:space="0" w:color="000000"/>
              <w:right w:val="single" w:sz="5" w:space="0" w:color="000000"/>
            </w:tcBorders>
          </w:tcPr>
          <w:p w14:paraId="570E948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Study Selection</w:t>
            </w:r>
          </w:p>
        </w:tc>
      </w:tr>
      <w:tr w:rsidR="00BB3A3D" w:rsidRPr="00B420C8" w14:paraId="1C75EED1" w14:textId="77777777" w:rsidTr="009D60DC">
        <w:trPr>
          <w:trHeight w:val="103"/>
        </w:trPr>
        <w:tc>
          <w:tcPr>
            <w:tcW w:w="747" w:type="pct"/>
            <w:tcBorders>
              <w:top w:val="single" w:sz="5" w:space="0" w:color="000000"/>
              <w:left w:val="single" w:sz="5" w:space="0" w:color="000000"/>
              <w:bottom w:val="single" w:sz="5" w:space="0" w:color="000000"/>
              <w:right w:val="single" w:sz="5" w:space="0" w:color="000000"/>
            </w:tcBorders>
          </w:tcPr>
          <w:p w14:paraId="4AAFA38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Study characteristics </w:t>
            </w:r>
          </w:p>
        </w:tc>
        <w:tc>
          <w:tcPr>
            <w:tcW w:w="318" w:type="pct"/>
            <w:tcBorders>
              <w:top w:val="single" w:sz="5" w:space="0" w:color="000000"/>
              <w:left w:val="single" w:sz="5" w:space="0" w:color="000000"/>
              <w:bottom w:val="single" w:sz="5" w:space="0" w:color="000000"/>
              <w:right w:val="single" w:sz="5" w:space="0" w:color="000000"/>
            </w:tcBorders>
          </w:tcPr>
          <w:p w14:paraId="4F216C5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17</w:t>
            </w:r>
          </w:p>
        </w:tc>
        <w:tc>
          <w:tcPr>
            <w:tcW w:w="2925" w:type="pct"/>
            <w:tcBorders>
              <w:top w:val="single" w:sz="5" w:space="0" w:color="000000"/>
              <w:left w:val="single" w:sz="5" w:space="0" w:color="000000"/>
              <w:bottom w:val="single" w:sz="5" w:space="0" w:color="000000"/>
              <w:right w:val="single" w:sz="5" w:space="0" w:color="000000"/>
            </w:tcBorders>
          </w:tcPr>
          <w:p w14:paraId="504596C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Cite each included study and present its characteristics.</w:t>
            </w:r>
          </w:p>
        </w:tc>
        <w:tc>
          <w:tcPr>
            <w:tcW w:w="1010" w:type="pct"/>
            <w:tcBorders>
              <w:top w:val="single" w:sz="5" w:space="0" w:color="000000"/>
              <w:left w:val="single" w:sz="5" w:space="0" w:color="000000"/>
              <w:bottom w:val="single" w:sz="5" w:space="0" w:color="000000"/>
              <w:right w:val="single" w:sz="5" w:space="0" w:color="000000"/>
            </w:tcBorders>
          </w:tcPr>
          <w:p w14:paraId="18B615F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Study Characteristics</w:t>
            </w:r>
          </w:p>
        </w:tc>
      </w:tr>
      <w:tr w:rsidR="00BB3A3D" w:rsidRPr="00B420C8" w14:paraId="2CFE25C8"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735776F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Risk of bias in studies </w:t>
            </w:r>
          </w:p>
        </w:tc>
        <w:tc>
          <w:tcPr>
            <w:tcW w:w="318" w:type="pct"/>
            <w:tcBorders>
              <w:top w:val="single" w:sz="5" w:space="0" w:color="000000"/>
              <w:left w:val="single" w:sz="5" w:space="0" w:color="000000"/>
              <w:bottom w:val="single" w:sz="5" w:space="0" w:color="000000"/>
              <w:right w:val="single" w:sz="5" w:space="0" w:color="000000"/>
            </w:tcBorders>
          </w:tcPr>
          <w:p w14:paraId="7D7C57B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18</w:t>
            </w:r>
          </w:p>
        </w:tc>
        <w:tc>
          <w:tcPr>
            <w:tcW w:w="2925" w:type="pct"/>
            <w:tcBorders>
              <w:top w:val="single" w:sz="5" w:space="0" w:color="000000"/>
              <w:left w:val="single" w:sz="5" w:space="0" w:color="000000"/>
              <w:bottom w:val="single" w:sz="5" w:space="0" w:color="000000"/>
              <w:right w:val="single" w:sz="5" w:space="0" w:color="000000"/>
            </w:tcBorders>
          </w:tcPr>
          <w:p w14:paraId="263E144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assessments of risk of bias for each included study.</w:t>
            </w:r>
          </w:p>
        </w:tc>
        <w:tc>
          <w:tcPr>
            <w:tcW w:w="1010" w:type="pct"/>
            <w:tcBorders>
              <w:top w:val="single" w:sz="5" w:space="0" w:color="000000"/>
              <w:left w:val="single" w:sz="5" w:space="0" w:color="000000"/>
              <w:bottom w:val="single" w:sz="5" w:space="0" w:color="000000"/>
              <w:right w:val="single" w:sz="5" w:space="0" w:color="000000"/>
            </w:tcBorders>
          </w:tcPr>
          <w:p w14:paraId="369C809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Risk of Bias and Certainty</w:t>
            </w:r>
          </w:p>
        </w:tc>
      </w:tr>
      <w:tr w:rsidR="00BB3A3D" w:rsidRPr="00B420C8" w14:paraId="3D440AFF"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2CFC25F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Results of individual studies </w:t>
            </w:r>
          </w:p>
        </w:tc>
        <w:tc>
          <w:tcPr>
            <w:tcW w:w="318" w:type="pct"/>
            <w:tcBorders>
              <w:top w:val="single" w:sz="5" w:space="0" w:color="000000"/>
              <w:left w:val="single" w:sz="5" w:space="0" w:color="000000"/>
              <w:bottom w:val="single" w:sz="5" w:space="0" w:color="000000"/>
              <w:right w:val="single" w:sz="5" w:space="0" w:color="000000"/>
            </w:tcBorders>
          </w:tcPr>
          <w:p w14:paraId="6049A3C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19</w:t>
            </w:r>
          </w:p>
        </w:tc>
        <w:tc>
          <w:tcPr>
            <w:tcW w:w="2925" w:type="pct"/>
            <w:tcBorders>
              <w:top w:val="single" w:sz="5" w:space="0" w:color="000000"/>
              <w:left w:val="single" w:sz="5" w:space="0" w:color="000000"/>
              <w:bottom w:val="single" w:sz="5" w:space="0" w:color="000000"/>
              <w:right w:val="single" w:sz="5" w:space="0" w:color="000000"/>
            </w:tcBorders>
          </w:tcPr>
          <w:p w14:paraId="041C55A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For all outcomes, present, for each study: (a) summary statistics for each group (where appropriate) and (b) an effect </w:t>
            </w:r>
            <w:proofErr w:type="gramStart"/>
            <w:r w:rsidRPr="00CF44EB">
              <w:rPr>
                <w:rFonts w:ascii="Aptos" w:hAnsi="Aptos" w:cs="Times New Roman"/>
                <w:sz w:val="18"/>
                <w:szCs w:val="18"/>
              </w:rPr>
              <w:t>estimate</w:t>
            </w:r>
            <w:proofErr w:type="gramEnd"/>
            <w:r w:rsidRPr="00CF44EB">
              <w:rPr>
                <w:rFonts w:ascii="Aptos" w:hAnsi="Aptos" w:cs="Times New Roman"/>
                <w:sz w:val="18"/>
                <w:szCs w:val="18"/>
              </w:rPr>
              <w:t xml:space="preserve"> and its precision (e.g. confidence/credible interval), ideally using structured tables or plots.</w:t>
            </w:r>
          </w:p>
        </w:tc>
        <w:tc>
          <w:tcPr>
            <w:tcW w:w="1010" w:type="pct"/>
            <w:tcBorders>
              <w:top w:val="single" w:sz="5" w:space="0" w:color="000000"/>
              <w:left w:val="single" w:sz="5" w:space="0" w:color="000000"/>
              <w:bottom w:val="single" w:sz="5" w:space="0" w:color="000000"/>
              <w:right w:val="single" w:sz="5" w:space="0" w:color="000000"/>
            </w:tcBorders>
          </w:tcPr>
          <w:p w14:paraId="4E0F553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Forest Plot; Supplementary Table</w:t>
            </w:r>
          </w:p>
        </w:tc>
      </w:tr>
      <w:tr w:rsidR="00BB3A3D" w:rsidRPr="00B420C8" w14:paraId="7811686A" w14:textId="77777777" w:rsidTr="009D60DC">
        <w:trPr>
          <w:trHeight w:val="48"/>
        </w:trPr>
        <w:tc>
          <w:tcPr>
            <w:tcW w:w="747" w:type="pct"/>
            <w:vMerge w:val="restart"/>
            <w:tcBorders>
              <w:top w:val="single" w:sz="5" w:space="0" w:color="000000"/>
              <w:left w:val="single" w:sz="5" w:space="0" w:color="000000"/>
              <w:right w:val="single" w:sz="5" w:space="0" w:color="000000"/>
            </w:tcBorders>
          </w:tcPr>
          <w:p w14:paraId="7666BC7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of syntheses</w:t>
            </w:r>
          </w:p>
        </w:tc>
        <w:tc>
          <w:tcPr>
            <w:tcW w:w="318" w:type="pct"/>
            <w:tcBorders>
              <w:top w:val="single" w:sz="5" w:space="0" w:color="000000"/>
              <w:left w:val="single" w:sz="5" w:space="0" w:color="000000"/>
              <w:bottom w:val="single" w:sz="5" w:space="0" w:color="000000"/>
              <w:right w:val="single" w:sz="5" w:space="0" w:color="000000"/>
            </w:tcBorders>
          </w:tcPr>
          <w:p w14:paraId="5E5812C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20a</w:t>
            </w:r>
          </w:p>
        </w:tc>
        <w:tc>
          <w:tcPr>
            <w:tcW w:w="2925" w:type="pct"/>
            <w:tcBorders>
              <w:top w:val="single" w:sz="5" w:space="0" w:color="000000"/>
              <w:left w:val="single" w:sz="5" w:space="0" w:color="000000"/>
              <w:bottom w:val="single" w:sz="5" w:space="0" w:color="000000"/>
              <w:right w:val="single" w:sz="5" w:space="0" w:color="000000"/>
            </w:tcBorders>
          </w:tcPr>
          <w:p w14:paraId="73D5C43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For each synthesis, briefly </w:t>
            </w:r>
            <w:proofErr w:type="spellStart"/>
            <w:r w:rsidRPr="00CF44EB">
              <w:rPr>
                <w:rFonts w:ascii="Aptos" w:hAnsi="Aptos" w:cs="Times New Roman"/>
                <w:sz w:val="18"/>
                <w:szCs w:val="18"/>
              </w:rPr>
              <w:t>summarise</w:t>
            </w:r>
            <w:proofErr w:type="spellEnd"/>
            <w:r w:rsidRPr="00CF44EB">
              <w:rPr>
                <w:rFonts w:ascii="Aptos" w:hAnsi="Aptos" w:cs="Times New Roman"/>
                <w:sz w:val="18"/>
                <w:szCs w:val="18"/>
              </w:rPr>
              <w:t xml:space="preserve"> the characteristics and risk of bias among contributing studies.</w:t>
            </w:r>
          </w:p>
        </w:tc>
        <w:tc>
          <w:tcPr>
            <w:tcW w:w="1010" w:type="pct"/>
            <w:tcBorders>
              <w:top w:val="single" w:sz="5" w:space="0" w:color="000000"/>
              <w:left w:val="single" w:sz="5" w:space="0" w:color="000000"/>
              <w:bottom w:val="single" w:sz="5" w:space="0" w:color="000000"/>
              <w:right w:val="single" w:sz="5" w:space="0" w:color="000000"/>
            </w:tcBorders>
          </w:tcPr>
          <w:p w14:paraId="6AD492D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Study Characteristics and Adjustment Strategies; Results &gt; Risk of Bias and Certainty</w:t>
            </w:r>
          </w:p>
        </w:tc>
      </w:tr>
      <w:tr w:rsidR="00BB3A3D" w:rsidRPr="00B420C8" w14:paraId="2FFA3F87" w14:textId="77777777" w:rsidTr="009D60DC">
        <w:trPr>
          <w:trHeight w:val="203"/>
        </w:trPr>
        <w:tc>
          <w:tcPr>
            <w:tcW w:w="747" w:type="pct"/>
            <w:vMerge/>
            <w:tcBorders>
              <w:left w:val="single" w:sz="5" w:space="0" w:color="000000"/>
              <w:right w:val="single" w:sz="5" w:space="0" w:color="000000"/>
            </w:tcBorders>
          </w:tcPr>
          <w:p w14:paraId="4EDF9A86"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7337F5C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20b</w:t>
            </w:r>
          </w:p>
        </w:tc>
        <w:tc>
          <w:tcPr>
            <w:tcW w:w="2925" w:type="pct"/>
            <w:tcBorders>
              <w:top w:val="single" w:sz="5" w:space="0" w:color="000000"/>
              <w:left w:val="single" w:sz="5" w:space="0" w:color="000000"/>
              <w:bottom w:val="single" w:sz="5" w:space="0" w:color="000000"/>
              <w:right w:val="single" w:sz="5" w:space="0" w:color="000000"/>
            </w:tcBorders>
          </w:tcPr>
          <w:p w14:paraId="44DD7B4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010" w:type="pct"/>
            <w:tcBorders>
              <w:top w:val="single" w:sz="5" w:space="0" w:color="000000"/>
              <w:left w:val="single" w:sz="5" w:space="0" w:color="000000"/>
              <w:bottom w:val="single" w:sz="5" w:space="0" w:color="000000"/>
              <w:right w:val="single" w:sz="5" w:space="0" w:color="000000"/>
            </w:tcBorders>
          </w:tcPr>
          <w:p w14:paraId="7FCE7F65"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Primary Mortality Synthesis; Results &gt; Cause-Specific Mortality</w:t>
            </w:r>
          </w:p>
        </w:tc>
      </w:tr>
      <w:tr w:rsidR="00BB3A3D" w:rsidRPr="00B420C8" w14:paraId="3D564DB3" w14:textId="77777777" w:rsidTr="009D60DC">
        <w:trPr>
          <w:trHeight w:val="48"/>
        </w:trPr>
        <w:tc>
          <w:tcPr>
            <w:tcW w:w="747" w:type="pct"/>
            <w:vMerge/>
            <w:tcBorders>
              <w:left w:val="single" w:sz="5" w:space="0" w:color="000000"/>
              <w:right w:val="single" w:sz="5" w:space="0" w:color="000000"/>
            </w:tcBorders>
          </w:tcPr>
          <w:p w14:paraId="2E63DF02"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486F15B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20c</w:t>
            </w:r>
          </w:p>
        </w:tc>
        <w:tc>
          <w:tcPr>
            <w:tcW w:w="2925" w:type="pct"/>
            <w:tcBorders>
              <w:top w:val="single" w:sz="5" w:space="0" w:color="000000"/>
              <w:left w:val="single" w:sz="5" w:space="0" w:color="000000"/>
              <w:bottom w:val="single" w:sz="5" w:space="0" w:color="000000"/>
              <w:right w:val="single" w:sz="5" w:space="0" w:color="000000"/>
            </w:tcBorders>
          </w:tcPr>
          <w:p w14:paraId="68A0B39E"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results of all investigations of possible causes of heterogeneity among study results.</w:t>
            </w:r>
          </w:p>
        </w:tc>
        <w:tc>
          <w:tcPr>
            <w:tcW w:w="1010" w:type="pct"/>
            <w:tcBorders>
              <w:top w:val="single" w:sz="5" w:space="0" w:color="000000"/>
              <w:left w:val="single" w:sz="5" w:space="0" w:color="000000"/>
              <w:bottom w:val="single" w:sz="5" w:space="0" w:color="000000"/>
              <w:right w:val="single" w:sz="5" w:space="0" w:color="000000"/>
            </w:tcBorders>
          </w:tcPr>
          <w:p w14:paraId="78179FB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Supplementary Results S11-S12</w:t>
            </w:r>
          </w:p>
        </w:tc>
      </w:tr>
      <w:tr w:rsidR="00BB3A3D" w:rsidRPr="00B420C8" w14:paraId="17E63790" w14:textId="77777777" w:rsidTr="009D60DC">
        <w:trPr>
          <w:trHeight w:val="48"/>
        </w:trPr>
        <w:tc>
          <w:tcPr>
            <w:tcW w:w="747" w:type="pct"/>
            <w:vMerge/>
            <w:tcBorders>
              <w:left w:val="single" w:sz="5" w:space="0" w:color="000000"/>
              <w:bottom w:val="single" w:sz="5" w:space="0" w:color="000000"/>
              <w:right w:val="single" w:sz="5" w:space="0" w:color="000000"/>
            </w:tcBorders>
          </w:tcPr>
          <w:p w14:paraId="32EFA45E"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2E8189E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20d</w:t>
            </w:r>
          </w:p>
        </w:tc>
        <w:tc>
          <w:tcPr>
            <w:tcW w:w="2925" w:type="pct"/>
            <w:tcBorders>
              <w:top w:val="single" w:sz="5" w:space="0" w:color="000000"/>
              <w:left w:val="single" w:sz="5" w:space="0" w:color="000000"/>
              <w:bottom w:val="single" w:sz="5" w:space="0" w:color="000000"/>
              <w:right w:val="single" w:sz="5" w:space="0" w:color="000000"/>
            </w:tcBorders>
          </w:tcPr>
          <w:p w14:paraId="3A94685E"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results of all sensitivity analyses conducted to assess the robustness of the synthesized results.</w:t>
            </w:r>
          </w:p>
        </w:tc>
        <w:tc>
          <w:tcPr>
            <w:tcW w:w="1010" w:type="pct"/>
            <w:tcBorders>
              <w:top w:val="single" w:sz="5" w:space="0" w:color="000000"/>
              <w:left w:val="single" w:sz="5" w:space="0" w:color="000000"/>
              <w:bottom w:val="single" w:sz="5" w:space="0" w:color="000000"/>
              <w:right w:val="single" w:sz="5" w:space="0" w:color="000000"/>
            </w:tcBorders>
          </w:tcPr>
          <w:p w14:paraId="6A74A4E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Results &gt; Influence of Individual Studies; Results &gt; Within-Study Changes Across Adjustment Strategies</w:t>
            </w:r>
          </w:p>
        </w:tc>
      </w:tr>
      <w:tr w:rsidR="00BB3A3D" w:rsidRPr="00B420C8" w14:paraId="6DC29274"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75EE5165"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Reporting biases</w:t>
            </w:r>
          </w:p>
        </w:tc>
        <w:tc>
          <w:tcPr>
            <w:tcW w:w="318" w:type="pct"/>
            <w:tcBorders>
              <w:top w:val="single" w:sz="5" w:space="0" w:color="000000"/>
              <w:left w:val="single" w:sz="5" w:space="0" w:color="000000"/>
              <w:bottom w:val="single" w:sz="5" w:space="0" w:color="000000"/>
              <w:right w:val="single" w:sz="5" w:space="0" w:color="000000"/>
            </w:tcBorders>
          </w:tcPr>
          <w:p w14:paraId="52B597D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21</w:t>
            </w:r>
          </w:p>
        </w:tc>
        <w:tc>
          <w:tcPr>
            <w:tcW w:w="2925" w:type="pct"/>
            <w:tcBorders>
              <w:top w:val="single" w:sz="5" w:space="0" w:color="000000"/>
              <w:left w:val="single" w:sz="5" w:space="0" w:color="000000"/>
              <w:bottom w:val="single" w:sz="5" w:space="0" w:color="000000"/>
              <w:right w:val="single" w:sz="5" w:space="0" w:color="000000"/>
            </w:tcBorders>
          </w:tcPr>
          <w:p w14:paraId="1B8EC83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assessments of risk of bias due to missing results (arising from reporting biases) for each synthesis assessed.</w:t>
            </w:r>
          </w:p>
        </w:tc>
        <w:tc>
          <w:tcPr>
            <w:tcW w:w="1010" w:type="pct"/>
            <w:tcBorders>
              <w:top w:val="single" w:sz="5" w:space="0" w:color="000000"/>
              <w:left w:val="single" w:sz="5" w:space="0" w:color="000000"/>
              <w:bottom w:val="single" w:sz="5" w:space="0" w:color="000000"/>
              <w:right w:val="single" w:sz="5" w:space="0" w:color="000000"/>
            </w:tcBorders>
          </w:tcPr>
          <w:p w14:paraId="4FA450F4" w14:textId="77777777" w:rsidR="00FF1D7B" w:rsidRPr="00CF44EB" w:rsidRDefault="00000000">
            <w:pPr>
              <w:rPr>
                <w:rFonts w:ascii="Aptos" w:hAnsi="Aptos"/>
                <w:sz w:val="18"/>
                <w:szCs w:val="18"/>
              </w:rPr>
            </w:pPr>
            <w:r w:rsidRPr="00CF44EB">
              <w:rPr>
                <w:rFonts w:ascii="Aptos" w:hAnsi="Aptos"/>
                <w:sz w:val="18"/>
                <w:szCs w:val="18"/>
              </w:rPr>
              <w:t>Results &gt; Risk of Bias and Certainty; Supplementary Result S16</w:t>
            </w:r>
          </w:p>
        </w:tc>
      </w:tr>
      <w:tr w:rsidR="00BB3A3D" w:rsidRPr="00B420C8" w14:paraId="4D5FEF58"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5C7968F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Certainty of evidence </w:t>
            </w:r>
          </w:p>
        </w:tc>
        <w:tc>
          <w:tcPr>
            <w:tcW w:w="318" w:type="pct"/>
            <w:tcBorders>
              <w:top w:val="single" w:sz="5" w:space="0" w:color="000000"/>
              <w:left w:val="single" w:sz="5" w:space="0" w:color="000000"/>
              <w:bottom w:val="single" w:sz="5" w:space="0" w:color="000000"/>
              <w:right w:val="single" w:sz="5" w:space="0" w:color="000000"/>
            </w:tcBorders>
          </w:tcPr>
          <w:p w14:paraId="38BCE39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22</w:t>
            </w:r>
          </w:p>
        </w:tc>
        <w:tc>
          <w:tcPr>
            <w:tcW w:w="2925" w:type="pct"/>
            <w:tcBorders>
              <w:top w:val="single" w:sz="5" w:space="0" w:color="000000"/>
              <w:left w:val="single" w:sz="5" w:space="0" w:color="000000"/>
              <w:bottom w:val="single" w:sz="5" w:space="0" w:color="000000"/>
              <w:right w:val="single" w:sz="5" w:space="0" w:color="000000"/>
            </w:tcBorders>
          </w:tcPr>
          <w:p w14:paraId="4174B8A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Present assessments of certainty (or confidence) in the body of evidence for each outcome assessed.</w:t>
            </w:r>
          </w:p>
        </w:tc>
        <w:tc>
          <w:tcPr>
            <w:tcW w:w="1010" w:type="pct"/>
            <w:tcBorders>
              <w:top w:val="single" w:sz="5" w:space="0" w:color="000000"/>
              <w:left w:val="single" w:sz="5" w:space="0" w:color="000000"/>
              <w:bottom w:val="single" w:sz="5" w:space="0" w:color="000000"/>
              <w:right w:val="single" w:sz="5" w:space="0" w:color="000000"/>
            </w:tcBorders>
          </w:tcPr>
          <w:p w14:paraId="35DBD3FA" w14:textId="77777777" w:rsidR="00FF1D7B" w:rsidRPr="00CF44EB" w:rsidRDefault="00000000">
            <w:pPr>
              <w:rPr>
                <w:rFonts w:ascii="Aptos" w:hAnsi="Aptos"/>
                <w:sz w:val="18"/>
                <w:szCs w:val="18"/>
              </w:rPr>
            </w:pPr>
            <w:r w:rsidRPr="00CF44EB">
              <w:rPr>
                <w:rFonts w:ascii="Aptos" w:hAnsi="Aptos"/>
                <w:sz w:val="18"/>
                <w:szCs w:val="18"/>
              </w:rPr>
              <w:t>Results &gt; Risk of Bias and Certainty; Supplementary Result S17</w:t>
            </w:r>
          </w:p>
        </w:tc>
      </w:tr>
      <w:tr w:rsidR="00BB3A3D" w:rsidRPr="00B420C8" w14:paraId="70BD538B"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6DCE6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DISCUSSION </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3394DBB4" w14:textId="77777777" w:rsidR="00330C1A" w:rsidRPr="00CF44EB" w:rsidRDefault="00330C1A" w:rsidP="00B128EA">
            <w:pPr>
              <w:pStyle w:val="af2"/>
              <w:rPr>
                <w:rFonts w:ascii="Aptos" w:hAnsi="Aptos" w:cs="Times New Roman"/>
                <w:sz w:val="18"/>
                <w:szCs w:val="18"/>
              </w:rPr>
            </w:pPr>
          </w:p>
        </w:tc>
      </w:tr>
      <w:tr w:rsidR="00BB3A3D" w:rsidRPr="00B420C8" w14:paraId="283AA05F" w14:textId="77777777" w:rsidTr="009D60DC">
        <w:trPr>
          <w:trHeight w:val="48"/>
        </w:trPr>
        <w:tc>
          <w:tcPr>
            <w:tcW w:w="747" w:type="pct"/>
            <w:vMerge w:val="restart"/>
            <w:tcBorders>
              <w:top w:val="single" w:sz="5" w:space="0" w:color="000000"/>
              <w:left w:val="single" w:sz="5" w:space="0" w:color="000000"/>
              <w:right w:val="single" w:sz="5" w:space="0" w:color="000000"/>
            </w:tcBorders>
          </w:tcPr>
          <w:p w14:paraId="2A3ADC7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Discussion </w:t>
            </w:r>
          </w:p>
        </w:tc>
        <w:tc>
          <w:tcPr>
            <w:tcW w:w="318" w:type="pct"/>
            <w:tcBorders>
              <w:top w:val="single" w:sz="5" w:space="0" w:color="000000"/>
              <w:left w:val="single" w:sz="5" w:space="0" w:color="000000"/>
              <w:bottom w:val="single" w:sz="5" w:space="0" w:color="000000"/>
              <w:right w:val="single" w:sz="5" w:space="0" w:color="000000"/>
            </w:tcBorders>
          </w:tcPr>
          <w:p w14:paraId="2F2829C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23a</w:t>
            </w:r>
          </w:p>
        </w:tc>
        <w:tc>
          <w:tcPr>
            <w:tcW w:w="2925" w:type="pct"/>
            <w:tcBorders>
              <w:top w:val="single" w:sz="5" w:space="0" w:color="000000"/>
              <w:left w:val="single" w:sz="5" w:space="0" w:color="000000"/>
              <w:bottom w:val="single" w:sz="5" w:space="0" w:color="000000"/>
              <w:right w:val="single" w:sz="5" w:space="0" w:color="000000"/>
            </w:tcBorders>
          </w:tcPr>
          <w:p w14:paraId="32D796C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Provide a general interpretation of the results in the cont</w:t>
            </w:r>
            <w:r w:rsidR="00036AC2" w:rsidRPr="00CF44EB">
              <w:rPr>
                <w:rFonts w:ascii="Aptos" w:hAnsi="Aptos" w:cs="Times New Roman"/>
                <w:sz w:val="18"/>
                <w:szCs w:val="18"/>
              </w:rPr>
              <w:t>ext</w:t>
            </w:r>
            <w:r w:rsidRPr="00CF44EB">
              <w:rPr>
                <w:rFonts w:ascii="Aptos" w:hAnsi="Aptos" w:cs="Times New Roman"/>
                <w:sz w:val="18"/>
                <w:szCs w:val="18"/>
              </w:rPr>
              <w:t xml:space="preserve"> of other evidence.</w:t>
            </w:r>
          </w:p>
        </w:tc>
        <w:tc>
          <w:tcPr>
            <w:tcW w:w="1010" w:type="pct"/>
            <w:tcBorders>
              <w:top w:val="single" w:sz="5" w:space="0" w:color="000000"/>
              <w:left w:val="single" w:sz="5" w:space="0" w:color="000000"/>
              <w:bottom w:val="single" w:sz="5" w:space="0" w:color="000000"/>
              <w:right w:val="single" w:sz="5" w:space="0" w:color="000000"/>
            </w:tcBorders>
          </w:tcPr>
          <w:p w14:paraId="13BF2D5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Discussion &gt; Paragraphs 1-3</w:t>
            </w:r>
          </w:p>
        </w:tc>
      </w:tr>
      <w:tr w:rsidR="00BB3A3D" w:rsidRPr="00B420C8" w14:paraId="688D1035" w14:textId="77777777" w:rsidTr="009D60DC">
        <w:trPr>
          <w:trHeight w:val="48"/>
        </w:trPr>
        <w:tc>
          <w:tcPr>
            <w:tcW w:w="747" w:type="pct"/>
            <w:vMerge/>
            <w:tcBorders>
              <w:left w:val="single" w:sz="5" w:space="0" w:color="000000"/>
              <w:right w:val="single" w:sz="5" w:space="0" w:color="000000"/>
            </w:tcBorders>
          </w:tcPr>
          <w:p w14:paraId="6C272078"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3415922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23b</w:t>
            </w:r>
          </w:p>
        </w:tc>
        <w:tc>
          <w:tcPr>
            <w:tcW w:w="2925" w:type="pct"/>
            <w:tcBorders>
              <w:top w:val="single" w:sz="5" w:space="0" w:color="000000"/>
              <w:left w:val="single" w:sz="5" w:space="0" w:color="000000"/>
              <w:bottom w:val="single" w:sz="5" w:space="0" w:color="000000"/>
              <w:right w:val="single" w:sz="5" w:space="0" w:color="000000"/>
            </w:tcBorders>
          </w:tcPr>
          <w:p w14:paraId="3A93E39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Discuss any limitations of the evidence included in the review.</w:t>
            </w:r>
          </w:p>
        </w:tc>
        <w:tc>
          <w:tcPr>
            <w:tcW w:w="1010" w:type="pct"/>
            <w:tcBorders>
              <w:top w:val="single" w:sz="5" w:space="0" w:color="000000"/>
              <w:left w:val="single" w:sz="5" w:space="0" w:color="000000"/>
              <w:bottom w:val="single" w:sz="5" w:space="0" w:color="000000"/>
              <w:right w:val="single" w:sz="5" w:space="0" w:color="000000"/>
            </w:tcBorders>
          </w:tcPr>
          <w:p w14:paraId="568FDFE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Discussion &gt; Paragraph </w:t>
            </w:r>
            <w:r w:rsidRPr="00CF44EB">
              <w:rPr>
                <w:rFonts w:ascii="Aptos" w:hAnsi="Aptos" w:cs="Times New Roman"/>
                <w:sz w:val="18"/>
                <w:szCs w:val="18"/>
              </w:rPr>
              <w:lastRenderedPageBreak/>
              <w:t>4 (Bias/Heterogeneity)</w:t>
            </w:r>
          </w:p>
        </w:tc>
      </w:tr>
      <w:tr w:rsidR="00BB3A3D" w:rsidRPr="00B420C8" w14:paraId="18516DA6" w14:textId="77777777" w:rsidTr="009D60DC">
        <w:trPr>
          <w:trHeight w:val="48"/>
        </w:trPr>
        <w:tc>
          <w:tcPr>
            <w:tcW w:w="747" w:type="pct"/>
            <w:vMerge/>
            <w:tcBorders>
              <w:left w:val="single" w:sz="5" w:space="0" w:color="000000"/>
              <w:right w:val="single" w:sz="5" w:space="0" w:color="000000"/>
            </w:tcBorders>
          </w:tcPr>
          <w:p w14:paraId="06B3AE0E"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4" w:space="0" w:color="auto"/>
              <w:right w:val="single" w:sz="5" w:space="0" w:color="000000"/>
            </w:tcBorders>
          </w:tcPr>
          <w:p w14:paraId="3628F8AC"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23c</w:t>
            </w:r>
          </w:p>
        </w:tc>
        <w:tc>
          <w:tcPr>
            <w:tcW w:w="2925" w:type="pct"/>
            <w:tcBorders>
              <w:top w:val="single" w:sz="5" w:space="0" w:color="000000"/>
              <w:left w:val="single" w:sz="5" w:space="0" w:color="000000"/>
              <w:bottom w:val="single" w:sz="5" w:space="0" w:color="000000"/>
              <w:right w:val="single" w:sz="5" w:space="0" w:color="000000"/>
            </w:tcBorders>
          </w:tcPr>
          <w:p w14:paraId="5CD8B10E"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Discuss any limitations of the review processes used.</w:t>
            </w:r>
          </w:p>
        </w:tc>
        <w:tc>
          <w:tcPr>
            <w:tcW w:w="1010" w:type="pct"/>
            <w:tcBorders>
              <w:top w:val="single" w:sz="5" w:space="0" w:color="000000"/>
              <w:left w:val="single" w:sz="5" w:space="0" w:color="000000"/>
              <w:bottom w:val="single" w:sz="5" w:space="0" w:color="000000"/>
              <w:right w:val="single" w:sz="5" w:space="0" w:color="000000"/>
            </w:tcBorders>
          </w:tcPr>
          <w:p w14:paraId="000D465F"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Discussion &gt; Limitations</w:t>
            </w:r>
          </w:p>
        </w:tc>
      </w:tr>
      <w:tr w:rsidR="00BB3A3D" w:rsidRPr="00B420C8" w14:paraId="553C7C9C" w14:textId="77777777" w:rsidTr="009D60DC">
        <w:trPr>
          <w:trHeight w:val="48"/>
        </w:trPr>
        <w:tc>
          <w:tcPr>
            <w:tcW w:w="747" w:type="pct"/>
            <w:vMerge/>
            <w:tcBorders>
              <w:left w:val="single" w:sz="5" w:space="0" w:color="000000"/>
              <w:bottom w:val="single" w:sz="4" w:space="0" w:color="auto"/>
              <w:right w:val="single" w:sz="5" w:space="0" w:color="000000"/>
            </w:tcBorders>
          </w:tcPr>
          <w:p w14:paraId="06E8498F" w14:textId="77777777" w:rsidR="00330C1A" w:rsidRPr="00CF44EB" w:rsidRDefault="00330C1A" w:rsidP="00B128EA">
            <w:pPr>
              <w:pStyle w:val="af2"/>
              <w:rPr>
                <w:rFonts w:ascii="Aptos" w:hAnsi="Aptos" w:cs="Times New Roman"/>
                <w:sz w:val="18"/>
                <w:szCs w:val="18"/>
              </w:rPr>
            </w:pPr>
          </w:p>
        </w:tc>
        <w:tc>
          <w:tcPr>
            <w:tcW w:w="318" w:type="pct"/>
            <w:tcBorders>
              <w:top w:val="single" w:sz="4" w:space="0" w:color="auto"/>
              <w:left w:val="single" w:sz="5" w:space="0" w:color="000000"/>
              <w:bottom w:val="single" w:sz="4" w:space="0" w:color="auto"/>
              <w:right w:val="single" w:sz="4" w:space="0" w:color="auto"/>
            </w:tcBorders>
          </w:tcPr>
          <w:p w14:paraId="185AA25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23d</w:t>
            </w:r>
          </w:p>
        </w:tc>
        <w:tc>
          <w:tcPr>
            <w:tcW w:w="2925" w:type="pct"/>
            <w:tcBorders>
              <w:top w:val="single" w:sz="5" w:space="0" w:color="000000"/>
              <w:left w:val="single" w:sz="4" w:space="0" w:color="auto"/>
              <w:bottom w:val="double" w:sz="5" w:space="0" w:color="000000"/>
              <w:right w:val="single" w:sz="5" w:space="0" w:color="000000"/>
            </w:tcBorders>
          </w:tcPr>
          <w:p w14:paraId="68121459"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Discuss implications of the results for practice, policy, and future research.</w:t>
            </w:r>
          </w:p>
        </w:tc>
        <w:tc>
          <w:tcPr>
            <w:tcW w:w="1010" w:type="pct"/>
            <w:tcBorders>
              <w:top w:val="single" w:sz="5" w:space="0" w:color="000000"/>
              <w:left w:val="single" w:sz="5" w:space="0" w:color="000000"/>
              <w:bottom w:val="double" w:sz="5" w:space="0" w:color="000000"/>
              <w:right w:val="single" w:sz="5" w:space="0" w:color="000000"/>
            </w:tcBorders>
          </w:tcPr>
          <w:p w14:paraId="18A38BF2"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Discussion &gt; Paragraph 2 (</w:t>
            </w:r>
            <w:proofErr w:type="spellStart"/>
            <w:r w:rsidRPr="00CF44EB">
              <w:rPr>
                <w:rFonts w:ascii="Aptos" w:hAnsi="Aptos" w:cs="Times New Roman"/>
                <w:sz w:val="18"/>
                <w:szCs w:val="18"/>
              </w:rPr>
              <w:t>Estimands</w:t>
            </w:r>
            <w:proofErr w:type="spellEnd"/>
            <w:r w:rsidRPr="00CF44EB">
              <w:rPr>
                <w:rFonts w:ascii="Aptos" w:hAnsi="Aptos" w:cs="Times New Roman"/>
                <w:sz w:val="18"/>
                <w:szCs w:val="18"/>
              </w:rPr>
              <w:t>) &amp; Paragraph 4 (Future research) &amp; Conclusion</w:t>
            </w:r>
          </w:p>
        </w:tc>
      </w:tr>
      <w:tr w:rsidR="00BB3A3D" w:rsidRPr="00B420C8" w14:paraId="1303AC63" w14:textId="77777777" w:rsidTr="009D60DC">
        <w:trPr>
          <w:trHeight w:val="24"/>
        </w:trPr>
        <w:tc>
          <w:tcPr>
            <w:tcW w:w="399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854145"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OTHER INFORMATION</w:t>
            </w:r>
          </w:p>
        </w:tc>
        <w:tc>
          <w:tcPr>
            <w:tcW w:w="1010" w:type="pct"/>
            <w:tcBorders>
              <w:top w:val="double" w:sz="5" w:space="0" w:color="000000"/>
              <w:left w:val="single" w:sz="5" w:space="0" w:color="000000"/>
              <w:bottom w:val="single" w:sz="5" w:space="0" w:color="000000"/>
              <w:right w:val="single" w:sz="5" w:space="0" w:color="000000"/>
            </w:tcBorders>
            <w:shd w:val="clear" w:color="auto" w:fill="FFFFCC"/>
          </w:tcPr>
          <w:p w14:paraId="6F25AA50" w14:textId="77777777" w:rsidR="00330C1A" w:rsidRPr="00CF44EB" w:rsidRDefault="00330C1A" w:rsidP="00B128EA">
            <w:pPr>
              <w:pStyle w:val="af2"/>
              <w:rPr>
                <w:rFonts w:ascii="Aptos" w:hAnsi="Aptos" w:cs="Times New Roman"/>
                <w:sz w:val="18"/>
                <w:szCs w:val="18"/>
              </w:rPr>
            </w:pPr>
          </w:p>
        </w:tc>
      </w:tr>
      <w:tr w:rsidR="00BB3A3D" w:rsidRPr="00B420C8" w14:paraId="3E7908E8" w14:textId="77777777" w:rsidTr="009D60DC">
        <w:trPr>
          <w:trHeight w:val="48"/>
        </w:trPr>
        <w:tc>
          <w:tcPr>
            <w:tcW w:w="747" w:type="pct"/>
            <w:vMerge w:val="restart"/>
            <w:tcBorders>
              <w:top w:val="single" w:sz="5" w:space="0" w:color="000000"/>
              <w:left w:val="single" w:sz="5" w:space="0" w:color="000000"/>
              <w:right w:val="single" w:sz="5" w:space="0" w:color="000000"/>
            </w:tcBorders>
          </w:tcPr>
          <w:p w14:paraId="0EF9060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Registration and protocol</w:t>
            </w:r>
          </w:p>
        </w:tc>
        <w:tc>
          <w:tcPr>
            <w:tcW w:w="318" w:type="pct"/>
            <w:tcBorders>
              <w:top w:val="single" w:sz="5" w:space="0" w:color="000000"/>
              <w:left w:val="single" w:sz="5" w:space="0" w:color="000000"/>
              <w:bottom w:val="single" w:sz="5" w:space="0" w:color="000000"/>
              <w:right w:val="single" w:sz="5" w:space="0" w:color="000000"/>
            </w:tcBorders>
          </w:tcPr>
          <w:p w14:paraId="026990B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24a</w:t>
            </w:r>
          </w:p>
        </w:tc>
        <w:tc>
          <w:tcPr>
            <w:tcW w:w="2925" w:type="pct"/>
            <w:tcBorders>
              <w:top w:val="single" w:sz="5" w:space="0" w:color="000000"/>
              <w:left w:val="single" w:sz="5" w:space="0" w:color="000000"/>
              <w:bottom w:val="single" w:sz="5" w:space="0" w:color="000000"/>
              <w:right w:val="single" w:sz="5" w:space="0" w:color="000000"/>
            </w:tcBorders>
          </w:tcPr>
          <w:p w14:paraId="26E08EB9"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Provide registration information for the review, including register name and registration number, or state that the review was not registered.</w:t>
            </w:r>
          </w:p>
        </w:tc>
        <w:tc>
          <w:tcPr>
            <w:tcW w:w="1010" w:type="pct"/>
            <w:tcBorders>
              <w:top w:val="single" w:sz="5" w:space="0" w:color="000000"/>
              <w:left w:val="single" w:sz="5" w:space="0" w:color="000000"/>
              <w:bottom w:val="single" w:sz="5" w:space="0" w:color="000000"/>
              <w:right w:val="single" w:sz="5" w:space="0" w:color="000000"/>
            </w:tcBorders>
          </w:tcPr>
          <w:p w14:paraId="0FD0206F"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Protocol and Registration</w:t>
            </w:r>
          </w:p>
        </w:tc>
      </w:tr>
      <w:tr w:rsidR="00BB3A3D" w:rsidRPr="00B420C8" w14:paraId="440F94CE" w14:textId="77777777" w:rsidTr="009D60DC">
        <w:trPr>
          <w:trHeight w:val="57"/>
        </w:trPr>
        <w:tc>
          <w:tcPr>
            <w:tcW w:w="747" w:type="pct"/>
            <w:vMerge/>
            <w:tcBorders>
              <w:left w:val="single" w:sz="5" w:space="0" w:color="000000"/>
              <w:right w:val="single" w:sz="5" w:space="0" w:color="000000"/>
            </w:tcBorders>
          </w:tcPr>
          <w:p w14:paraId="44578A2B"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6D5C5DF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24b</w:t>
            </w:r>
          </w:p>
        </w:tc>
        <w:tc>
          <w:tcPr>
            <w:tcW w:w="2925" w:type="pct"/>
            <w:tcBorders>
              <w:top w:val="single" w:sz="5" w:space="0" w:color="000000"/>
              <w:left w:val="single" w:sz="5" w:space="0" w:color="000000"/>
              <w:bottom w:val="single" w:sz="5" w:space="0" w:color="000000"/>
              <w:right w:val="single" w:sz="5" w:space="0" w:color="000000"/>
            </w:tcBorders>
          </w:tcPr>
          <w:p w14:paraId="0B8D1450"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Indicate where the review protocol can be accessed, or state that a protocol was not prepared.</w:t>
            </w:r>
          </w:p>
        </w:tc>
        <w:tc>
          <w:tcPr>
            <w:tcW w:w="1010" w:type="pct"/>
            <w:tcBorders>
              <w:top w:val="single" w:sz="5" w:space="0" w:color="000000"/>
              <w:left w:val="single" w:sz="5" w:space="0" w:color="000000"/>
              <w:bottom w:val="single" w:sz="5" w:space="0" w:color="000000"/>
              <w:right w:val="single" w:sz="5" w:space="0" w:color="000000"/>
            </w:tcBorders>
          </w:tcPr>
          <w:p w14:paraId="3E50FD3B"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Protocol and Registration</w:t>
            </w:r>
          </w:p>
        </w:tc>
      </w:tr>
      <w:tr w:rsidR="00BB3A3D" w:rsidRPr="00B420C8" w14:paraId="51841BA3" w14:textId="77777777" w:rsidTr="009D60DC">
        <w:trPr>
          <w:trHeight w:val="48"/>
        </w:trPr>
        <w:tc>
          <w:tcPr>
            <w:tcW w:w="747" w:type="pct"/>
            <w:vMerge/>
            <w:tcBorders>
              <w:left w:val="single" w:sz="5" w:space="0" w:color="000000"/>
              <w:bottom w:val="single" w:sz="5" w:space="0" w:color="000000"/>
              <w:right w:val="single" w:sz="5" w:space="0" w:color="000000"/>
            </w:tcBorders>
          </w:tcPr>
          <w:p w14:paraId="24CC6A8B" w14:textId="77777777" w:rsidR="00330C1A" w:rsidRPr="00CF44EB" w:rsidRDefault="00330C1A" w:rsidP="00B128EA">
            <w:pPr>
              <w:pStyle w:val="af2"/>
              <w:rPr>
                <w:rFonts w:ascii="Aptos" w:hAnsi="Aptos" w:cs="Times New Roman"/>
                <w:sz w:val="18"/>
                <w:szCs w:val="18"/>
              </w:rPr>
            </w:pPr>
          </w:p>
        </w:tc>
        <w:tc>
          <w:tcPr>
            <w:tcW w:w="318" w:type="pct"/>
            <w:tcBorders>
              <w:top w:val="single" w:sz="5" w:space="0" w:color="000000"/>
              <w:left w:val="single" w:sz="5" w:space="0" w:color="000000"/>
              <w:bottom w:val="single" w:sz="5" w:space="0" w:color="000000"/>
              <w:right w:val="single" w:sz="5" w:space="0" w:color="000000"/>
            </w:tcBorders>
          </w:tcPr>
          <w:p w14:paraId="512029D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24c</w:t>
            </w:r>
          </w:p>
        </w:tc>
        <w:tc>
          <w:tcPr>
            <w:tcW w:w="2925" w:type="pct"/>
            <w:tcBorders>
              <w:top w:val="single" w:sz="5" w:space="0" w:color="000000"/>
              <w:left w:val="single" w:sz="5" w:space="0" w:color="000000"/>
              <w:bottom w:val="single" w:sz="5" w:space="0" w:color="000000"/>
              <w:right w:val="single" w:sz="5" w:space="0" w:color="000000"/>
            </w:tcBorders>
          </w:tcPr>
          <w:p w14:paraId="59F1102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and explain any amendments to information provided at registration or in the protocol.</w:t>
            </w:r>
          </w:p>
        </w:tc>
        <w:tc>
          <w:tcPr>
            <w:tcW w:w="1010" w:type="pct"/>
            <w:tcBorders>
              <w:top w:val="single" w:sz="5" w:space="0" w:color="000000"/>
              <w:left w:val="single" w:sz="5" w:space="0" w:color="000000"/>
              <w:bottom w:val="single" w:sz="5" w:space="0" w:color="000000"/>
              <w:right w:val="single" w:sz="5" w:space="0" w:color="000000"/>
            </w:tcBorders>
          </w:tcPr>
          <w:p w14:paraId="100601EA"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Methods &gt; Protocol and Registration</w:t>
            </w:r>
          </w:p>
        </w:tc>
      </w:tr>
      <w:tr w:rsidR="00BB3A3D" w:rsidRPr="00B420C8" w14:paraId="0C65A21A"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54252DCE"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Support</w:t>
            </w:r>
          </w:p>
        </w:tc>
        <w:tc>
          <w:tcPr>
            <w:tcW w:w="318" w:type="pct"/>
            <w:tcBorders>
              <w:top w:val="single" w:sz="5" w:space="0" w:color="000000"/>
              <w:left w:val="single" w:sz="5" w:space="0" w:color="000000"/>
              <w:bottom w:val="single" w:sz="5" w:space="0" w:color="000000"/>
              <w:right w:val="single" w:sz="5" w:space="0" w:color="000000"/>
            </w:tcBorders>
          </w:tcPr>
          <w:p w14:paraId="315B1FC3"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25</w:t>
            </w:r>
          </w:p>
        </w:tc>
        <w:tc>
          <w:tcPr>
            <w:tcW w:w="2925" w:type="pct"/>
            <w:tcBorders>
              <w:top w:val="single" w:sz="5" w:space="0" w:color="000000"/>
              <w:left w:val="single" w:sz="5" w:space="0" w:color="000000"/>
              <w:bottom w:val="single" w:sz="5" w:space="0" w:color="000000"/>
              <w:right w:val="single" w:sz="5" w:space="0" w:color="000000"/>
            </w:tcBorders>
          </w:tcPr>
          <w:p w14:paraId="0FDE533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Describe sources of financial or non-financial support for the review, and the role of the funders or sponsors in the review.</w:t>
            </w:r>
          </w:p>
        </w:tc>
        <w:tc>
          <w:tcPr>
            <w:tcW w:w="1010" w:type="pct"/>
            <w:tcBorders>
              <w:top w:val="single" w:sz="5" w:space="0" w:color="000000"/>
              <w:left w:val="single" w:sz="5" w:space="0" w:color="000000"/>
              <w:bottom w:val="single" w:sz="5" w:space="0" w:color="000000"/>
              <w:right w:val="single" w:sz="5" w:space="0" w:color="000000"/>
            </w:tcBorders>
          </w:tcPr>
          <w:p w14:paraId="5F2AEA26"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Funding Section</w:t>
            </w:r>
          </w:p>
        </w:tc>
      </w:tr>
      <w:tr w:rsidR="00BB3A3D" w:rsidRPr="00B420C8" w14:paraId="4B989C37" w14:textId="77777777" w:rsidTr="009D60DC">
        <w:trPr>
          <w:trHeight w:val="48"/>
        </w:trPr>
        <w:tc>
          <w:tcPr>
            <w:tcW w:w="747" w:type="pct"/>
            <w:tcBorders>
              <w:top w:val="single" w:sz="5" w:space="0" w:color="000000"/>
              <w:left w:val="single" w:sz="5" w:space="0" w:color="000000"/>
              <w:bottom w:val="single" w:sz="5" w:space="0" w:color="000000"/>
              <w:right w:val="single" w:sz="5" w:space="0" w:color="000000"/>
            </w:tcBorders>
          </w:tcPr>
          <w:p w14:paraId="3208814F"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Competing interests</w:t>
            </w:r>
          </w:p>
        </w:tc>
        <w:tc>
          <w:tcPr>
            <w:tcW w:w="318" w:type="pct"/>
            <w:tcBorders>
              <w:top w:val="single" w:sz="5" w:space="0" w:color="000000"/>
              <w:left w:val="single" w:sz="5" w:space="0" w:color="000000"/>
              <w:bottom w:val="single" w:sz="5" w:space="0" w:color="000000"/>
              <w:right w:val="single" w:sz="5" w:space="0" w:color="000000"/>
            </w:tcBorders>
          </w:tcPr>
          <w:p w14:paraId="0B55809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26</w:t>
            </w:r>
          </w:p>
        </w:tc>
        <w:tc>
          <w:tcPr>
            <w:tcW w:w="2925" w:type="pct"/>
            <w:tcBorders>
              <w:top w:val="single" w:sz="5" w:space="0" w:color="000000"/>
              <w:left w:val="single" w:sz="5" w:space="0" w:color="000000"/>
              <w:bottom w:val="single" w:sz="5" w:space="0" w:color="000000"/>
              <w:right w:val="single" w:sz="5" w:space="0" w:color="000000"/>
            </w:tcBorders>
          </w:tcPr>
          <w:p w14:paraId="6A326F2D"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Declare any competing interests of review authors.</w:t>
            </w:r>
          </w:p>
        </w:tc>
        <w:tc>
          <w:tcPr>
            <w:tcW w:w="1010" w:type="pct"/>
            <w:tcBorders>
              <w:top w:val="single" w:sz="5" w:space="0" w:color="000000"/>
              <w:left w:val="single" w:sz="5" w:space="0" w:color="000000"/>
              <w:bottom w:val="single" w:sz="5" w:space="0" w:color="000000"/>
              <w:right w:val="single" w:sz="5" w:space="0" w:color="000000"/>
            </w:tcBorders>
          </w:tcPr>
          <w:p w14:paraId="2BE0012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Conflict of Interest Section</w:t>
            </w:r>
          </w:p>
        </w:tc>
      </w:tr>
      <w:tr w:rsidR="00330C1A" w:rsidRPr="00B420C8" w14:paraId="3277FB94" w14:textId="77777777" w:rsidTr="009D60DC">
        <w:trPr>
          <w:trHeight w:val="219"/>
        </w:trPr>
        <w:tc>
          <w:tcPr>
            <w:tcW w:w="747" w:type="pct"/>
            <w:tcBorders>
              <w:top w:val="single" w:sz="5" w:space="0" w:color="000000"/>
              <w:left w:val="single" w:sz="5" w:space="0" w:color="000000"/>
              <w:bottom w:val="double" w:sz="5" w:space="0" w:color="000000"/>
              <w:right w:val="single" w:sz="5" w:space="0" w:color="000000"/>
            </w:tcBorders>
          </w:tcPr>
          <w:p w14:paraId="38ADD787"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Availability of data, code and other materials</w:t>
            </w:r>
          </w:p>
        </w:tc>
        <w:tc>
          <w:tcPr>
            <w:tcW w:w="318" w:type="pct"/>
            <w:tcBorders>
              <w:top w:val="single" w:sz="5" w:space="0" w:color="000000"/>
              <w:left w:val="single" w:sz="5" w:space="0" w:color="000000"/>
              <w:bottom w:val="double" w:sz="5" w:space="0" w:color="000000"/>
              <w:right w:val="single" w:sz="5" w:space="0" w:color="000000"/>
            </w:tcBorders>
          </w:tcPr>
          <w:p w14:paraId="00321EF4"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27</w:t>
            </w:r>
          </w:p>
        </w:tc>
        <w:tc>
          <w:tcPr>
            <w:tcW w:w="2925" w:type="pct"/>
            <w:tcBorders>
              <w:top w:val="single" w:sz="5" w:space="0" w:color="000000"/>
              <w:left w:val="single" w:sz="5" w:space="0" w:color="000000"/>
              <w:bottom w:val="double" w:sz="5" w:space="0" w:color="000000"/>
              <w:right w:val="single" w:sz="5" w:space="0" w:color="000000"/>
            </w:tcBorders>
          </w:tcPr>
          <w:p w14:paraId="1DDA2001"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 xml:space="preserve">Report which of the following are publicly available and where they can be found: template data collection forms; data </w:t>
            </w:r>
            <w:r w:rsidR="00036AC2" w:rsidRPr="00CF44EB">
              <w:rPr>
                <w:rFonts w:ascii="Aptos" w:hAnsi="Aptos" w:cs="Times New Roman"/>
                <w:sz w:val="18"/>
                <w:szCs w:val="18"/>
              </w:rPr>
              <w:t>extr</w:t>
            </w:r>
            <w:r w:rsidRPr="00CF44EB">
              <w:rPr>
                <w:rFonts w:ascii="Aptos" w:hAnsi="Aptos" w:cs="Times New Roman"/>
                <w:sz w:val="18"/>
                <w:szCs w:val="18"/>
              </w:rPr>
              <w:t>acted from included studies; data used for all analyses; analytic code; any other materials used in the review.</w:t>
            </w:r>
          </w:p>
        </w:tc>
        <w:tc>
          <w:tcPr>
            <w:tcW w:w="1010" w:type="pct"/>
            <w:tcBorders>
              <w:top w:val="single" w:sz="5" w:space="0" w:color="000000"/>
              <w:left w:val="single" w:sz="5" w:space="0" w:color="000000"/>
              <w:bottom w:val="double" w:sz="5" w:space="0" w:color="000000"/>
              <w:right w:val="single" w:sz="5" w:space="0" w:color="000000"/>
            </w:tcBorders>
          </w:tcPr>
          <w:p w14:paraId="540A8408" w14:textId="77777777" w:rsidR="00330C1A" w:rsidRPr="00CF44EB" w:rsidRDefault="00330C1A" w:rsidP="00B128EA">
            <w:pPr>
              <w:pStyle w:val="af2"/>
              <w:rPr>
                <w:rFonts w:ascii="Aptos" w:hAnsi="Aptos" w:cs="Times New Roman"/>
                <w:sz w:val="18"/>
                <w:szCs w:val="18"/>
              </w:rPr>
            </w:pPr>
            <w:r w:rsidRPr="00CF44EB">
              <w:rPr>
                <w:rFonts w:ascii="Aptos" w:hAnsi="Aptos" w:cs="Times New Roman"/>
                <w:sz w:val="18"/>
                <w:szCs w:val="18"/>
              </w:rPr>
              <w:t>Statements and Declarations &gt; Data and code availability</w:t>
            </w:r>
          </w:p>
        </w:tc>
      </w:tr>
    </w:tbl>
    <w:p w14:paraId="3FFB19FB" w14:textId="77777777" w:rsidR="00330C1A" w:rsidRPr="00092549" w:rsidRDefault="00330C1A">
      <w:pPr>
        <w:rPr>
          <w:rFonts w:ascii="Aptos" w:hAnsi="Aptos" w:cs="Times New Roman"/>
        </w:rPr>
      </w:pPr>
    </w:p>
    <w:p w14:paraId="1F209B63" w14:textId="77777777" w:rsidR="00330C1A" w:rsidRPr="00092549" w:rsidRDefault="009D60DC" w:rsidP="0056069F">
      <w:pPr>
        <w:pageBreakBefore/>
        <w:rPr>
          <w:rFonts w:ascii="Aptos" w:hAnsi="Aptos" w:cs="Times New Roman"/>
        </w:rPr>
      </w:pPr>
      <w:r w:rsidRPr="00092549">
        <w:rPr>
          <w:rFonts w:ascii="Aptos" w:hAnsi="Aptos" w:cs="Times New Roman"/>
          <w:b/>
          <w:bCs/>
        </w:rPr>
        <w:lastRenderedPageBreak/>
        <w:t xml:space="preserve">Method S2. </w:t>
      </w:r>
      <w:r w:rsidRPr="00092549">
        <w:rPr>
          <w:rFonts w:ascii="Aptos" w:hAnsi="Aptos" w:cs="Times New Roman"/>
        </w:rPr>
        <w:t xml:space="preserve">Protocol </w:t>
      </w:r>
      <w:r w:rsidR="00285D96">
        <w:rPr>
          <w:rFonts w:ascii="Aptos" w:hAnsi="Aptos" w:cs="Times New Roman"/>
        </w:rPr>
        <w:t>amendment</w:t>
      </w:r>
    </w:p>
    <w:p w14:paraId="2486BEAA" w14:textId="1A13E782" w:rsidR="001650EA" w:rsidRDefault="00D6534D">
      <w:pPr>
        <w:rPr>
          <w:rFonts w:ascii="Aptos" w:hAnsi="Aptos" w:cs="Times New Roman"/>
        </w:rPr>
      </w:pPr>
      <w:r w:rsidRPr="00D6534D">
        <w:rPr>
          <w:rFonts w:ascii="Aptos" w:hAnsi="Aptos" w:cs="Times New Roman"/>
        </w:rPr>
        <w:t>The original protocol followed a conventional approach of prioritizing the most fully adjusted estimate from each study and did not prespecify detailed consideration of the temporal or causal roles of individual covariates. During covariate extraction, we recognized that greater adjustment could represent different underlying contrasts across studies.</w:t>
      </w:r>
      <w:r w:rsidR="001650EA">
        <w:rPr>
          <w:rFonts w:ascii="Aptos" w:hAnsi="Aptos" w:cs="Times New Roman" w:hint="eastAsia"/>
        </w:rPr>
        <w:t xml:space="preserve"> </w:t>
      </w:r>
      <w:r w:rsidR="001650EA" w:rsidRPr="001650EA">
        <w:rPr>
          <w:rFonts w:ascii="Aptos" w:hAnsi="Aptos" w:cs="Times New Roman"/>
        </w:rPr>
        <w:t>Th</w:t>
      </w:r>
      <w:r w:rsidR="003B588E">
        <w:rPr>
          <w:rFonts w:ascii="Aptos" w:hAnsi="Aptos" w:cs="Times New Roman" w:hint="eastAsia"/>
        </w:rPr>
        <w:t>e</w:t>
      </w:r>
      <w:r w:rsidR="001650EA" w:rsidRPr="001650EA">
        <w:rPr>
          <w:rFonts w:ascii="Aptos" w:hAnsi="Aptos" w:cs="Times New Roman"/>
        </w:rPr>
        <w:t xml:space="preserve"> amendment was made before quantitative synthesis and was prompted by heterogeneity in covariate structures across studies, rather than by the direction or magnitude of the observed mortality associations.</w:t>
      </w:r>
    </w:p>
    <w:p w14:paraId="329FB72C" w14:textId="2017C23B" w:rsidR="00330C1A" w:rsidRPr="00D6534D" w:rsidRDefault="00D6534D">
      <w:pPr>
        <w:rPr>
          <w:rFonts w:ascii="Aptos" w:hAnsi="Aptos" w:cs="Times New Roman"/>
        </w:rPr>
      </w:pPr>
      <w:r w:rsidRPr="00D6534D">
        <w:rPr>
          <w:rFonts w:ascii="Aptos" w:hAnsi="Aptos" w:cs="Times New Roman"/>
        </w:rPr>
        <w:t>We refined the estimate</w:t>
      </w:r>
      <w:r w:rsidR="00FB68CD">
        <w:rPr>
          <w:rFonts w:ascii="Aptos" w:hAnsi="Aptos" w:cs="Times New Roman" w:hint="eastAsia"/>
        </w:rPr>
        <w:t xml:space="preserve"> </w:t>
      </w:r>
      <w:r w:rsidRPr="00D6534D">
        <w:rPr>
          <w:rFonts w:ascii="Aptos" w:hAnsi="Aptos" w:cs="Times New Roman"/>
        </w:rPr>
        <w:t>selection rule to prioritize the available estimate that most closely represented the overall association between recorded ADHD diagnosis and mortality, based on covariate composition. When only one model was reported, that estimate was retained; when sequential models were available, we favored models that avoided additional adjustment for potentially post-exposure or causally ambiguous domains when an alternative was available. Other amendments included use of ROBINS-E instead of ROBINS-I, addition of GRADE analyses, retention of geographic and risk-of-bias subgroup analyses, and omission of medication and age subgroup analyses because of insufficient data.</w:t>
      </w:r>
    </w:p>
    <w:p w14:paraId="3442E149" w14:textId="77777777" w:rsidR="00330C1A" w:rsidRPr="00092549" w:rsidRDefault="00330C1A">
      <w:pPr>
        <w:rPr>
          <w:rFonts w:ascii="Aptos" w:hAnsi="Aptos" w:cs="Times New Roman"/>
        </w:rPr>
      </w:pPr>
      <w:r w:rsidRPr="00092549">
        <w:rPr>
          <w:rFonts w:ascii="Aptos" w:hAnsi="Aptos" w:cs="Times New Roman"/>
          <w:b/>
          <w:bCs/>
        </w:rPr>
        <w:t>Method S</w:t>
      </w:r>
      <w:r w:rsidR="00857EC8" w:rsidRPr="00092549">
        <w:rPr>
          <w:rFonts w:ascii="Aptos" w:hAnsi="Aptos" w:cs="Times New Roman"/>
          <w:b/>
          <w:bCs/>
        </w:rPr>
        <w:t>3</w:t>
      </w:r>
      <w:r w:rsidRPr="00092549">
        <w:rPr>
          <w:rFonts w:ascii="Aptos" w:hAnsi="Aptos" w:cs="Times New Roman"/>
          <w:b/>
          <w:bCs/>
        </w:rPr>
        <w:t xml:space="preserve">. </w:t>
      </w:r>
      <w:r w:rsidR="006E0ABB" w:rsidRPr="00092549">
        <w:rPr>
          <w:rFonts w:ascii="Aptos" w:hAnsi="Aptos" w:cs="Times New Roman"/>
        </w:rPr>
        <w:t>Database search strategies and keywords</w:t>
      </w:r>
    </w:p>
    <w:p w14:paraId="41499261" w14:textId="77777777" w:rsidR="00330C1A" w:rsidRPr="00092549" w:rsidRDefault="00330C1A" w:rsidP="00330C1A">
      <w:pPr>
        <w:rPr>
          <w:rFonts w:ascii="Aptos" w:hAnsi="Aptos" w:cs="Times New Roman"/>
          <w:b/>
          <w:bCs/>
        </w:rPr>
      </w:pPr>
      <w:r w:rsidRPr="00092549">
        <w:rPr>
          <w:rFonts w:ascii="Aptos" w:hAnsi="Aptos" w:cs="Times New Roman"/>
          <w:b/>
          <w:bCs/>
        </w:rPr>
        <w:t>PubMed</w:t>
      </w:r>
    </w:p>
    <w:p w14:paraId="3E81747F" w14:textId="77777777" w:rsidR="00330C1A" w:rsidRPr="00092549" w:rsidRDefault="00330C1A" w:rsidP="00330C1A">
      <w:pPr>
        <w:rPr>
          <w:rFonts w:ascii="Aptos" w:hAnsi="Aptos" w:cs="Times New Roman"/>
        </w:rPr>
      </w:pPr>
      <w:r w:rsidRPr="00092549">
        <w:rPr>
          <w:rFonts w:ascii="Aptos" w:hAnsi="Aptos" w:cs="Times New Roman"/>
        </w:rPr>
        <w:t xml:space="preserve">("Attention Deficit Disorder with Hyperactivity"[Mesh] OR </w:t>
      </w:r>
      <w:proofErr w:type="gramStart"/>
      <w:r w:rsidRPr="00092549">
        <w:rPr>
          <w:rFonts w:ascii="Aptos" w:hAnsi="Aptos" w:cs="Times New Roman"/>
        </w:rPr>
        <w:t>ADHD[</w:t>
      </w:r>
      <w:proofErr w:type="spellStart"/>
      <w:proofErr w:type="gramEnd"/>
      <w:r w:rsidRPr="00092549">
        <w:rPr>
          <w:rFonts w:ascii="Aptos" w:hAnsi="Aptos" w:cs="Times New Roman"/>
        </w:rPr>
        <w:t>tiab</w:t>
      </w:r>
      <w:proofErr w:type="spellEnd"/>
      <w:r w:rsidRPr="00092549">
        <w:rPr>
          <w:rFonts w:ascii="Aptos" w:hAnsi="Aptos" w:cs="Times New Roman"/>
        </w:rPr>
        <w:t>] OR "attention-deficit/hyperactivity"[</w:t>
      </w:r>
      <w:proofErr w:type="spellStart"/>
      <w:r w:rsidRPr="00092549">
        <w:rPr>
          <w:rFonts w:ascii="Aptos" w:hAnsi="Aptos" w:cs="Times New Roman"/>
        </w:rPr>
        <w:t>tiab</w:t>
      </w:r>
      <w:proofErr w:type="spellEnd"/>
      <w:r w:rsidRPr="00092549">
        <w:rPr>
          <w:rFonts w:ascii="Aptos" w:hAnsi="Aptos" w:cs="Times New Roman"/>
        </w:rPr>
        <w:t>] OR "attention deficit hyperactivity"[</w:t>
      </w:r>
      <w:proofErr w:type="spellStart"/>
      <w:r w:rsidRPr="00092549">
        <w:rPr>
          <w:rFonts w:ascii="Aptos" w:hAnsi="Aptos" w:cs="Times New Roman"/>
        </w:rPr>
        <w:t>tiab</w:t>
      </w:r>
      <w:proofErr w:type="spellEnd"/>
      <w:r w:rsidRPr="00092549">
        <w:rPr>
          <w:rFonts w:ascii="Aptos" w:hAnsi="Aptos" w:cs="Times New Roman"/>
        </w:rPr>
        <w:t>] OR "hyperkinetic"[</w:t>
      </w:r>
      <w:proofErr w:type="spellStart"/>
      <w:r w:rsidRPr="00092549">
        <w:rPr>
          <w:rFonts w:ascii="Aptos" w:hAnsi="Aptos" w:cs="Times New Roman"/>
        </w:rPr>
        <w:t>tiab</w:t>
      </w:r>
      <w:proofErr w:type="spellEnd"/>
      <w:r w:rsidRPr="00092549">
        <w:rPr>
          <w:rFonts w:ascii="Aptos" w:hAnsi="Aptos" w:cs="Times New Roman"/>
        </w:rPr>
        <w:t>])</w:t>
      </w:r>
    </w:p>
    <w:p w14:paraId="075EFD23" w14:textId="77777777" w:rsidR="00330C1A" w:rsidRPr="00092549" w:rsidRDefault="00330C1A" w:rsidP="00330C1A">
      <w:pPr>
        <w:rPr>
          <w:rFonts w:ascii="Aptos" w:hAnsi="Aptos" w:cs="Times New Roman"/>
        </w:rPr>
      </w:pPr>
      <w:r w:rsidRPr="00092549">
        <w:rPr>
          <w:rFonts w:ascii="Aptos" w:hAnsi="Aptos" w:cs="Times New Roman"/>
        </w:rPr>
        <w:t>AND</w:t>
      </w:r>
    </w:p>
    <w:p w14:paraId="6221E8C0" w14:textId="77777777" w:rsidR="00330C1A" w:rsidRPr="00092549" w:rsidRDefault="00330C1A" w:rsidP="00330C1A">
      <w:pPr>
        <w:rPr>
          <w:rFonts w:ascii="Aptos" w:hAnsi="Aptos" w:cs="Times New Roman"/>
        </w:rPr>
      </w:pPr>
      <w:r w:rsidRPr="00092549">
        <w:rPr>
          <w:rFonts w:ascii="Aptos" w:hAnsi="Aptos" w:cs="Times New Roman"/>
        </w:rPr>
        <w:t>("Mortality"[Mesh] OR mortality[</w:t>
      </w:r>
      <w:proofErr w:type="spellStart"/>
      <w:r w:rsidRPr="00092549">
        <w:rPr>
          <w:rFonts w:ascii="Aptos" w:hAnsi="Aptos" w:cs="Times New Roman"/>
        </w:rPr>
        <w:t>tiab</w:t>
      </w:r>
      <w:proofErr w:type="spellEnd"/>
      <w:r w:rsidRPr="00092549">
        <w:rPr>
          <w:rFonts w:ascii="Aptos" w:hAnsi="Aptos" w:cs="Times New Roman"/>
        </w:rPr>
        <w:t>] OR death*[</w:t>
      </w:r>
      <w:proofErr w:type="spellStart"/>
      <w:r w:rsidRPr="00092549">
        <w:rPr>
          <w:rFonts w:ascii="Aptos" w:hAnsi="Aptos" w:cs="Times New Roman"/>
        </w:rPr>
        <w:t>tiab</w:t>
      </w:r>
      <w:proofErr w:type="spellEnd"/>
      <w:r w:rsidRPr="00092549">
        <w:rPr>
          <w:rFonts w:ascii="Aptos" w:hAnsi="Aptos" w:cs="Times New Roman"/>
        </w:rPr>
        <w:t xml:space="preserve">] OR </w:t>
      </w:r>
      <w:proofErr w:type="spellStart"/>
      <w:r w:rsidRPr="00092549">
        <w:rPr>
          <w:rFonts w:ascii="Aptos" w:hAnsi="Aptos" w:cs="Times New Roman"/>
        </w:rPr>
        <w:t>fatalit</w:t>
      </w:r>
      <w:proofErr w:type="spellEnd"/>
      <w:r w:rsidRPr="00092549">
        <w:rPr>
          <w:rFonts w:ascii="Aptos" w:hAnsi="Aptos" w:cs="Times New Roman"/>
        </w:rPr>
        <w:t>*[</w:t>
      </w:r>
      <w:proofErr w:type="spellStart"/>
      <w:r w:rsidRPr="00092549">
        <w:rPr>
          <w:rFonts w:ascii="Aptos" w:hAnsi="Aptos" w:cs="Times New Roman"/>
        </w:rPr>
        <w:t>tiab</w:t>
      </w:r>
      <w:proofErr w:type="spellEnd"/>
      <w:r w:rsidRPr="00092549">
        <w:rPr>
          <w:rFonts w:ascii="Aptos" w:hAnsi="Aptos" w:cs="Times New Roman"/>
        </w:rPr>
        <w:t>] OR "all-cause"[</w:t>
      </w:r>
      <w:proofErr w:type="spellStart"/>
      <w:r w:rsidRPr="00092549">
        <w:rPr>
          <w:rFonts w:ascii="Aptos" w:hAnsi="Aptos" w:cs="Times New Roman"/>
        </w:rPr>
        <w:t>tiab</w:t>
      </w:r>
      <w:proofErr w:type="spellEnd"/>
      <w:r w:rsidRPr="00092549">
        <w:rPr>
          <w:rFonts w:ascii="Aptos" w:hAnsi="Aptos" w:cs="Times New Roman"/>
        </w:rPr>
        <w:t>] OR "cause-specific"[</w:t>
      </w:r>
      <w:proofErr w:type="spellStart"/>
      <w:r w:rsidRPr="00092549">
        <w:rPr>
          <w:rFonts w:ascii="Aptos" w:hAnsi="Aptos" w:cs="Times New Roman"/>
        </w:rPr>
        <w:t>tiab</w:t>
      </w:r>
      <w:proofErr w:type="spellEnd"/>
      <w:r w:rsidRPr="00092549">
        <w:rPr>
          <w:rFonts w:ascii="Aptos" w:hAnsi="Aptos" w:cs="Times New Roman"/>
        </w:rPr>
        <w:t>] OR "standardized mortality ratio"[</w:t>
      </w:r>
      <w:proofErr w:type="spellStart"/>
      <w:r w:rsidRPr="00092549">
        <w:rPr>
          <w:rFonts w:ascii="Aptos" w:hAnsi="Aptos" w:cs="Times New Roman"/>
        </w:rPr>
        <w:t>tiab</w:t>
      </w:r>
      <w:proofErr w:type="spellEnd"/>
      <w:r w:rsidRPr="00092549">
        <w:rPr>
          <w:rFonts w:ascii="Aptos" w:hAnsi="Aptos" w:cs="Times New Roman"/>
        </w:rPr>
        <w:t xml:space="preserve">] OR </w:t>
      </w:r>
      <w:proofErr w:type="gramStart"/>
      <w:r w:rsidRPr="00092549">
        <w:rPr>
          <w:rFonts w:ascii="Aptos" w:hAnsi="Aptos" w:cs="Times New Roman"/>
        </w:rPr>
        <w:t>SMR[</w:t>
      </w:r>
      <w:proofErr w:type="spellStart"/>
      <w:proofErr w:type="gramEnd"/>
      <w:r w:rsidRPr="00092549">
        <w:rPr>
          <w:rFonts w:ascii="Aptos" w:hAnsi="Aptos" w:cs="Times New Roman"/>
        </w:rPr>
        <w:t>tiab</w:t>
      </w:r>
      <w:proofErr w:type="spellEnd"/>
      <w:r w:rsidRPr="00092549">
        <w:rPr>
          <w:rFonts w:ascii="Aptos" w:hAnsi="Aptos" w:cs="Times New Roman"/>
        </w:rPr>
        <w:t>] OR survival[</w:t>
      </w:r>
      <w:proofErr w:type="spellStart"/>
      <w:r w:rsidRPr="00092549">
        <w:rPr>
          <w:rFonts w:ascii="Aptos" w:hAnsi="Aptos" w:cs="Times New Roman"/>
        </w:rPr>
        <w:t>tiab</w:t>
      </w:r>
      <w:proofErr w:type="spellEnd"/>
      <w:r w:rsidRPr="00092549">
        <w:rPr>
          <w:rFonts w:ascii="Aptos" w:hAnsi="Aptos" w:cs="Times New Roman"/>
        </w:rPr>
        <w:t>])</w:t>
      </w:r>
    </w:p>
    <w:p w14:paraId="49EB0110" w14:textId="77777777" w:rsidR="00330C1A" w:rsidRPr="00092549" w:rsidRDefault="00330C1A" w:rsidP="00330C1A">
      <w:pPr>
        <w:rPr>
          <w:rFonts w:ascii="Aptos" w:hAnsi="Aptos" w:cs="Times New Roman"/>
        </w:rPr>
      </w:pPr>
    </w:p>
    <w:p w14:paraId="5794B18E" w14:textId="77777777" w:rsidR="00330C1A" w:rsidRPr="00092549" w:rsidRDefault="00330C1A" w:rsidP="00330C1A">
      <w:pPr>
        <w:rPr>
          <w:rFonts w:ascii="Aptos" w:hAnsi="Aptos" w:cs="Times New Roman"/>
          <w:b/>
          <w:bCs/>
        </w:rPr>
      </w:pPr>
      <w:r w:rsidRPr="00092549">
        <w:rPr>
          <w:rFonts w:ascii="Aptos" w:hAnsi="Aptos" w:cs="Times New Roman"/>
          <w:b/>
          <w:bCs/>
        </w:rPr>
        <w:t>Embase</w:t>
      </w:r>
    </w:p>
    <w:p w14:paraId="7E6C8041" w14:textId="77777777" w:rsidR="00330C1A" w:rsidRPr="00092549" w:rsidRDefault="00330C1A" w:rsidP="00330C1A">
      <w:pPr>
        <w:rPr>
          <w:rFonts w:ascii="Aptos" w:hAnsi="Aptos" w:cs="Times New Roman"/>
        </w:rPr>
      </w:pPr>
      <w:r w:rsidRPr="00092549">
        <w:rPr>
          <w:rFonts w:ascii="Aptos" w:hAnsi="Aptos" w:cs="Times New Roman"/>
        </w:rPr>
        <w:t xml:space="preserve">('attention deficit hyperactivity disorder'/exp OR </w:t>
      </w:r>
      <w:proofErr w:type="spellStart"/>
      <w:proofErr w:type="gramStart"/>
      <w:r w:rsidRPr="00092549">
        <w:rPr>
          <w:rFonts w:ascii="Aptos" w:hAnsi="Aptos" w:cs="Times New Roman"/>
        </w:rPr>
        <w:t>adhd:ti</w:t>
      </w:r>
      <w:proofErr w:type="gramEnd"/>
      <w:r w:rsidRPr="00092549">
        <w:rPr>
          <w:rFonts w:ascii="Aptos" w:hAnsi="Aptos" w:cs="Times New Roman"/>
        </w:rPr>
        <w:t>,ab</w:t>
      </w:r>
      <w:proofErr w:type="spellEnd"/>
      <w:r w:rsidRPr="00092549">
        <w:rPr>
          <w:rFonts w:ascii="Aptos" w:hAnsi="Aptos" w:cs="Times New Roman"/>
        </w:rPr>
        <w:t xml:space="preserve"> OR 'attention-deficit/hyperactivity</w:t>
      </w:r>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 xml:space="preserve"> OR 'hyperkinetic</w:t>
      </w:r>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w:t>
      </w:r>
    </w:p>
    <w:p w14:paraId="23813E7E" w14:textId="77777777" w:rsidR="00330C1A" w:rsidRPr="00092549" w:rsidRDefault="00330C1A" w:rsidP="00330C1A">
      <w:pPr>
        <w:rPr>
          <w:rFonts w:ascii="Aptos" w:hAnsi="Aptos" w:cs="Times New Roman"/>
        </w:rPr>
      </w:pPr>
      <w:r w:rsidRPr="00092549">
        <w:rPr>
          <w:rFonts w:ascii="Aptos" w:hAnsi="Aptos" w:cs="Times New Roman"/>
        </w:rPr>
        <w:t>AND</w:t>
      </w:r>
    </w:p>
    <w:p w14:paraId="30472B6F" w14:textId="77777777" w:rsidR="00330C1A" w:rsidRPr="00092549" w:rsidRDefault="00330C1A" w:rsidP="00330C1A">
      <w:pPr>
        <w:rPr>
          <w:rFonts w:ascii="Aptos" w:hAnsi="Aptos" w:cs="Times New Roman"/>
        </w:rPr>
      </w:pPr>
      <w:r w:rsidRPr="00092549">
        <w:rPr>
          <w:rFonts w:ascii="Aptos" w:hAnsi="Aptos" w:cs="Times New Roman"/>
        </w:rPr>
        <w:t xml:space="preserve">('mortality'/exp OR </w:t>
      </w:r>
      <w:proofErr w:type="spellStart"/>
      <w:proofErr w:type="gramStart"/>
      <w:r w:rsidRPr="00092549">
        <w:rPr>
          <w:rFonts w:ascii="Aptos" w:hAnsi="Aptos" w:cs="Times New Roman"/>
        </w:rPr>
        <w:t>mortality:ti</w:t>
      </w:r>
      <w:proofErr w:type="gramEnd"/>
      <w:r w:rsidRPr="00092549">
        <w:rPr>
          <w:rFonts w:ascii="Aptos" w:hAnsi="Aptos" w:cs="Times New Roman"/>
        </w:rPr>
        <w:t>,ab</w:t>
      </w:r>
      <w:proofErr w:type="spellEnd"/>
      <w:r w:rsidRPr="00092549">
        <w:rPr>
          <w:rFonts w:ascii="Aptos" w:hAnsi="Aptos" w:cs="Times New Roman"/>
        </w:rPr>
        <w:t xml:space="preserve"> OR death</w:t>
      </w:r>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 xml:space="preserve"> OR </w:t>
      </w:r>
      <w:proofErr w:type="spellStart"/>
      <w:r w:rsidRPr="00092549">
        <w:rPr>
          <w:rFonts w:ascii="Aptos" w:hAnsi="Aptos" w:cs="Times New Roman"/>
        </w:rPr>
        <w:t>fatalit</w:t>
      </w:r>
      <w:proofErr w:type="spellEnd"/>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 xml:space="preserve"> OR 'all-cause</w:t>
      </w:r>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 xml:space="preserve"> OR 'cause-specific</w:t>
      </w:r>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 xml:space="preserve"> OR 'standardized mortality ratio</w:t>
      </w:r>
      <w:proofErr w:type="gramStart"/>
      <w:r w:rsidRPr="00092549">
        <w:rPr>
          <w:rFonts w:ascii="Aptos" w:hAnsi="Aptos" w:cs="Times New Roman"/>
        </w:rPr>
        <w:t>':</w:t>
      </w:r>
      <w:proofErr w:type="spellStart"/>
      <w:r w:rsidRPr="00092549">
        <w:rPr>
          <w:rFonts w:ascii="Aptos" w:hAnsi="Aptos" w:cs="Times New Roman"/>
        </w:rPr>
        <w:t>ti</w:t>
      </w:r>
      <w:proofErr w:type="gramEnd"/>
      <w:r w:rsidRPr="00092549">
        <w:rPr>
          <w:rFonts w:ascii="Aptos" w:hAnsi="Aptos" w:cs="Times New Roman"/>
        </w:rPr>
        <w:t>,ab</w:t>
      </w:r>
      <w:proofErr w:type="spellEnd"/>
      <w:r w:rsidRPr="00092549">
        <w:rPr>
          <w:rFonts w:ascii="Aptos" w:hAnsi="Aptos" w:cs="Times New Roman"/>
        </w:rPr>
        <w:t xml:space="preserve"> OR </w:t>
      </w:r>
      <w:proofErr w:type="spellStart"/>
      <w:proofErr w:type="gramStart"/>
      <w:r w:rsidRPr="00092549">
        <w:rPr>
          <w:rFonts w:ascii="Aptos" w:hAnsi="Aptos" w:cs="Times New Roman"/>
        </w:rPr>
        <w:t>smr:ti</w:t>
      </w:r>
      <w:proofErr w:type="gramEnd"/>
      <w:r w:rsidRPr="00092549">
        <w:rPr>
          <w:rFonts w:ascii="Aptos" w:hAnsi="Aptos" w:cs="Times New Roman"/>
        </w:rPr>
        <w:t>,ab</w:t>
      </w:r>
      <w:proofErr w:type="spellEnd"/>
      <w:r w:rsidRPr="00092549">
        <w:rPr>
          <w:rFonts w:ascii="Aptos" w:hAnsi="Aptos" w:cs="Times New Roman"/>
        </w:rPr>
        <w:t xml:space="preserve"> OR </w:t>
      </w:r>
      <w:proofErr w:type="spellStart"/>
      <w:proofErr w:type="gramStart"/>
      <w:r w:rsidRPr="00092549">
        <w:rPr>
          <w:rFonts w:ascii="Aptos" w:hAnsi="Aptos" w:cs="Times New Roman"/>
        </w:rPr>
        <w:t>survival:ti</w:t>
      </w:r>
      <w:proofErr w:type="gramEnd"/>
      <w:r w:rsidRPr="00092549">
        <w:rPr>
          <w:rFonts w:ascii="Aptos" w:hAnsi="Aptos" w:cs="Times New Roman"/>
        </w:rPr>
        <w:t>,ab</w:t>
      </w:r>
      <w:proofErr w:type="spellEnd"/>
      <w:r w:rsidRPr="00092549">
        <w:rPr>
          <w:rFonts w:ascii="Aptos" w:hAnsi="Aptos" w:cs="Times New Roman"/>
        </w:rPr>
        <w:t>)</w:t>
      </w:r>
    </w:p>
    <w:p w14:paraId="355A1BFD" w14:textId="77777777" w:rsidR="00330C1A" w:rsidRPr="00092549" w:rsidRDefault="00330C1A" w:rsidP="00330C1A">
      <w:pPr>
        <w:rPr>
          <w:rFonts w:ascii="Aptos" w:hAnsi="Aptos" w:cs="Times New Roman"/>
        </w:rPr>
      </w:pPr>
    </w:p>
    <w:p w14:paraId="5CF08A81" w14:textId="77777777" w:rsidR="00330C1A" w:rsidRPr="00092549" w:rsidRDefault="00330C1A" w:rsidP="00330C1A">
      <w:pPr>
        <w:rPr>
          <w:rFonts w:ascii="Aptos" w:hAnsi="Aptos" w:cs="Times New Roman"/>
          <w:b/>
          <w:bCs/>
        </w:rPr>
      </w:pPr>
      <w:r w:rsidRPr="00092549">
        <w:rPr>
          <w:rFonts w:ascii="Aptos" w:hAnsi="Aptos" w:cs="Times New Roman"/>
          <w:b/>
          <w:bCs/>
        </w:rPr>
        <w:t xml:space="preserve">Web of Science (Core Collection) </w:t>
      </w:r>
    </w:p>
    <w:p w14:paraId="12FE6FA7" w14:textId="77777777" w:rsidR="00330C1A" w:rsidRPr="00092549" w:rsidRDefault="00330C1A" w:rsidP="00330C1A">
      <w:pPr>
        <w:rPr>
          <w:rFonts w:ascii="Aptos" w:hAnsi="Aptos" w:cs="Times New Roman"/>
        </w:rPr>
      </w:pPr>
      <w:r w:rsidRPr="00092549">
        <w:rPr>
          <w:rFonts w:ascii="Aptos" w:hAnsi="Aptos" w:cs="Times New Roman"/>
        </w:rPr>
        <w:lastRenderedPageBreak/>
        <w:t>TS</w:t>
      </w:r>
      <w:proofErr w:type="gramStart"/>
      <w:r w:rsidRPr="00092549">
        <w:rPr>
          <w:rFonts w:ascii="Aptos" w:hAnsi="Aptos" w:cs="Times New Roman"/>
        </w:rPr>
        <w:t>=(</w:t>
      </w:r>
      <w:proofErr w:type="gramEnd"/>
      <w:r w:rsidRPr="00092549">
        <w:rPr>
          <w:rFonts w:ascii="Aptos" w:hAnsi="Aptos" w:cs="Times New Roman"/>
        </w:rPr>
        <w:t>ADHD OR "attention-deficit/hyperactivity" OR "attention deficit hyperactivity" OR hyperkinetic)</w:t>
      </w:r>
    </w:p>
    <w:p w14:paraId="460E05A7" w14:textId="77777777" w:rsidR="00330C1A" w:rsidRPr="00092549" w:rsidRDefault="00330C1A" w:rsidP="00330C1A">
      <w:pPr>
        <w:rPr>
          <w:rFonts w:ascii="Aptos" w:hAnsi="Aptos" w:cs="Times New Roman"/>
        </w:rPr>
      </w:pPr>
      <w:r w:rsidRPr="00092549">
        <w:rPr>
          <w:rFonts w:ascii="Aptos" w:hAnsi="Aptos" w:cs="Times New Roman"/>
        </w:rPr>
        <w:t>AND</w:t>
      </w:r>
    </w:p>
    <w:p w14:paraId="22FBA30C" w14:textId="77777777" w:rsidR="00330C1A" w:rsidRPr="00092549" w:rsidRDefault="00330C1A" w:rsidP="00330C1A">
      <w:pPr>
        <w:rPr>
          <w:rFonts w:ascii="Aptos" w:hAnsi="Aptos" w:cs="Times New Roman"/>
        </w:rPr>
      </w:pPr>
      <w:r w:rsidRPr="00092549">
        <w:rPr>
          <w:rFonts w:ascii="Aptos" w:hAnsi="Aptos" w:cs="Times New Roman"/>
        </w:rPr>
        <w:t>TS</w:t>
      </w:r>
      <w:proofErr w:type="gramStart"/>
      <w:r w:rsidRPr="00092549">
        <w:rPr>
          <w:rFonts w:ascii="Aptos" w:hAnsi="Aptos" w:cs="Times New Roman"/>
        </w:rPr>
        <w:t>=(</w:t>
      </w:r>
      <w:proofErr w:type="gramEnd"/>
      <w:r w:rsidRPr="00092549">
        <w:rPr>
          <w:rFonts w:ascii="Aptos" w:hAnsi="Aptos" w:cs="Times New Roman"/>
        </w:rPr>
        <w:t xml:space="preserve">mortality OR death* OR </w:t>
      </w:r>
      <w:proofErr w:type="spellStart"/>
      <w:r w:rsidRPr="00092549">
        <w:rPr>
          <w:rFonts w:ascii="Aptos" w:hAnsi="Aptos" w:cs="Times New Roman"/>
        </w:rPr>
        <w:t>fatalit</w:t>
      </w:r>
      <w:proofErr w:type="spellEnd"/>
      <w:r w:rsidRPr="00092549">
        <w:rPr>
          <w:rFonts w:ascii="Aptos" w:hAnsi="Aptos" w:cs="Times New Roman"/>
        </w:rPr>
        <w:t>* OR "all-cause" OR "cause-specific" OR "standardized mortality ratio" OR SMR OR survival)</w:t>
      </w:r>
    </w:p>
    <w:p w14:paraId="2AAAD2DC" w14:textId="77777777" w:rsidR="00330C1A" w:rsidRPr="00092549" w:rsidRDefault="00330C1A">
      <w:pPr>
        <w:rPr>
          <w:rFonts w:ascii="Aptos" w:hAnsi="Aptos" w:cs="Times New Roman"/>
        </w:rPr>
      </w:pPr>
    </w:p>
    <w:p w14:paraId="7668110B" w14:textId="77777777" w:rsidR="00857EC8" w:rsidRPr="00092549" w:rsidRDefault="00C13E5D" w:rsidP="00C606D5">
      <w:pPr>
        <w:pageBreakBefore/>
        <w:rPr>
          <w:rFonts w:ascii="Aptos" w:hAnsi="Aptos" w:cs="Times New Roman"/>
        </w:rPr>
      </w:pPr>
      <w:r w:rsidRPr="00092549">
        <w:rPr>
          <w:rFonts w:ascii="Aptos" w:hAnsi="Aptos" w:cs="Times New Roman"/>
          <w:b/>
          <w:bCs/>
        </w:rPr>
        <w:lastRenderedPageBreak/>
        <w:t xml:space="preserve">Result S1. </w:t>
      </w:r>
      <w:r w:rsidR="00CD175F" w:rsidRPr="00092549">
        <w:rPr>
          <w:rFonts w:ascii="Aptos" w:hAnsi="Aptos" w:cs="Times New Roman"/>
        </w:rPr>
        <w:t>Reasons for exclusion of studies at the full-t</w:t>
      </w:r>
      <w:r w:rsidR="00036AC2" w:rsidRPr="00092549">
        <w:rPr>
          <w:rFonts w:ascii="Aptos" w:hAnsi="Aptos" w:cs="Times New Roman"/>
        </w:rPr>
        <w:t>ext</w:t>
      </w:r>
      <w:r w:rsidR="00CD175F" w:rsidRPr="00092549">
        <w:rPr>
          <w:rFonts w:ascii="Aptos" w:hAnsi="Aptos" w:cs="Times New Roman"/>
        </w:rPr>
        <w:t xml:space="preserve"> screening stage</w:t>
      </w:r>
    </w:p>
    <w:p w14:paraId="1162CC02" w14:textId="77777777" w:rsidR="00C13E5D" w:rsidRPr="00092549" w:rsidRDefault="00C13E5D" w:rsidP="00C13E5D">
      <w:pPr>
        <w:rPr>
          <w:rFonts w:ascii="Aptos" w:hAnsi="Aptos" w:cs="Times New Roman"/>
        </w:rPr>
      </w:pPr>
      <w:r w:rsidRPr="00092549">
        <w:rPr>
          <w:rFonts w:ascii="Aptos" w:hAnsi="Aptos" w:cs="Times New Roman"/>
        </w:rPr>
        <w:t xml:space="preserve">Wrong study design </w:t>
      </w:r>
      <w:r w:rsidRPr="00092549">
        <w:rPr>
          <w:rFonts w:ascii="Aptos" w:hAnsi="Aptos" w:cs="Times New Roman"/>
        </w:rPr>
        <w:fldChar w:fldCharType="begin"/>
      </w:r>
      <w:r w:rsidRPr="00092549">
        <w:rPr>
          <w:rFonts w:ascii="Aptos" w:hAnsi="Aptos" w:cs="Times New Roman"/>
        </w:rPr>
        <w:instrText xml:space="preserve"> ADDIN ZOTERO_ITEM CSL_CITATION {"citationID":"i87WEpVv","properties":{"formattedCitation":"\\super 1\\nosupersub{}","plainCitation":"1","noteIndex":0},"citationItems":[{"id":29189,"uris":["http://zotero.org/users/15014396/items/TJCFQ8QA"],"itemData":{"id":29189,"type":"article-journal","abstract":"Attention deficit/hyperactivity disorder (ADHD) is a neurodevelopmental disorder that persists into older adulthood with important implications for healthy ageing. Previous research documents significant disparities for children and adolescents with ADHD compared to their neurotypical peers on various social determinants of health. Critically, previous research reports a significantly higher risk for mortality in adults with ADHD followed since childhood. The literature on health outcomes of older adults with ADHD is sparse. Therefore, the purpose of this research was to examine social determinants of health and risk for mortality associated with ADHD symptoms in a sample of older adults. Participants from the Longitudinal Aging Study Amsterdam (n= 986) were screened for childhood and current ADHD symptoms in 2008/2009 and followed until death or most recent assessment (August, 2021). Based on symptoms reported currently and evidence of childhood onset, participants were assigned to either an ADHD symptom (ADHD-sx) group (n= 147) or a non-ADHD group (n= 839). Survival analysis revealed no significant risk for mortality associated with ADHD-sx (HR:.90, 95% CI [.63, 1.29], p=.58). Furthermore, although older adults with ADHD-sx reported more chronic health conditions (p &amp;lt;.001), group differences were not observed in terms of income (p=.49), education (p=.95), social participation (p=.63) or occupational attainment (p=.94). These results suggest that selection and survival bias are important considerations when studying older adults with neurodevelopmental disorders. Future directions for research on ADHD in healthy ageing are presented.","container-title":"Innovation in Aging","DOI":"10.1093/geroni/igae098.3848","ISSN":"2399-5300","issue":"Supplement_1","journalAbbreviation":"Innov Aging","page":"1202","source":"Silverchair","title":"HEALTH OUTCOMES AND RISK FOR MORTALITY IN OLDER ADULTS WITH ATTENTION DEFICIT/HYPERACTIVITY DISORDER SYMPTOMS","volume":"8","author":[{"family":"Cooper","given":"Tara"},{"family":"Piccinin","given":"Andrea"}],"issued":{"date-parts":[["2024",12,1]]}}}],"schema":"https://github.com/citation-style-language/schema/raw/master/csl-citation.json"}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1</w:t>
      </w:r>
      <w:r w:rsidRPr="00092549">
        <w:rPr>
          <w:rFonts w:ascii="Aptos" w:hAnsi="Aptos" w:cs="Times New Roman"/>
        </w:rPr>
        <w:fldChar w:fldCharType="end"/>
      </w:r>
    </w:p>
    <w:p w14:paraId="163929B1" w14:textId="77777777" w:rsidR="00C13E5D" w:rsidRPr="00092549" w:rsidRDefault="00C13E5D" w:rsidP="00C13E5D">
      <w:pPr>
        <w:rPr>
          <w:rFonts w:ascii="Aptos" w:hAnsi="Aptos" w:cs="Times New Roman"/>
        </w:rPr>
      </w:pPr>
      <w:r w:rsidRPr="00092549">
        <w:rPr>
          <w:rFonts w:ascii="Aptos" w:hAnsi="Aptos" w:cs="Times New Roman"/>
        </w:rPr>
        <w:t>Wrong publication type</w:t>
      </w:r>
      <w:r w:rsidR="00D72B64" w:rsidRPr="00092549">
        <w:rPr>
          <w:rFonts w:ascii="Aptos" w:hAnsi="Aptos" w:cs="Times New Roman"/>
        </w:rPr>
        <w:t xml:space="preserve"> </w:t>
      </w:r>
      <w:r w:rsidRPr="00092549">
        <w:rPr>
          <w:rFonts w:ascii="Aptos" w:hAnsi="Aptos" w:cs="Times New Roman"/>
        </w:rPr>
        <w:fldChar w:fldCharType="begin"/>
      </w:r>
      <w:r w:rsidRPr="00092549">
        <w:rPr>
          <w:rFonts w:ascii="Aptos" w:hAnsi="Aptos" w:cs="Times New Roman"/>
        </w:rPr>
        <w:instrText xml:space="preserve"> ADDIN ZOTERO_ITEM CSL_CITATION {"citationID":"OPT52ms6","properties":{"formattedCitation":"\\super 2\\nosupersub{}","plainCitation":"2","noteIndex":0},"citationItems":[{"id":29195,"uris":["http://zotero.org/users/15014396/items/DVQE6KTB"],"itemData":{"id":29195,"type":"article-journal","abstract":"The Global Burden of Disease (GBD) study uses Years of Life Lost (YLLs) to quantify premature mortality. This is a useful metric from many perspectives, however because GBD acknowledges only a small number of mental disorders as causes of death (CoDs), the true impact of mental disorders on premature mortality is underestimated. Recently, methods have been introduced that compare people with a disorder to the general population by estimating Life Years Lost (LYLs). The aim of this study was to present register-based estimates of both YLLs and LYLs related to mental disorders.We used nationwide registers to examine a cohort of all 6,989,627 people aged 0–94 years living in Denmark in 2000–2015. Using the GBD approved set of mental health-related CoDs (eating disorders, drug use disorders, alcohol use disorder and suicide), YLLs were estimated. In addition, we calculated all-cause and cause-specific differences in life expectancy after a mental disorder diagnosis as excess LYLs between those with a specific mental disorder and the age- and sex-matched general Danish population. The disorders of interest were alcohol use disorder, drug use disorders, schizophrenia, bipolar disorders, depressive disorders, anxiety disorders, eating disorders, personality disorders, developmental intellectual disability, autism spectrum disorders, ADHD and conduct disorder. Excess LYLs related to counts of comorbid mental disorders were also examined (i.e. those diagnosed with at least two, three or four disorders).Alcohol use disorder and suicide were the leading causes of YLLs (alcohol use disorder: Men 568.7 YLLs, women 155.5 YLLs per 100,000 person-years; suicide: Men 590.1 YLLs, women 202.3 YLLs per 100,000 person-years). However, all mental disorders were associated with shorter life expectancies using LYLs. Men and women diagnosed with any mental disorder had 11.22 (95% CI 11.09; 11.35) and 7.89 (95% CI 7.76; 8.01) years shorter life expectancies respectively, and the difference increased in those with comorbid mental disorders. Drug use disorders were associated with the largest excess LYLs (17.99 (95% CI 17.49; 18.53) in men and 15.29 (95% CI 14.70; 15.88) in women), however common disorders such as depressive disorders and anxiety disorders were also associated with substantive premature mortality (e.g. in men, 8.27 and 7.52 LYLs, respectively). Schizophrenia was associated with 13.80 (95% CI 13.47; 14.14) excess LYLs in men and 11.77 (95% CI 11.38; 12.13) in women.Register-based studies allow the calculation of precise individual YLLs and LYLs. The novel LYL metric seems to better capture the true impact of mental disorders on premature mortality and also facilitates the exploration of comorbidity and specific CoDs in those with mental disorders.","container-title":"Schizophrenia Bulletin","DOI":"10.1093/schbul/sbaa031.196","ISSN":"0586-7614","issue":"Supplement_1","journalAbbreviation":"Schizophr Bull","page":"S84-S85","source":"Silverchair","title":"S130. ALTERNATIVE METRICS TO QUANTIFY PREMATURE MORTALITY IN MENTAL DISORDERS. A POPULATION-BASED COHORT STUDY","volume":"46","author":[{"family":"Weye","given":"Nanna"},{"family":"Momen","given":"Natalie"},{"family":"Christensen","given":"Maria"},{"family":"Iburg","given":"Kim"},{"literal":"NBP Health Metrics Collaborators"},{"family":"McGrath","given":"John"},{"family":"Plana-Ripoll","given":"Oleguer"}],"issued":{"date-parts":[["2020",5,18]]}}}],"schema":"https://github.com/citation-style-language/schema/raw/master/csl-citation.json"}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2</w:t>
      </w:r>
      <w:r w:rsidRPr="00092549">
        <w:rPr>
          <w:rFonts w:ascii="Aptos" w:hAnsi="Aptos" w:cs="Times New Roman"/>
        </w:rPr>
        <w:fldChar w:fldCharType="end"/>
      </w:r>
    </w:p>
    <w:p w14:paraId="2A013149" w14:textId="77777777" w:rsidR="00C13E5D" w:rsidRPr="00092549" w:rsidRDefault="00C13E5D" w:rsidP="00C13E5D">
      <w:pPr>
        <w:rPr>
          <w:rFonts w:ascii="Aptos" w:hAnsi="Aptos" w:cs="Times New Roman"/>
        </w:rPr>
      </w:pPr>
      <w:r w:rsidRPr="00092549">
        <w:rPr>
          <w:rFonts w:ascii="Aptos" w:hAnsi="Aptos" w:cs="Times New Roman"/>
        </w:rPr>
        <w:t>Wrong study design</w:t>
      </w:r>
      <w:r w:rsidR="00D72B64" w:rsidRPr="00092549">
        <w:rPr>
          <w:rFonts w:ascii="Aptos" w:hAnsi="Aptos" w:cs="Times New Roman"/>
        </w:rPr>
        <w:t xml:space="preserve">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{"citationID":"4b1keVGc","properties":{"formattedCitation":"\\super 3\\nosupersub{}","plainCitation":"3","noteIndex":0},"citationItems":[{"id":29198,"uris":["http://zotero.org/users/15014396/items/CBGSHXDX"],"itemData":{"id":29198,"type":"article-journal","abstract":"PURPOSE OF REVIEW: The increasing prevalence of attention deficit hyperactivity disorder (ADHD) makes it important to study the cardiovascular implications of this disease and the drugs used to treat it. As more patients are diagnosed with ADHD across the world and these medications are prescribed more, it is imperative to understand the cardiovascular risk profile associated with these medications. This narrative review will highlight the importance of considering cardiovascular risk factors inherent to ADHD and the medications currently used to treat it.\nRECENT FINDINGS: Chronic sympathetic activation as caused by ADHD therapies has numerous effects on the cardiovascular system including an increase in blood pressure and heart rate. These changes could potentially lead to heart failure, arrythmias or even sudden cardiac death. While a few studies that have shown no correlation between ADHD medications and cardiovascular effects, current guidelines recommend a thorough assessment prior to initiating treatment and periodic monitoring during treatment.","container-title":"Current Cardiology Reports","DOI":"10.1007/s11886-025-02223-w","ISSN":"1534-3170","issue":"1","journalAbbreviation":"Curr Cardiol Rep","language":"eng","page":"80","PMID":"40192901","source":"PubMed","title":"Cardiovascular Risk Associated with the Treatment of Attention-Deficit/Hyperactivity Disorder in Adults","volume":"27","author":[{"family":"Kothari","given":"Aditi"},{"family":"Aparece","given":"John Paul"},{"family":"Del Toro Mijares","given":"Raul"}],"issued":{"date-parts":[["2025",4,7]]}}}],"schema":"https://github.com/citation-style-language/schema/raw/master/csl-citation.json"}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3</w:t>
      </w:r>
      <w:r w:rsidRPr="00092549">
        <w:rPr>
          <w:rFonts w:ascii="Aptos" w:hAnsi="Aptos" w:cs="Times New Roman"/>
        </w:rPr>
        <w:fldChar w:fldCharType="end"/>
      </w:r>
    </w:p>
    <w:p w14:paraId="0ACC8A06" w14:textId="77777777" w:rsidR="00C13E5D" w:rsidRPr="00092549" w:rsidRDefault="00C13E5D" w:rsidP="00C13E5D">
      <w:pPr>
        <w:rPr>
          <w:rFonts w:ascii="Aptos" w:hAnsi="Aptos" w:cs="Times New Roman"/>
        </w:rPr>
      </w:pPr>
      <w:r w:rsidRPr="00092549">
        <w:rPr>
          <w:rFonts w:ascii="Aptos" w:hAnsi="Aptos" w:cs="Times New Roman"/>
        </w:rPr>
        <w:t xml:space="preserve">Wrong population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{"citationID":"ozPccAra","properties":{"formattedCitation":"\\super 4\\nosupersub{}","plainCitation":"4","noteIndex":0},"citationItems":[{"id":29200,"uris":["http://zotero.org/users/15014396/items/E549CQTC"],"itemData":{"id":29200,"type":"article-journal","abstract":"Disruptive behavior disorders (DBDs), inclusive of oppositional defiant disorder (ODD) and conduct disorder (CD), are associated with outcomes likely to increase risk of mortality. Using Danish National Registers, a total of 1.92 million individuals including 9495 individuals with DBDs diagnosed by specialist services were followed from their first birthday to 2013. Those with and without DBDs were compared using mortality rate ratios (MRRs) estimated using Poisson regression and adjusted for calendar period, age, sex, family history of psychiatric disorders, maternal age at time of birth, paternal age at time of birth, parental education status, and parental employment status. Over the course of follow up, which totalled 24.9 million person-years, 5580 cohort members died including 78 individuals with DBDs. The mortality rate per 10,000 person-years was 9.66 for individuals with DBDs compared to 2.22 for those with no diagnosis. This corresponded to a fully adjusted MRR of 2.57 (95% confidence interval 2.04-3.20). Comorbid substance use disorder and attention-deficit/hyperactivity disorder resulted in the highest MRR across all categories. These findings demonstrate the excess mortality associated with DBDs.","container-title":"Psychiatry Research","DOI":"10.1016/j.psychres.2017.02.029","ISSN":"1872-7123","journalAbbreviation":"Psychiatry Res","language":"eng","page":"255-260","PMID":"28219025","source":"PubMed","title":"Mortality in individuals with disruptive behavior disorders diagnosed by specialist services - A nationwide cohort study","volume":"251","author":[{"family":"Scott","given":"James G."},{"family":"Giørtz Pedersen","given":"Marianne"},{"family":"Erskine","given":"Holly E."},{"family":"Bikic","given":"Aida"},{"family":"Demontis","given":"Ditte"},{"family":"McGrath","given":"John J."},{"family":"Dalsgaard","given":"Søren"}],"issued":{"date-parts":[["2017",5]]}}}],"schema":"https://github.com/citation-style-language/schema/raw/master/csl-citation.json"}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4</w:t>
      </w:r>
      <w:r w:rsidRPr="00092549">
        <w:rPr>
          <w:rFonts w:ascii="Aptos" w:hAnsi="Aptos" w:cs="Times New Roman"/>
        </w:rPr>
        <w:fldChar w:fldCharType="end"/>
      </w:r>
    </w:p>
    <w:p w14:paraId="63D7CD1D" w14:textId="77777777" w:rsidR="00C13E5D" w:rsidRPr="00092549" w:rsidRDefault="00C13E5D" w:rsidP="00C13E5D">
      <w:pPr>
        <w:rPr>
          <w:rFonts w:ascii="Aptos" w:hAnsi="Aptos" w:cs="Times New Roman"/>
        </w:rPr>
      </w:pPr>
      <w:r w:rsidRPr="00092549">
        <w:rPr>
          <w:rFonts w:ascii="Aptos" w:hAnsi="Aptos" w:cs="Times New Roman"/>
        </w:rPr>
        <w:t xml:space="preserve">Wrong publication type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{"citationID":"N8OUmR37","properties":{"formattedCitation":"\\super 5\\nosupersub{}","plainCitation":"5","noteIndex":0},"citationItems":[{"id":29203,"uris":["http://zotero.org/users/15014396/items/XB4IQ5EC"],"itemData":{"id":29203,"type":"article-journal","container-title":"Attention Deficit and Hyperactivity Disorders","DOI":"10.1007/s12402-015-0169-y","ISSN":"1866-6647","journalAbbreviation":"Atten Defic Hyperact Disord","language":"eng","page":"1-119","PMID":"25952292","source":"PubMed","title":"5th World Congress on ADHD: From Child to Adult Disorder 28-31 May 2015 · Glasgow · Scotland Editors: Manfred Gerlach, Würzburg, Germany Peter Riederer, Würzburg, Germany Luis A. Rohde, Porto Alegre, Brazil Andreas Warnke, Würzburg, Germany","title-short":"5th World Congress on ADHD","volume":"7 Suppl 1","issued":{"date-parts":[["2015",5]]}}}],"schema":"https://github.com/citation-style-language/schema/raw/master/csl-citation.json"}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5</w:t>
      </w:r>
      <w:r w:rsidRPr="00092549">
        <w:rPr>
          <w:rFonts w:ascii="Aptos" w:hAnsi="Aptos" w:cs="Times New Roman"/>
        </w:rPr>
        <w:fldChar w:fldCharType="end"/>
      </w:r>
    </w:p>
    <w:p w14:paraId="68E4AF91" w14:textId="77777777" w:rsidR="00C13E5D" w:rsidRPr="00092549" w:rsidRDefault="00C13E5D" w:rsidP="00C13E5D">
      <w:pPr>
        <w:rPr>
          <w:rFonts w:ascii="Aptos" w:hAnsi="Aptos" w:cs="Times New Roman"/>
        </w:rPr>
      </w:pPr>
      <w:r w:rsidRPr="00092549">
        <w:rPr>
          <w:rFonts w:ascii="Aptos" w:hAnsi="Aptos" w:cs="Times New Roman"/>
        </w:rPr>
        <w:t xml:space="preserve">Repetition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{"citationID":"YCsKIp5o","properties":{"formattedCitation":"\\super 6\\nosupersub{}","plainCitation":"6","noteIndex":0},"citationItems":[{"id":29205,"uris":["http://zotero.org/users/15014396/items/UKF36YIW"],"itemData":{"id":29205,"type":"article-journal","abstract":"This study examines the relationship between self-reported ADHD and adult mortality over a four-year period, and whether ADHD is associated with underlying cause of death (accidents versus all others). If ADHD increases mortality risk through accidents, then interventions may be designed and implemented to reduce risk and prevent premature death. We estimate descriptive statistics and multivariate logistic regression models using data from the 2007 U.S. National Health Interview Survey (NHIS) Sample Adult File linked to National Death Index (NDI) data through 2011 (N=23,352). Analyses are weighted and standard errors are adjusted for the complex sampling design. We find that the odds of dying are significantly higher among those with ADHD than among those without ADHD net of exogenous sociodemographic controls (adjusted odds ratio=1.78, 95% confidence interval=1.01, 3.12). Although marginally non-significant, accidental death is more common among those with ADHD than among those without ADHD (13.2% versus 4.3%, p=0.052). Few population-representative studies examine the relationship between ADHD and adult mortality due to data limitations. Using NHIS data linked to the NDI, we are only able to observe a few deaths among adults with ADHD. However, ADHD is associated with significantly higher odds of dying for adults and results suggest that accidents may be an underlying cause of death more often for decedents with ADHD. Future research should further examine the mechanisms linking ADHD to adult mortality and the extent to which mortality among persons with ADHD is preventable. Regular measurement of ADHD among adults in the NHIS is warranted.","container-title":"Preventive Medicine","DOI":"10.1016/j.ypmed.2016.06.021","ISSN":"1096-0260","journalAbbreviation":"Prev Med","language":"eng","page":"8-10","PMID":"27343403","source":"PubMed","title":"Attention Deficit Hyperactivity Disorder and adult mortality","volume":"90","author":[{"family":"London","given":"Andrew S."},{"family":"Landes","given":"Scott D."}],"issued":{"date-parts":[["2016",9]]}}}],"schema":"https://github.com/citation-style-language/schema/raw/master/csl-citation.json"}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6</w:t>
      </w:r>
      <w:r w:rsidRPr="00092549">
        <w:rPr>
          <w:rFonts w:ascii="Aptos" w:hAnsi="Aptos" w:cs="Times New Roman"/>
        </w:rPr>
        <w:fldChar w:fldCharType="end"/>
      </w:r>
    </w:p>
    <w:p w14:paraId="28304C4E" w14:textId="77777777" w:rsidR="00C13E5D" w:rsidRPr="00092549" w:rsidRDefault="00C13E5D" w:rsidP="00C13E5D">
      <w:pPr>
        <w:rPr>
          <w:rFonts w:ascii="Aptos" w:hAnsi="Aptos" w:cs="Times New Roman"/>
        </w:rPr>
      </w:pPr>
      <w:r w:rsidRPr="00092549">
        <w:rPr>
          <w:rFonts w:ascii="Aptos" w:hAnsi="Aptos" w:cs="Times New Roman"/>
        </w:rPr>
        <w:t xml:space="preserve">Wrong outcome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{"citationID":"QpKYIKa8","properties":{"formattedCitation":"\\super 7\\nosupersub{}","plainCitation":"7","noteIndex":0},"citationItems":[{"id":29207,"uris":["http://zotero.org/users/15014396/items/KPYS697V"],"itemData":{"id":29207,"type":"article-journal","abstract":"Examine the hospital admission risk in young children who are subsequently diagnosed with attention deficit hyperactivity disorder (ADHD). We conducted a population-based, record linkage study. Records of all non-Aboriginal children under 18 years who met the DSMIV/ICD10 criteria for ADHD and prescribed stimulant medication in Western Australia between 2003 and 2007 (n = 11,902) were linked to two other health data systems-the hospital morbidity data system and the midwives notification system (MNS). The non-ADHD reference population (n = 27,304) was randomly selected from the MNS. Compared with controls, children under 4 years who subsequently were diagnosed and treated for ADHD were 70% [odds ratio (OR) 1.70; 95% confidence intervals (CI) 1.62-1.77] more likely to be admitted to hospital under 4 years of age. There was an increased risk for injury or poison (OR 1.73; 95% CI 1.59-1.88), respiratory disease (OR 1.49; 95% CI 1.40-1.59), ear disease (OR 2.03; 95% CI 1.86-2.21), infectious diseases (OR 1.68; 95% CI 1.53-1.85) and neurological conditions (OR 2.03; 95% CI 1.68-2.44). Admissions under 4 years of age for head injuries, burns, poisons, all other injuries, diseases of the tonsils and adenoids, asthma and early infections were all more common amongst children subsequently diagnosed with and treated for ADHD. There is significant early hospital morbidity for children subsequently diagnosed with ADHD. Multiple aetiologies and causal pathways need to be considered where some of these may include early infections, inflammatory conditions, epilepsy and injuries. Future studies should look at which of these conditions may be on the causal pathway or likely early markers for ADHD.","container-title":"European Child &amp; Adolescent Psychiatry","DOI":"10.1007/s00787-014-0545-8","ISSN":"1435-165X","issue":"11","journalAbbreviation":"Eur Child Adolesc Psychiatry","language":"eng","page":"1043-1050","PMID":"24770488","source":"PubMed","title":"Children diagnosed with attention deficit disorder and their hospitalisations: population data linkage study","title-short":"Children diagnosed with attention deficit disorder and their hospitalisations","volume":"23","author":[{"family":"Silva","given":"Desiree"},{"family":"Colvin","given":"Lyn"},{"family":"Hagemann","given":"Erika"},{"family":"Stanley","given":"Fiona"},{"family":"Bower","given":"Carol"}],"issued":{"date-parts":[["2014",11]]}}}],"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7</w:t>
      </w:r>
      <w:r w:rsidRPr="00092549">
        <w:rPr>
          <w:rFonts w:ascii="Aptos" w:hAnsi="Aptos" w:cs="Times New Roman"/>
        </w:rPr>
        <w:fldChar w:fldCharType="end"/>
      </w:r>
    </w:p>
    <w:p w14:paraId="5FEC2520" w14:textId="77777777" w:rsidR="00C13E5D" w:rsidRPr="00092549" w:rsidRDefault="00C13E5D" w:rsidP="00C13E5D">
      <w:pPr>
        <w:rPr>
          <w:rFonts w:ascii="Aptos" w:hAnsi="Aptos" w:cs="Times New Roman"/>
        </w:rPr>
      </w:pPr>
      <w:r w:rsidRPr="00092549">
        <w:rPr>
          <w:rFonts w:ascii="Aptos" w:hAnsi="Aptos" w:cs="Times New Roman"/>
        </w:rPr>
        <w:t xml:space="preserve">Overlapping population </w:t>
      </w:r>
      <w:r w:rsidRPr="008E5DCE">
        <w:rPr>
          <w:rFonts w:ascii="Aptos" w:hAnsi="Aptos" w:cs="Times New Roman"/>
          <w:vertAlign w:val="superscript"/>
        </w:rPr>
        <w:t>8</w:t>
      </w:r>
      <w:r w:rsidRPr="00092549">
        <w:rPr>
          <w:rFonts w:ascii="Aptos" w:hAnsi="Aptos" w:cs="Times New Roman"/>
        </w:rPr>
        <w:t xml:space="preserve">: Excluded in favor of Chen et al. (2019), which used overlapping Taiwan National Health Insurance data and reported sequential adjustment models directly relevant to the </w:t>
      </w:r>
      <w:proofErr w:type="spellStart"/>
      <w:r w:rsidRPr="00092549">
        <w:rPr>
          <w:rFonts w:ascii="Aptos" w:hAnsi="Aptos" w:cs="Times New Roman"/>
        </w:rPr>
        <w:t>estimand</w:t>
      </w:r>
      <w:proofErr w:type="spellEnd"/>
      <w:r w:rsidRPr="00092549">
        <w:rPr>
          <w:rFonts w:ascii="Aptos" w:hAnsi="Aptos" w:cs="Times New Roman"/>
        </w:rPr>
        <w:t>-aware review question.</w:t>
      </w:r>
    </w:p>
    <w:p w14:paraId="01591FD6" w14:textId="77777777" w:rsidR="00C13E5D" w:rsidRPr="00092549" w:rsidRDefault="00D72B64" w:rsidP="00C13E5D">
      <w:pPr>
        <w:rPr>
          <w:rFonts w:ascii="Aptos" w:hAnsi="Aptos" w:cs="Times New Roman"/>
        </w:rPr>
      </w:pPr>
      <w:r w:rsidRPr="00092549">
        <w:rPr>
          <w:rFonts w:ascii="Aptos" w:hAnsi="Aptos" w:cs="Times New Roman"/>
        </w:rPr>
        <w:t xml:space="preserve">Repetition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{"citationID":"GGz5mxPC","properties":{"formattedCitation":"\\super 9\\nosupersub{}","plainCitation":"9","noteIndex":0},"citationItems":[{"id":29212,"uris":["http://zotero.org/users/15014396/items/XHRHKSZ9"],"itemData":{"id":29212,"type":"article-journal","abstract":"OBJECTIVE: The purpose of this study was to investigate whether individuals with attention deficit-hyperactivity disorder (ADHD) followed up to age 40 have a higher mortality, more involvement in criminal behavior, increased traffic accidents, and frequency or registered violations against traffic rules or whether they have been more frequently victims to crimes.\nMETHODS: The ADHD cohort (N = 122) born in 1971-1974 was isolated at the age of 9 years from the base cohort of 865 children who had known risk factors at birth and were still alive at the age of 5 years. Ninety-four healthy individuals born during the same years served as control subjects. None of the individuals with ADHD had used psychostimulants before their adolescence. The follow-up data were available from the newborn period until the ages of 5 and 9 years. At the ages of 16 and 30, the data were collected via questionnaire. For this study, the national police registers (last 5 years) were examined for traffic violations, crimes, or being an object of a criminal act when the persons reached the age of 40 years.\nRESULTS: Ten men and one woman with ADHD but none of the controls had died by the age of 40. Three died of disease-related incidents, and 8 (13%) died of abnormal causes such as suicide (3), traffic accident (2), substance abuse (2), or violence (1). During the follow-up period, individuals with ADHD had been involved in violent behavior or economic criminality more frequently than the control subjects. They were also more commonly victims of criminal acts. No difference was found in traffic citations between those with ADHD and control subjects (at 35-40 years) when all traffic crimes were considered. A difference was not observed in the frequency of traffic accidents. However, there was a significant difference in drunk driving (at the ages of 30 and 35-40) and the number of persons without a driver's license.\nDISCUSSION: Subjects with ADHD showed an elevated risk of being involved in criminality and had a higher risk of dying before the age of 40 years. The early detection of ADHD in childhood and appropriate treatments and family support may decrease criminality and save both money and human distress.","container-title":"Traffic Injury Prevention","DOI":"10.1080/15389588.2015.1029068","ISSN":"1538-957X","issue":"8","journalAbbreviation":"Traffic Inj Prev","language":"eng","page":"824-830","PMID":"25837647","source":"PubMed","title":"Traffic and Criminal Behavior of Adults with Attention Deficit-Hyperactivity with a Prospective Follow-Up from Birth to the Age of 40 Years","volume":"16","author":[{"family":"Koisaari","given":"Tapio"},{"family":"Michelsson","given":"Katarina"},{"family":"Holopainen","given":"Juha M."},{"family":"Maksimainen","given":"Risto"},{"family":"Päivänsalo","given":"Jussi"},{"family":"Rantala","given":"Kari"},{"family":"Tervo","given":"Timo"}],"issued":{"date-parts":[["2015"]]}}}],"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9</w:t>
      </w:r>
      <w:r w:rsidRPr="00092549">
        <w:rPr>
          <w:rFonts w:ascii="Aptos" w:hAnsi="Aptos" w:cs="Times New Roman"/>
        </w:rPr>
        <w:fldChar w:fldCharType="end"/>
      </w:r>
      <w:r w:rsidRPr="00092549">
        <w:rPr>
          <w:rFonts w:ascii="Aptos" w:hAnsi="Aptos" w:cs="Times New Roman"/>
        </w:rPr>
        <w:t xml:space="preserve">: </w:t>
      </w:r>
      <w:r w:rsidR="00C13E5D" w:rsidRPr="00092549">
        <w:rPr>
          <w:rFonts w:ascii="Aptos" w:hAnsi="Aptos" w:cs="Times New Roman"/>
        </w:rPr>
        <w:t>Excluded in favor of the 2022 follow-up (Helsinki perinatal risk cohort), which offers a longer observation period (age 46 vs. 40) and provides specific hazard ratios for mortality, whereas the 2015 study combined mortality with traffic/crime outcomes.</w:t>
      </w:r>
    </w:p>
    <w:p w14:paraId="5326F4BC" w14:textId="77777777" w:rsidR="00C13E5D" w:rsidRPr="00092549" w:rsidRDefault="00C13E5D" w:rsidP="00C13E5D">
      <w:pPr>
        <w:rPr>
          <w:rFonts w:ascii="Aptos" w:hAnsi="Aptos" w:cs="Times New Roman"/>
        </w:rPr>
      </w:pPr>
      <w:r w:rsidRPr="00092549">
        <w:rPr>
          <w:rFonts w:ascii="Aptos" w:hAnsi="Aptos" w:cs="Times New Roman"/>
        </w:rPr>
        <w:t xml:space="preserve">Wrong outcome </w:t>
      </w:r>
      <w:r w:rsidRPr="00092549">
        <w:rPr>
          <w:rFonts w:ascii="Aptos" w:hAnsi="Aptos" w:cs="Times New Roman"/>
        </w:rPr>
        <w:fldChar w:fldCharType="begin"/>
      </w:r>
      <w:r w:rsidR="00E43FFE" w:rsidRPr="00092549">
        <w:rPr>
          <w:rFonts w:ascii="Aptos" w:hAnsi="Aptos" w:cs="Times New Roman"/>
        </w:rPr>
        <w:instrText xml:space="preserve"> ADDIN ZOTERO_ITEM CSL_CITATION {"citationID":"1XLLY5yn","properties":{"formattedCitation":"\\super 10\\nosupersub{}","plainCitation":"10","noteIndex":0},"citationItems":[{"id":29215,"uris":["http://zotero.org/users/15014396/items/DLT88F9U"],"itemData":{"id":29215,"type":"article-journal","abstract":"Objectives\nTo estimate the prevalence of ADHD, and related comorbidities, mortality, and type of health service use among children and young adults, using different case definitions.\n\nMethods\nWe conducted a population</w:instrText>
      </w:r>
      <w:r w:rsidR="00E43FFE" w:rsidRPr="00092549">
        <w:rPr>
          <w:rFonts w:ascii="Cambria Math" w:hAnsi="Cambria Math" w:cs="Cambria Math"/>
        </w:rPr>
        <w:instrText>‐</w:instrText>
      </w:r>
      <w:r w:rsidR="00E43FFE" w:rsidRPr="00092549">
        <w:rPr>
          <w:rFonts w:ascii="Aptos" w:hAnsi="Aptos" w:cs="Times New Roman"/>
        </w:rPr>
        <w:instrText>based retrospective cohort study between 2000 and 2018, using the Quebec Integrated Chronic Disease Surveillance System (QICDSS) database. All residents aged less than 25</w:instrText>
      </w:r>
      <w:r w:rsidR="00E43FFE" w:rsidRPr="00092549">
        <w:rPr>
          <w:rFonts w:ascii="Aptos" w:hAnsi="Aptos" w:cs="Aptos"/>
        </w:rPr>
        <w:instrText> </w:instrText>
      </w:r>
      <w:r w:rsidR="00E43FFE" w:rsidRPr="00092549">
        <w:rPr>
          <w:rFonts w:ascii="Aptos" w:hAnsi="Aptos" w:cs="Times New Roman"/>
        </w:rPr>
        <w:instrText>years eligible for health insurance coverage were included. We compared outcomes of three indicators (morbidity, services use and mortality) according two different algorithms of ADHD definitions, to the general population.\n\nResults\nThe cumulative prevalence of ADHD has risen steadily over the past decade, reaching 12.6% in 2017–2018. People with ADHD have a higher prevalence of psychiatric comorbidities, make greater use of medical, mental health services, and are hospitalized more often. The comparison of prevalence between the two algorithms and the general population for the three indicators showed that the cohort having one claim was very close to that with two or more, and statistically significant higher to that of people without ADHD.\n\nConclusion\nThis finding support that a single claim algorithm for ADHD can be used for case definition. More research is needed on the impact of potentially effective treatments in improving consequences of ADHD.","container-title":"International Journal of Methods in Psychiatric Research","DOI":"10.1002/mpr.1903","ISSN":"1049-8931","issue":"1","journalAbbreviation":"Int J Methods Psychiatr Res","page":"e1903","PMID":"34952999","PMCID":"PMC8886284","source":"PubMed Central","title":"Morbidities and mortality of diagnosed attention deficit hyperactivity disorder (ADHD) over the youth lifespan: A population</w:instrText>
      </w:r>
      <w:r w:rsidR="00E43FFE" w:rsidRPr="00092549">
        <w:rPr>
          <w:rFonts w:ascii="Cambria Math" w:hAnsi="Cambria Math" w:cs="Cambria Math"/>
        </w:rPr>
        <w:instrText>‐</w:instrText>
      </w:r>
      <w:r w:rsidR="00E43FFE" w:rsidRPr="00092549">
        <w:rPr>
          <w:rFonts w:ascii="Aptos" w:hAnsi="Aptos" w:cs="Times New Roman"/>
        </w:rPr>
        <w:instrText>based retrospective cohort study","title-short":"Morbidities and mortality of diagnosed attention deficit hyperactivity disorder (ADHD) over the youth lifespan","volume":"31","author":[{"family":"Diallo","given":"Fatoumata Binta"},{"family":"Pelletier","given":"</w:instrText>
      </w:r>
      <w:r w:rsidR="00E43FFE" w:rsidRPr="00092549">
        <w:rPr>
          <w:rFonts w:ascii="Aptos" w:hAnsi="Aptos" w:cs="Aptos"/>
        </w:rPr>
        <w:instrText>É</w:instrText>
      </w:r>
      <w:r w:rsidR="00E43FFE" w:rsidRPr="00092549">
        <w:rPr>
          <w:rFonts w:ascii="Aptos" w:hAnsi="Aptos" w:cs="Times New Roman"/>
        </w:rPr>
        <w:instrText>ric"},{"family":"Vasiliadis","given":"Helen</w:instrText>
      </w:r>
      <w:r w:rsidR="00E43FFE" w:rsidRPr="00092549">
        <w:rPr>
          <w:rFonts w:ascii="Cambria Math" w:hAnsi="Cambria Math" w:cs="Cambria Math"/>
        </w:rPr>
        <w:instrText>‐</w:instrText>
      </w:r>
      <w:r w:rsidR="00E43FFE" w:rsidRPr="00092549">
        <w:rPr>
          <w:rFonts w:ascii="Aptos" w:hAnsi="Aptos" w:cs="Times New Roman"/>
        </w:rPr>
        <w:instrText xml:space="preserve">Maria"},{"family":"Rochette","given":"Louis"},{"family":"Vincent","given":"Annick"},{"family":"Palardy","given":"Sylvain"},{"family":"Lunghi","given":"Carlotta"},{"family":"Gignac","given":"Martin"},{"family":"Lesage","given":"Alain"}],"issued":{"date-parts":[["2021",12,24]]}}}],"schema":"https://github.com/citation-style-language/schema/raw/master/csl-citation.json"} </w:instrText>
      </w:r>
      <w:r w:rsidRPr="00092549">
        <w:rPr>
          <w:rFonts w:ascii="Aptos" w:hAnsi="Aptos" w:cs="Times New Roman"/>
        </w:rPr>
        <w:fldChar w:fldCharType="separate"/>
      </w:r>
      <w:r w:rsidRPr="00092549">
        <w:rPr>
          <w:rFonts w:ascii="Aptos" w:hAnsi="Aptos" w:cs="Times New Roman"/>
          <w:kern w:val="0"/>
          <w:vertAlign w:val="superscript"/>
        </w:rPr>
        <w:t>10</w:t>
      </w:r>
      <w:r w:rsidRPr="00092549">
        <w:rPr>
          <w:rFonts w:ascii="Aptos" w:hAnsi="Aptos" w:cs="Times New Roman"/>
        </w:rPr>
        <w:fldChar w:fldCharType="end"/>
      </w:r>
    </w:p>
    <w:p w14:paraId="1887BFA5" w14:textId="77777777" w:rsidR="00E43FFE" w:rsidRPr="00092549" w:rsidRDefault="00C13E5D" w:rsidP="00E43FFE">
      <w:pPr>
        <w:pStyle w:val="af3"/>
        <w:rPr>
          <w:rFonts w:ascii="Aptos" w:hAnsi="Aptos" w:cs="Times New Roman"/>
        </w:rPr>
      </w:pPr>
      <w:r w:rsidRPr="00092549">
        <w:rPr>
          <w:rFonts w:ascii="Aptos" w:hAnsi="Aptos" w:cs="Times New Roman"/>
        </w:rPr>
        <w:t>1.</w:t>
      </w:r>
      <w:r w:rsidRPr="00092549">
        <w:rPr>
          <w:rFonts w:ascii="Aptos" w:hAnsi="Aptos" w:cs="Times New Roman"/>
        </w:rPr>
        <w:tab/>
        <w:t xml:space="preserve">Cooper T, </w:t>
      </w:r>
      <w:proofErr w:type="spellStart"/>
      <w:r w:rsidRPr="00092549">
        <w:rPr>
          <w:rFonts w:ascii="Aptos" w:hAnsi="Aptos" w:cs="Times New Roman"/>
        </w:rPr>
        <w:t>Piccinin</w:t>
      </w:r>
      <w:proofErr w:type="spellEnd"/>
      <w:r w:rsidRPr="00092549">
        <w:rPr>
          <w:rFonts w:ascii="Aptos" w:hAnsi="Aptos" w:cs="Times New Roman"/>
        </w:rPr>
        <w:t xml:space="preserve"> A. HEALTH OUTCOMES AND RISK FOR MORTALITY IN OLDER ADULTS WITH ATTENTION DEFICIT/HYPERACTIVITY DISORDER SYMPTOMS. </w:t>
      </w:r>
      <w:proofErr w:type="spellStart"/>
      <w:r w:rsidRPr="00092549">
        <w:rPr>
          <w:rFonts w:ascii="Aptos" w:hAnsi="Aptos" w:cs="Times New Roman"/>
        </w:rPr>
        <w:t>Innov</w:t>
      </w:r>
      <w:proofErr w:type="spellEnd"/>
      <w:r w:rsidRPr="00092549">
        <w:rPr>
          <w:rFonts w:ascii="Aptos" w:hAnsi="Aptos" w:cs="Times New Roman"/>
        </w:rPr>
        <w:t xml:space="preserve"> Aging. 2024;8(Supplement_1):1202. https://doi.org/10.1093/geroni/igae098.3848</w:t>
      </w:r>
    </w:p>
    <w:p w14:paraId="2ACFD8BC" w14:textId="77777777" w:rsidR="00E43FFE" w:rsidRPr="00092549" w:rsidRDefault="00E43FFE" w:rsidP="00E43FFE">
      <w:pPr>
        <w:pStyle w:val="af3"/>
        <w:rPr>
          <w:rFonts w:ascii="Aptos" w:hAnsi="Aptos" w:cs="Times New Roman"/>
        </w:rPr>
      </w:pPr>
      <w:r w:rsidRPr="00092549">
        <w:rPr>
          <w:rFonts w:ascii="Aptos" w:hAnsi="Aptos" w:cs="Times New Roman"/>
        </w:rPr>
        <w:t>2.</w:t>
      </w:r>
      <w:r w:rsidRPr="00092549">
        <w:rPr>
          <w:rFonts w:ascii="Aptos" w:hAnsi="Aptos" w:cs="Times New Roman"/>
        </w:rPr>
        <w:tab/>
        <w:t xml:space="preserve">Weye N, Momen N, Christensen M, et al. S130. ALTERNATIVE METRICS TO QUANTIFY PREMATURE MORTALITY IN MENTAL DISORDERS. A POPULATION-BASED COHORT STUDY. </w:t>
      </w:r>
      <w:proofErr w:type="spellStart"/>
      <w:r w:rsidRPr="00092549">
        <w:rPr>
          <w:rFonts w:ascii="Aptos" w:hAnsi="Aptos" w:cs="Times New Roman"/>
        </w:rPr>
        <w:t>Schizophr</w:t>
      </w:r>
      <w:proofErr w:type="spellEnd"/>
      <w:r w:rsidRPr="00092549">
        <w:rPr>
          <w:rFonts w:ascii="Aptos" w:hAnsi="Aptos" w:cs="Times New Roman"/>
        </w:rPr>
        <w:t xml:space="preserve"> Bull. 2020;46(Supplement_1</w:t>
      </w:r>
      <w:proofErr w:type="gramStart"/>
      <w:r w:rsidRPr="00092549">
        <w:rPr>
          <w:rFonts w:ascii="Aptos" w:hAnsi="Aptos" w:cs="Times New Roman"/>
        </w:rPr>
        <w:t>):S</w:t>
      </w:r>
      <w:proofErr w:type="gramEnd"/>
      <w:r w:rsidRPr="00092549">
        <w:rPr>
          <w:rFonts w:ascii="Aptos" w:hAnsi="Aptos" w:cs="Times New Roman"/>
        </w:rPr>
        <w:t>84-S85. https://doi.org/10.1093/schbul/sbaa031.196</w:t>
      </w:r>
    </w:p>
    <w:p w14:paraId="02BA7C31" w14:textId="77777777" w:rsidR="00E43FFE" w:rsidRPr="00092549" w:rsidRDefault="00E43FFE" w:rsidP="00E43FFE">
      <w:pPr>
        <w:pStyle w:val="af3"/>
        <w:rPr>
          <w:rFonts w:ascii="Aptos" w:hAnsi="Aptos" w:cs="Times New Roman"/>
        </w:rPr>
      </w:pPr>
      <w:r w:rsidRPr="00092549">
        <w:rPr>
          <w:rFonts w:ascii="Aptos" w:hAnsi="Aptos" w:cs="Times New Roman"/>
        </w:rPr>
        <w:t>3.</w:t>
      </w:r>
      <w:r w:rsidRPr="00092549">
        <w:rPr>
          <w:rFonts w:ascii="Aptos" w:hAnsi="Aptos" w:cs="Times New Roman"/>
        </w:rPr>
        <w:tab/>
        <w:t xml:space="preserve">Kothari A, </w:t>
      </w:r>
      <w:proofErr w:type="spellStart"/>
      <w:r w:rsidRPr="00092549">
        <w:rPr>
          <w:rFonts w:ascii="Aptos" w:hAnsi="Aptos" w:cs="Times New Roman"/>
        </w:rPr>
        <w:t>Aparece</w:t>
      </w:r>
      <w:proofErr w:type="spellEnd"/>
      <w:r w:rsidRPr="00092549">
        <w:rPr>
          <w:rFonts w:ascii="Aptos" w:hAnsi="Aptos" w:cs="Times New Roman"/>
        </w:rPr>
        <w:t xml:space="preserve"> JP, Del Toro Mijares R. Cardiovascular Risk Associated with the Treatment of Attention-Deficit/Hyperactivity Disorder in Adults. Curr </w:t>
      </w:r>
      <w:proofErr w:type="spellStart"/>
      <w:r w:rsidRPr="00092549">
        <w:rPr>
          <w:rFonts w:ascii="Aptos" w:hAnsi="Aptos" w:cs="Times New Roman"/>
        </w:rPr>
        <w:t>Cardiol</w:t>
      </w:r>
      <w:proofErr w:type="spellEnd"/>
      <w:r w:rsidRPr="00092549">
        <w:rPr>
          <w:rFonts w:ascii="Aptos" w:hAnsi="Aptos" w:cs="Times New Roman"/>
        </w:rPr>
        <w:t xml:space="preserve"> Rep. 2025;27(1):80. https://doi.org/10.1007/s11886-025-02223-w</w:t>
      </w:r>
    </w:p>
    <w:p w14:paraId="473B19C0" w14:textId="77777777" w:rsidR="00E43FFE" w:rsidRPr="00092549" w:rsidRDefault="00E43FFE" w:rsidP="00E43FFE">
      <w:pPr>
        <w:pStyle w:val="af3"/>
        <w:rPr>
          <w:rFonts w:ascii="Aptos" w:hAnsi="Aptos" w:cs="Times New Roman"/>
        </w:rPr>
      </w:pPr>
      <w:r w:rsidRPr="00092549">
        <w:rPr>
          <w:rFonts w:ascii="Aptos" w:hAnsi="Aptos" w:cs="Times New Roman"/>
        </w:rPr>
        <w:t>4.</w:t>
      </w:r>
      <w:r w:rsidRPr="00092549">
        <w:rPr>
          <w:rFonts w:ascii="Aptos" w:hAnsi="Aptos" w:cs="Times New Roman"/>
        </w:rPr>
        <w:tab/>
        <w:t xml:space="preserve">Scott JG, Giørtz Pedersen M, Erskine HE, et al. Mortality in individuals with disruptive behavior disorders diagnosed by specialist services - A nationwide cohort study. Psychiatry Res. </w:t>
      </w:r>
      <w:proofErr w:type="gramStart"/>
      <w:r w:rsidRPr="00092549">
        <w:rPr>
          <w:rFonts w:ascii="Aptos" w:hAnsi="Aptos" w:cs="Times New Roman"/>
        </w:rPr>
        <w:t>2017;251:255</w:t>
      </w:r>
      <w:proofErr w:type="gramEnd"/>
      <w:r w:rsidRPr="00092549">
        <w:rPr>
          <w:rFonts w:ascii="Aptos" w:hAnsi="Aptos" w:cs="Times New Roman"/>
        </w:rPr>
        <w:t>-260. https://doi.org/10.1016/j.psychres.2017.02.029</w:t>
      </w:r>
    </w:p>
    <w:p w14:paraId="4157AC33" w14:textId="77777777" w:rsidR="00E43FFE" w:rsidRPr="00092549" w:rsidRDefault="00E43FFE" w:rsidP="00E43FFE">
      <w:pPr>
        <w:pStyle w:val="af3"/>
        <w:rPr>
          <w:rFonts w:ascii="Aptos" w:hAnsi="Aptos" w:cs="Times New Roman"/>
        </w:rPr>
      </w:pPr>
      <w:r w:rsidRPr="00092549">
        <w:rPr>
          <w:rFonts w:ascii="Aptos" w:hAnsi="Aptos" w:cs="Times New Roman"/>
        </w:rPr>
        <w:t>5.</w:t>
      </w:r>
      <w:r w:rsidRPr="00092549">
        <w:rPr>
          <w:rFonts w:ascii="Aptos" w:hAnsi="Aptos" w:cs="Times New Roman"/>
        </w:rPr>
        <w:tab/>
        <w:t xml:space="preserve">5th World Congress on ADHD: From Child to Adult Disorder 28-31 May 2015 · Glasgow · Scotland Editors: Manfred Gerlach, Würzburg, Germany Peter Riederer, Würzburg, Germany Luis A. Rohde, Porto Alegre, Brazil Andreas Warnke, Würzburg, Germany. Atten Deficit </w:t>
      </w:r>
      <w:proofErr w:type="spellStart"/>
      <w:r w:rsidRPr="00092549">
        <w:rPr>
          <w:rFonts w:ascii="Aptos" w:hAnsi="Aptos" w:cs="Times New Roman"/>
        </w:rPr>
        <w:t>Hyperact</w:t>
      </w:r>
      <w:proofErr w:type="spellEnd"/>
      <w:r w:rsidRPr="00092549">
        <w:rPr>
          <w:rFonts w:ascii="Aptos" w:hAnsi="Aptos" w:cs="Times New Roman"/>
        </w:rPr>
        <w:t xml:space="preserve"> </w:t>
      </w:r>
      <w:proofErr w:type="spellStart"/>
      <w:r w:rsidRPr="00092549">
        <w:rPr>
          <w:rFonts w:ascii="Aptos" w:hAnsi="Aptos" w:cs="Times New Roman"/>
        </w:rPr>
        <w:t>Disord</w:t>
      </w:r>
      <w:proofErr w:type="spellEnd"/>
      <w:r w:rsidRPr="00092549">
        <w:rPr>
          <w:rFonts w:ascii="Aptos" w:hAnsi="Aptos" w:cs="Times New Roman"/>
        </w:rPr>
        <w:t>. 2015;7 Suppl 1:1-119. https://doi.org/10.1007/s12402-015-0169-y</w:t>
      </w:r>
    </w:p>
    <w:p w14:paraId="5B75FC03" w14:textId="77777777" w:rsidR="00E43FFE" w:rsidRPr="00092549" w:rsidRDefault="00E43FFE" w:rsidP="00E43FFE">
      <w:pPr>
        <w:pStyle w:val="af3"/>
        <w:rPr>
          <w:rFonts w:ascii="Aptos" w:hAnsi="Aptos" w:cs="Times New Roman"/>
        </w:rPr>
      </w:pPr>
      <w:r w:rsidRPr="00092549">
        <w:rPr>
          <w:rFonts w:ascii="Aptos" w:hAnsi="Aptos" w:cs="Times New Roman"/>
        </w:rPr>
        <w:t>6.</w:t>
      </w:r>
      <w:r w:rsidRPr="00092549">
        <w:rPr>
          <w:rFonts w:ascii="Aptos" w:hAnsi="Aptos" w:cs="Times New Roman"/>
        </w:rPr>
        <w:tab/>
        <w:t xml:space="preserve">London AS, Landes SD. Attention Deficit Hyperactivity Disorder and adult mortality. Prev Med. </w:t>
      </w:r>
      <w:proofErr w:type="gramStart"/>
      <w:r w:rsidRPr="00092549">
        <w:rPr>
          <w:rFonts w:ascii="Aptos" w:hAnsi="Aptos" w:cs="Times New Roman"/>
        </w:rPr>
        <w:lastRenderedPageBreak/>
        <w:t>2016;90:8</w:t>
      </w:r>
      <w:proofErr w:type="gramEnd"/>
      <w:r w:rsidRPr="00092549">
        <w:rPr>
          <w:rFonts w:ascii="Aptos" w:hAnsi="Aptos" w:cs="Times New Roman"/>
        </w:rPr>
        <w:t>-10. https://doi.org/10.1016/j.ypmed.2016.06.021</w:t>
      </w:r>
    </w:p>
    <w:p w14:paraId="5851F6F9" w14:textId="77777777" w:rsidR="00E43FFE" w:rsidRPr="00092549" w:rsidRDefault="00E43FFE" w:rsidP="00E43FFE">
      <w:pPr>
        <w:pStyle w:val="af3"/>
        <w:rPr>
          <w:rFonts w:ascii="Aptos" w:hAnsi="Aptos" w:cs="Times New Roman"/>
        </w:rPr>
      </w:pPr>
      <w:r w:rsidRPr="00092549">
        <w:rPr>
          <w:rFonts w:ascii="Aptos" w:hAnsi="Aptos" w:cs="Times New Roman"/>
        </w:rPr>
        <w:t>7.</w:t>
      </w:r>
      <w:r w:rsidRPr="00092549">
        <w:rPr>
          <w:rFonts w:ascii="Aptos" w:hAnsi="Aptos" w:cs="Times New Roman"/>
        </w:rPr>
        <w:tab/>
        <w:t xml:space="preserve">Silva D, Colvin L, Hagemann E, Stanley F, Bower C. Children diagnosed with attention deficit disorder and their </w:t>
      </w:r>
      <w:proofErr w:type="spellStart"/>
      <w:r w:rsidRPr="00092549">
        <w:rPr>
          <w:rFonts w:ascii="Aptos" w:hAnsi="Aptos" w:cs="Times New Roman"/>
        </w:rPr>
        <w:t>hospitalisations</w:t>
      </w:r>
      <w:proofErr w:type="spellEnd"/>
      <w:r w:rsidRPr="00092549">
        <w:rPr>
          <w:rFonts w:ascii="Aptos" w:hAnsi="Aptos" w:cs="Times New Roman"/>
        </w:rPr>
        <w:t xml:space="preserve">: population data linkage study. </w:t>
      </w:r>
      <w:proofErr w:type="spellStart"/>
      <w:r w:rsidRPr="00092549">
        <w:rPr>
          <w:rFonts w:ascii="Aptos" w:hAnsi="Aptos" w:cs="Times New Roman"/>
        </w:rPr>
        <w:t>Eur</w:t>
      </w:r>
      <w:proofErr w:type="spellEnd"/>
      <w:r w:rsidRPr="00092549">
        <w:rPr>
          <w:rFonts w:ascii="Aptos" w:hAnsi="Aptos" w:cs="Times New Roman"/>
        </w:rPr>
        <w:t xml:space="preserve"> Child </w:t>
      </w:r>
      <w:proofErr w:type="spellStart"/>
      <w:r w:rsidRPr="00092549">
        <w:rPr>
          <w:rFonts w:ascii="Aptos" w:hAnsi="Aptos" w:cs="Times New Roman"/>
        </w:rPr>
        <w:t>Adolesc</w:t>
      </w:r>
      <w:proofErr w:type="spellEnd"/>
      <w:r w:rsidRPr="00092549">
        <w:rPr>
          <w:rFonts w:ascii="Aptos" w:hAnsi="Aptos" w:cs="Times New Roman"/>
        </w:rPr>
        <w:t xml:space="preserve"> Psychiatry. 2014;23(11):1043-1050. https://doi.org/10.1007/s00787-014-0545-8</w:t>
      </w:r>
    </w:p>
    <w:p w14:paraId="5B7CA046" w14:textId="77777777" w:rsidR="00E43FFE" w:rsidRPr="00092549" w:rsidRDefault="00E43FFE" w:rsidP="00E43FFE">
      <w:pPr>
        <w:pStyle w:val="af3"/>
        <w:rPr>
          <w:rFonts w:ascii="Aptos" w:hAnsi="Aptos" w:cs="Times New Roman"/>
        </w:rPr>
      </w:pPr>
      <w:r w:rsidRPr="00092549">
        <w:rPr>
          <w:rFonts w:ascii="Aptos" w:hAnsi="Aptos" w:cs="Times New Roman"/>
        </w:rPr>
        <w:t>8.</w:t>
      </w:r>
      <w:r w:rsidRPr="00092549">
        <w:rPr>
          <w:rFonts w:ascii="Aptos" w:hAnsi="Aptos" w:cs="Times New Roman"/>
        </w:rPr>
        <w:tab/>
        <w:t xml:space="preserve">Jeng JS, Huang HH, Chang WH, et al. Longitudinal study on all-cause and suicide mortality among individuals with attention deficit hyperactivity disorder. </w:t>
      </w:r>
      <w:proofErr w:type="spellStart"/>
      <w:r w:rsidRPr="00092549">
        <w:rPr>
          <w:rFonts w:ascii="Aptos" w:hAnsi="Aptos" w:cs="Times New Roman"/>
        </w:rPr>
        <w:t>Eur</w:t>
      </w:r>
      <w:proofErr w:type="spellEnd"/>
      <w:r w:rsidRPr="00092549">
        <w:rPr>
          <w:rFonts w:ascii="Aptos" w:hAnsi="Aptos" w:cs="Times New Roman"/>
        </w:rPr>
        <w:t xml:space="preserve"> Child </w:t>
      </w:r>
      <w:proofErr w:type="spellStart"/>
      <w:r w:rsidRPr="00092549">
        <w:rPr>
          <w:rFonts w:ascii="Aptos" w:hAnsi="Aptos" w:cs="Times New Roman"/>
        </w:rPr>
        <w:t>Adolesc</w:t>
      </w:r>
      <w:proofErr w:type="spellEnd"/>
      <w:r w:rsidRPr="00092549">
        <w:rPr>
          <w:rFonts w:ascii="Aptos" w:hAnsi="Aptos" w:cs="Times New Roman"/>
        </w:rPr>
        <w:t xml:space="preserve"> Psychiatry. 2025;34(3):1229-1238. https://doi.org/10.1007/s00787-024-02511-w</w:t>
      </w:r>
    </w:p>
    <w:p w14:paraId="571D73E5" w14:textId="77777777" w:rsidR="00E43FFE" w:rsidRPr="00092549" w:rsidRDefault="00E43FFE" w:rsidP="00E43FFE">
      <w:pPr>
        <w:pStyle w:val="af3"/>
        <w:rPr>
          <w:rFonts w:ascii="Aptos" w:hAnsi="Aptos" w:cs="Times New Roman"/>
        </w:rPr>
      </w:pPr>
      <w:r w:rsidRPr="00092549">
        <w:rPr>
          <w:rFonts w:ascii="Aptos" w:hAnsi="Aptos" w:cs="Times New Roman"/>
        </w:rPr>
        <w:t>9.</w:t>
      </w:r>
      <w:r w:rsidRPr="00092549">
        <w:rPr>
          <w:rFonts w:ascii="Aptos" w:hAnsi="Aptos" w:cs="Times New Roman"/>
        </w:rPr>
        <w:tab/>
      </w:r>
      <w:proofErr w:type="spellStart"/>
      <w:r w:rsidRPr="00092549">
        <w:rPr>
          <w:rFonts w:ascii="Aptos" w:hAnsi="Aptos" w:cs="Times New Roman"/>
        </w:rPr>
        <w:t>Koisaari</w:t>
      </w:r>
      <w:proofErr w:type="spellEnd"/>
      <w:r w:rsidRPr="00092549">
        <w:rPr>
          <w:rFonts w:ascii="Aptos" w:hAnsi="Aptos" w:cs="Times New Roman"/>
        </w:rPr>
        <w:t xml:space="preserve"> T, Michelsson K, Holopainen JM, et al. Traffic and Criminal Behavior of Adults with Attention Deficit-Hyperactivity with a Prospective Follow-Up from Birth to the Age of 40 Years. Traffic </w:t>
      </w:r>
      <w:proofErr w:type="spellStart"/>
      <w:r w:rsidRPr="00092549">
        <w:rPr>
          <w:rFonts w:ascii="Aptos" w:hAnsi="Aptos" w:cs="Times New Roman"/>
        </w:rPr>
        <w:t>Inj</w:t>
      </w:r>
      <w:proofErr w:type="spellEnd"/>
      <w:r w:rsidRPr="00092549">
        <w:rPr>
          <w:rFonts w:ascii="Aptos" w:hAnsi="Aptos" w:cs="Times New Roman"/>
        </w:rPr>
        <w:t xml:space="preserve"> Prev. 2015;16(8):824-830. https://doi.org/10.1080/15389588.2015.1029068</w:t>
      </w:r>
    </w:p>
    <w:p w14:paraId="1FF4098F" w14:textId="77777777" w:rsidR="00E43FFE" w:rsidRPr="00092549" w:rsidRDefault="00E43FFE" w:rsidP="00E43FFE">
      <w:pPr>
        <w:pStyle w:val="af3"/>
        <w:rPr>
          <w:rFonts w:ascii="Aptos" w:hAnsi="Aptos" w:cs="Times New Roman"/>
        </w:rPr>
      </w:pPr>
      <w:r w:rsidRPr="00092549">
        <w:rPr>
          <w:rFonts w:ascii="Aptos" w:hAnsi="Aptos" w:cs="Times New Roman"/>
        </w:rPr>
        <w:t>10.</w:t>
      </w:r>
      <w:r w:rsidRPr="00092549">
        <w:rPr>
          <w:rFonts w:ascii="Aptos" w:hAnsi="Aptos" w:cs="Times New Roman"/>
        </w:rPr>
        <w:tab/>
        <w:t>Diallo FB, Pelletier É, Vasiliadis H, et al. Morbidities and mortality of diagnosed attention deficit hyperactivity disorder (ADHD) over the youth lifespan: A population</w:t>
      </w:r>
      <w:r w:rsidRPr="00092549">
        <w:rPr>
          <w:rFonts w:ascii="Cambria Math" w:hAnsi="Cambria Math" w:cs="Cambria Math"/>
        </w:rPr>
        <w:t>‐</w:t>
      </w:r>
      <w:r w:rsidRPr="00092549">
        <w:rPr>
          <w:rFonts w:ascii="Aptos" w:hAnsi="Aptos" w:cs="Times New Roman"/>
        </w:rPr>
        <w:t xml:space="preserve">based retrospective cohort study. Int J Methods </w:t>
      </w:r>
      <w:proofErr w:type="spellStart"/>
      <w:r w:rsidRPr="00092549">
        <w:rPr>
          <w:rFonts w:ascii="Aptos" w:hAnsi="Aptos" w:cs="Times New Roman"/>
        </w:rPr>
        <w:t>Psychiatr</w:t>
      </w:r>
      <w:proofErr w:type="spellEnd"/>
      <w:r w:rsidRPr="00092549">
        <w:rPr>
          <w:rFonts w:ascii="Aptos" w:hAnsi="Aptos" w:cs="Times New Roman"/>
        </w:rPr>
        <w:t xml:space="preserve"> Res. 2021;31(1</w:t>
      </w:r>
      <w:proofErr w:type="gramStart"/>
      <w:r w:rsidRPr="00092549">
        <w:rPr>
          <w:rFonts w:ascii="Aptos" w:hAnsi="Aptos" w:cs="Times New Roman"/>
        </w:rPr>
        <w:t>):e</w:t>
      </w:r>
      <w:proofErr w:type="gramEnd"/>
      <w:r w:rsidRPr="00092549">
        <w:rPr>
          <w:rFonts w:ascii="Aptos" w:hAnsi="Aptos" w:cs="Times New Roman"/>
        </w:rPr>
        <w:t>1903. https://doi.org/10.1002/mpr.1903</w:t>
      </w:r>
    </w:p>
    <w:p w14:paraId="7339957F" w14:textId="77777777" w:rsidR="00FF542F" w:rsidRPr="00092549" w:rsidRDefault="00FF542F" w:rsidP="00FF542F">
      <w:pPr>
        <w:pStyle w:val="af2"/>
        <w:rPr>
          <w:rFonts w:ascii="Aptos" w:hAnsi="Aptos" w:cs="Times New Roman"/>
          <w:sz w:val="22"/>
          <w:szCs w:val="22"/>
        </w:rPr>
        <w:sectPr w:rsidR="00FF542F" w:rsidRPr="00092549" w:rsidSect="00FF542F">
          <w:type w:val="continuous"/>
          <w:pgSz w:w="11906" w:h="16838"/>
          <w:pgMar w:top="720" w:right="720" w:bottom="720" w:left="720" w:header="851" w:footer="992" w:gutter="0"/>
          <w:cols w:space="425"/>
          <w:docGrid w:type="lines" w:linePitch="360"/>
        </w:sectPr>
      </w:pPr>
    </w:p>
    <w:p w14:paraId="032928F8" w14:textId="77777777" w:rsidR="00BC6404" w:rsidRPr="00092549" w:rsidRDefault="00BC6404" w:rsidP="00BC6404">
      <w:pPr>
        <w:pStyle w:val="af2"/>
        <w:rPr>
          <w:rFonts w:ascii="Aptos" w:hAnsi="Aptos" w:cs="Times New Roman"/>
          <w:sz w:val="22"/>
          <w:szCs w:val="22"/>
        </w:rPr>
      </w:pPr>
      <w:r w:rsidRPr="00092549">
        <w:rPr>
          <w:rFonts w:ascii="Aptos" w:hAnsi="Aptos" w:cs="Times New Roman"/>
          <w:b/>
          <w:bCs/>
          <w:sz w:val="22"/>
          <w:szCs w:val="22"/>
        </w:rPr>
        <w:lastRenderedPageBreak/>
        <w:t>Result S</w:t>
      </w:r>
      <w:r w:rsidR="004002D6" w:rsidRPr="00092549">
        <w:rPr>
          <w:rFonts w:ascii="Aptos" w:hAnsi="Aptos" w:cs="Times New Roman"/>
          <w:b/>
          <w:bCs/>
          <w:sz w:val="22"/>
          <w:szCs w:val="22"/>
        </w:rPr>
        <w:t>2</w:t>
      </w:r>
      <w:r w:rsidRPr="00092549">
        <w:rPr>
          <w:rFonts w:ascii="Aptos" w:hAnsi="Aptos" w:cs="Times New Roman"/>
          <w:b/>
          <w:bCs/>
          <w:sz w:val="22"/>
          <w:szCs w:val="22"/>
        </w:rPr>
        <w:t>.</w:t>
      </w:r>
      <w:r w:rsidRPr="00092549">
        <w:rPr>
          <w:rFonts w:ascii="Aptos" w:hAnsi="Aptos" w:cs="Times New Roman"/>
          <w:sz w:val="22"/>
          <w:szCs w:val="22"/>
        </w:rPr>
        <w:t xml:space="preserve"> </w:t>
      </w:r>
      <w:r w:rsidR="003E1AE8" w:rsidRPr="00092549">
        <w:rPr>
          <w:rFonts w:ascii="Aptos" w:hAnsi="Aptos" w:cs="Times New Roman"/>
          <w:sz w:val="22"/>
          <w:szCs w:val="22"/>
        </w:rPr>
        <w:t>Summary of study-specific risk estimates for all-cause and cause-specific mortality</w:t>
      </w:r>
    </w:p>
    <w:tbl>
      <w:tblPr>
        <w:tblStyle w:val="21"/>
        <w:tblW w:w="0" w:type="auto"/>
        <w:tblLook w:val="06A0" w:firstRow="1" w:lastRow="0" w:firstColumn="1" w:lastColumn="0" w:noHBand="1" w:noVBand="1"/>
      </w:tblPr>
      <w:tblGrid>
        <w:gridCol w:w="1320"/>
        <w:gridCol w:w="1896"/>
        <w:gridCol w:w="2444"/>
        <w:gridCol w:w="994"/>
        <w:gridCol w:w="4311"/>
        <w:gridCol w:w="4433"/>
      </w:tblGrid>
      <w:tr w:rsidR="00584FCF" w:rsidRPr="00461B67" w14:paraId="5E090CAA" w14:textId="77777777" w:rsidTr="00F779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56113" w14:textId="77777777" w:rsidR="00584FCF" w:rsidRPr="00461B67" w:rsidRDefault="00584FCF" w:rsidP="00584FCF">
            <w:pPr>
              <w:pStyle w:val="af2"/>
              <w:rPr>
                <w:rFonts w:ascii="Aptos" w:hAnsi="Aptos" w:cs="Times New Roman"/>
                <w:sz w:val="18"/>
                <w:szCs w:val="18"/>
              </w:rPr>
            </w:pPr>
            <w:r w:rsidRPr="00461B67">
              <w:rPr>
                <w:rFonts w:ascii="Aptos" w:hAnsi="Aptos" w:cs="Times New Roman"/>
                <w:sz w:val="18"/>
                <w:szCs w:val="18"/>
              </w:rPr>
              <w:t>Author, year</w:t>
            </w:r>
          </w:p>
        </w:tc>
        <w:tc>
          <w:tcPr>
            <w:tcW w:w="0" w:type="auto"/>
            <w:hideMark/>
          </w:tcPr>
          <w:p w14:paraId="1839EB7A" w14:textId="77777777" w:rsidR="00584FCF" w:rsidRPr="00461B67" w:rsidRDefault="00584FCF" w:rsidP="00584FCF">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Study design (country) Setting, coverage</w:t>
            </w:r>
          </w:p>
        </w:tc>
        <w:tc>
          <w:tcPr>
            <w:tcW w:w="0" w:type="auto"/>
            <w:hideMark/>
          </w:tcPr>
          <w:p w14:paraId="010B5C13" w14:textId="77777777" w:rsidR="00584FCF" w:rsidRPr="00461B67" w:rsidRDefault="00584FCF" w:rsidP="00584FCF">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Number of participants (sex)</w:t>
            </w:r>
          </w:p>
        </w:tc>
        <w:tc>
          <w:tcPr>
            <w:tcW w:w="0" w:type="auto"/>
            <w:hideMark/>
          </w:tcPr>
          <w:p w14:paraId="2BD7F396" w14:textId="77777777" w:rsidR="00584FCF" w:rsidRPr="00461B67" w:rsidRDefault="00584FCF" w:rsidP="00584FCF">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Effect measure</w:t>
            </w:r>
          </w:p>
        </w:tc>
        <w:tc>
          <w:tcPr>
            <w:tcW w:w="0" w:type="auto"/>
            <w:hideMark/>
          </w:tcPr>
          <w:p w14:paraId="16A87B31" w14:textId="77777777" w:rsidR="00584FCF" w:rsidRPr="00461B67" w:rsidRDefault="00584FCF" w:rsidP="00584FCF">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Reported adjustment strategy and sequential-model role</w:t>
            </w:r>
          </w:p>
        </w:tc>
        <w:tc>
          <w:tcPr>
            <w:tcW w:w="0" w:type="auto"/>
            <w:hideMark/>
          </w:tcPr>
          <w:p w14:paraId="588AC088" w14:textId="77777777" w:rsidR="00584FCF" w:rsidRPr="00461B67" w:rsidRDefault="00584FCF" w:rsidP="00584FCF">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Point estimates (95% confidence intervals)</w:t>
            </w:r>
          </w:p>
        </w:tc>
      </w:tr>
      <w:tr w:rsidR="00BC6404" w:rsidRPr="00461B67" w14:paraId="3AE7671E"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1C37C375"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Kuperman et al, 1988</w:t>
            </w:r>
          </w:p>
        </w:tc>
        <w:tc>
          <w:tcPr>
            <w:tcW w:w="0" w:type="auto"/>
            <w:hideMark/>
          </w:tcPr>
          <w:p w14:paraId="22520FF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(United States); Inpatient, population-based</w:t>
            </w:r>
          </w:p>
        </w:tc>
        <w:tc>
          <w:tcPr>
            <w:tcW w:w="0" w:type="auto"/>
            <w:hideMark/>
          </w:tcPr>
          <w:p w14:paraId="413BFE07"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110 patients with ADHD (20% girls and women)</w:t>
            </w:r>
          </w:p>
        </w:tc>
        <w:tc>
          <w:tcPr>
            <w:tcW w:w="0" w:type="auto"/>
            <w:hideMark/>
          </w:tcPr>
          <w:p w14:paraId="358D375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SMR</w:t>
            </w:r>
          </w:p>
        </w:tc>
        <w:tc>
          <w:tcPr>
            <w:tcW w:w="0" w:type="auto"/>
            <w:hideMark/>
          </w:tcPr>
          <w:p w14:paraId="05902A65"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sex and calendar year</w:t>
            </w:r>
          </w:p>
        </w:tc>
        <w:tc>
          <w:tcPr>
            <w:tcW w:w="0" w:type="auto"/>
            <w:hideMark/>
          </w:tcPr>
          <w:p w14:paraId="06B723D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Cause-specific mortality: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0.79 (0.02-4.42)</w:t>
            </w:r>
          </w:p>
        </w:tc>
      </w:tr>
      <w:tr w:rsidR="00BC6404" w:rsidRPr="00461B67" w14:paraId="09B70D7D"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5A6BCC94"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Barkley et al, 2008; Barkley et al, 1990</w:t>
            </w:r>
          </w:p>
        </w:tc>
        <w:tc>
          <w:tcPr>
            <w:tcW w:w="0" w:type="auto"/>
            <w:hideMark/>
          </w:tcPr>
          <w:p w14:paraId="74942C12"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(United States); Outpatient, health services</w:t>
            </w:r>
          </w:p>
        </w:tc>
        <w:tc>
          <w:tcPr>
            <w:tcW w:w="0" w:type="auto"/>
            <w:hideMark/>
          </w:tcPr>
          <w:p w14:paraId="736B945D"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158 patients with ADHD (9% girls and women), and their parents</w:t>
            </w:r>
          </w:p>
        </w:tc>
        <w:tc>
          <w:tcPr>
            <w:tcW w:w="0" w:type="auto"/>
            <w:hideMark/>
          </w:tcPr>
          <w:p w14:paraId="0127AE4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RR</w:t>
            </w:r>
          </w:p>
        </w:tc>
        <w:tc>
          <w:tcPr>
            <w:tcW w:w="0" w:type="auto"/>
            <w:hideMark/>
          </w:tcPr>
          <w:p w14:paraId="6A564C7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None</w:t>
            </w:r>
          </w:p>
        </w:tc>
        <w:tc>
          <w:tcPr>
            <w:tcW w:w="0" w:type="auto"/>
            <w:hideMark/>
          </w:tcPr>
          <w:p w14:paraId="0BC117B4" w14:textId="77777777" w:rsidR="00BC6404" w:rsidRPr="00461B67" w:rsidRDefault="00D810F0"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mortality (both): 0.77 (0.13–4.51); cause-specific mortality – external causes (both): 1.54 (0.16–14.55)</w:t>
            </w:r>
          </w:p>
        </w:tc>
      </w:tr>
      <w:tr w:rsidR="00BC6404" w:rsidRPr="00461B67" w14:paraId="1BF8FDDA"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E8D379F"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Klein et al, 2012</w:t>
            </w:r>
          </w:p>
        </w:tc>
        <w:tc>
          <w:tcPr>
            <w:tcW w:w="0" w:type="auto"/>
            <w:hideMark/>
          </w:tcPr>
          <w:p w14:paraId="1A9BA5FB"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Prospective cohort (United States); Community, school-based</w:t>
            </w:r>
          </w:p>
        </w:tc>
        <w:tc>
          <w:tcPr>
            <w:tcW w:w="0" w:type="auto"/>
            <w:hideMark/>
          </w:tcPr>
          <w:p w14:paraId="603B5224"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207 patients with ADHD (0% girls and women)</w:t>
            </w:r>
          </w:p>
        </w:tc>
        <w:tc>
          <w:tcPr>
            <w:tcW w:w="0" w:type="auto"/>
            <w:hideMark/>
          </w:tcPr>
          <w:p w14:paraId="5ECB259D"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RR</w:t>
            </w:r>
          </w:p>
        </w:tc>
        <w:tc>
          <w:tcPr>
            <w:tcW w:w="0" w:type="auto"/>
            <w:hideMark/>
          </w:tcPr>
          <w:p w14:paraId="326EDF8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None</w:t>
            </w:r>
          </w:p>
        </w:tc>
        <w:tc>
          <w:tcPr>
            <w:tcW w:w="0" w:type="auto"/>
            <w:hideMark/>
          </w:tcPr>
          <w:p w14:paraId="62817882"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mortality: All-cause (men): 2.58 (0.96-6.96)</w:t>
            </w:r>
          </w:p>
        </w:tc>
      </w:tr>
      <w:tr w:rsidR="00BC6404" w:rsidRPr="00461B67" w14:paraId="54019777"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3A2F59E1" w14:textId="77777777" w:rsidR="00BC6404" w:rsidRPr="00461B67" w:rsidRDefault="00BC6404" w:rsidP="00F7795B">
            <w:pPr>
              <w:pStyle w:val="af2"/>
              <w:rPr>
                <w:rFonts w:ascii="Aptos" w:hAnsi="Aptos" w:cs="Times New Roman"/>
                <w:sz w:val="18"/>
                <w:szCs w:val="18"/>
              </w:rPr>
            </w:pPr>
            <w:proofErr w:type="spellStart"/>
            <w:r w:rsidRPr="00461B67">
              <w:rPr>
                <w:rFonts w:ascii="Aptos" w:hAnsi="Aptos" w:cs="Times New Roman"/>
                <w:sz w:val="18"/>
                <w:szCs w:val="18"/>
              </w:rPr>
              <w:t>Barbaresi</w:t>
            </w:r>
            <w:proofErr w:type="spellEnd"/>
            <w:r w:rsidRPr="00461B67">
              <w:rPr>
                <w:rFonts w:ascii="Aptos" w:hAnsi="Aptos" w:cs="Times New Roman"/>
                <w:sz w:val="18"/>
                <w:szCs w:val="18"/>
              </w:rPr>
              <w:t xml:space="preserve"> et al, 2013</w:t>
            </w:r>
          </w:p>
        </w:tc>
        <w:tc>
          <w:tcPr>
            <w:tcW w:w="0" w:type="auto"/>
            <w:hideMark/>
          </w:tcPr>
          <w:p w14:paraId="4597E3BB"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Prospective cohort (United States); Community, population-based</w:t>
            </w:r>
          </w:p>
        </w:tc>
        <w:tc>
          <w:tcPr>
            <w:tcW w:w="0" w:type="auto"/>
            <w:hideMark/>
          </w:tcPr>
          <w:p w14:paraId="6F085259"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367 patients with ADHD (28% girls and women)</w:t>
            </w:r>
          </w:p>
        </w:tc>
        <w:tc>
          <w:tcPr>
            <w:tcW w:w="0" w:type="auto"/>
            <w:hideMark/>
          </w:tcPr>
          <w:p w14:paraId="2D4C233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SMR</w:t>
            </w:r>
          </w:p>
        </w:tc>
        <w:tc>
          <w:tcPr>
            <w:tcW w:w="0" w:type="auto"/>
            <w:hideMark/>
          </w:tcPr>
          <w:p w14:paraId="5CF074D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and sex</w:t>
            </w:r>
          </w:p>
        </w:tc>
        <w:tc>
          <w:tcPr>
            <w:tcW w:w="0" w:type="auto"/>
            <w:hideMark/>
          </w:tcPr>
          <w:p w14:paraId="0FC00161"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All-cause mortality: All-cause (both): 1.88 (0.83-4.26). Cause specific mortality: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2.78 (1.12-6.90)</w:t>
            </w:r>
          </w:p>
        </w:tc>
      </w:tr>
      <w:tr w:rsidR="00BC6404" w:rsidRPr="00461B67" w14:paraId="1B2AFEBA"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5C1C9708" w14:textId="1815FEAE"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Dalsgaard et al, 2015</w:t>
            </w:r>
          </w:p>
        </w:tc>
        <w:tc>
          <w:tcPr>
            <w:tcW w:w="0" w:type="auto"/>
            <w:hideMark/>
          </w:tcPr>
          <w:p w14:paraId="4FDAEFD6"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(Denmark); Community, population-based</w:t>
            </w:r>
          </w:p>
        </w:tc>
        <w:tc>
          <w:tcPr>
            <w:tcW w:w="0" w:type="auto"/>
            <w:hideMark/>
          </w:tcPr>
          <w:p w14:paraId="1D2FCE18"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32061 patients with ADHD (26% girls and women)</w:t>
            </w:r>
          </w:p>
        </w:tc>
        <w:tc>
          <w:tcPr>
            <w:tcW w:w="0" w:type="auto"/>
            <w:hideMark/>
          </w:tcPr>
          <w:p w14:paraId="4E023108"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RR</w:t>
            </w:r>
          </w:p>
        </w:tc>
        <w:tc>
          <w:tcPr>
            <w:tcW w:w="0" w:type="auto"/>
            <w:hideMark/>
          </w:tcPr>
          <w:p w14:paraId="451FD03B"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sex, calendar year, parental history of psychiatric disorders, maternal/paternal age, parental educational and employment status</w:t>
            </w:r>
          </w:p>
        </w:tc>
        <w:tc>
          <w:tcPr>
            <w:tcW w:w="0" w:type="auto"/>
            <w:hideMark/>
          </w:tcPr>
          <w:p w14:paraId="7084367B"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All-cause mortality: All-cause (both): 2.07 (1.70-2.50); All-cause (men): 1.93 (1.55-2.38); All-cause (women): 3.01 (1.87-4.55). Cause specific mortality: Natural causes (both): 1.70 (1.11-2.47); Natural causes (men): 1.38 (0.82-2.16); Natural causes (women): 3.33 (1.51-6.24);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2.40 (1.81-3.13); </w:t>
            </w:r>
            <w:r w:rsidR="00036AC2" w:rsidRPr="00461B67">
              <w:rPr>
                <w:rFonts w:ascii="Aptos" w:hAnsi="Aptos" w:cs="Times New Roman"/>
                <w:sz w:val="18"/>
                <w:szCs w:val="18"/>
              </w:rPr>
              <w:t>External</w:t>
            </w:r>
            <w:r w:rsidRPr="00461B67">
              <w:rPr>
                <w:rFonts w:ascii="Aptos" w:hAnsi="Aptos" w:cs="Times New Roman"/>
                <w:sz w:val="18"/>
                <w:szCs w:val="18"/>
              </w:rPr>
              <w:t xml:space="preserve"> causes (men): 2.29 (1.69-3.04);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3.51 (1.50-6.85)</w:t>
            </w:r>
          </w:p>
        </w:tc>
      </w:tr>
      <w:tr w:rsidR="00BC6404" w:rsidRPr="00461B67" w14:paraId="35891EDF"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5B7AEABA"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lastRenderedPageBreak/>
              <w:t>Hechtman et al, 2016</w:t>
            </w:r>
          </w:p>
        </w:tc>
        <w:tc>
          <w:tcPr>
            <w:tcW w:w="0" w:type="auto"/>
            <w:hideMark/>
          </w:tcPr>
          <w:p w14:paraId="158BD48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Prospective cohort (United States); Community, school-based</w:t>
            </w:r>
          </w:p>
        </w:tc>
        <w:tc>
          <w:tcPr>
            <w:tcW w:w="0" w:type="auto"/>
            <w:hideMark/>
          </w:tcPr>
          <w:p w14:paraId="3064717E"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476 patients with ADHD (20% girls and women)</w:t>
            </w:r>
          </w:p>
        </w:tc>
        <w:tc>
          <w:tcPr>
            <w:tcW w:w="0" w:type="auto"/>
            <w:hideMark/>
          </w:tcPr>
          <w:p w14:paraId="1862C8B1"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RR</w:t>
            </w:r>
          </w:p>
        </w:tc>
        <w:tc>
          <w:tcPr>
            <w:tcW w:w="0" w:type="auto"/>
            <w:hideMark/>
          </w:tcPr>
          <w:p w14:paraId="20B9E094"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and sex</w:t>
            </w:r>
          </w:p>
        </w:tc>
        <w:tc>
          <w:tcPr>
            <w:tcW w:w="0" w:type="auto"/>
            <w:hideMark/>
          </w:tcPr>
          <w:p w14:paraId="15E96309"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All-cause mortality: All-cause (both): 5.06 (0.65-39.32). Cause specific mortality: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5.06 (0.65-39.32)</w:t>
            </w:r>
          </w:p>
        </w:tc>
      </w:tr>
      <w:tr w:rsidR="00BC6404" w:rsidRPr="00461B67" w14:paraId="279893B8"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6872193E"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London and Landes, 2016</w:t>
            </w:r>
          </w:p>
        </w:tc>
        <w:tc>
          <w:tcPr>
            <w:tcW w:w="0" w:type="auto"/>
            <w:hideMark/>
          </w:tcPr>
          <w:p w14:paraId="7C3F3D41"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Cohort study (United States); Community, population-based</w:t>
            </w:r>
          </w:p>
        </w:tc>
        <w:tc>
          <w:tcPr>
            <w:tcW w:w="0" w:type="auto"/>
            <w:hideMark/>
          </w:tcPr>
          <w:p w14:paraId="211DEFB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654 patients with ADHD (54% girls and women)</w:t>
            </w:r>
          </w:p>
        </w:tc>
        <w:tc>
          <w:tcPr>
            <w:tcW w:w="0" w:type="auto"/>
            <w:hideMark/>
          </w:tcPr>
          <w:p w14:paraId="1482C25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OR</w:t>
            </w:r>
          </w:p>
        </w:tc>
        <w:tc>
          <w:tcPr>
            <w:tcW w:w="0" w:type="auto"/>
            <w:hideMark/>
          </w:tcPr>
          <w:p w14:paraId="77670CB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sex, race/ethnicity, foreign-born</w:t>
            </w:r>
          </w:p>
        </w:tc>
        <w:tc>
          <w:tcPr>
            <w:tcW w:w="0" w:type="auto"/>
            <w:hideMark/>
          </w:tcPr>
          <w:p w14:paraId="475F2198"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mortality: All-cause (both): 1.78 (1.01-3.12)</w:t>
            </w:r>
          </w:p>
        </w:tc>
      </w:tr>
      <w:tr w:rsidR="00BC6404" w:rsidRPr="00461B67" w14:paraId="2A488E40"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2367C8F8"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Chen et al, 2019</w:t>
            </w:r>
          </w:p>
        </w:tc>
        <w:tc>
          <w:tcPr>
            <w:tcW w:w="0" w:type="auto"/>
            <w:hideMark/>
          </w:tcPr>
          <w:p w14:paraId="5F95A4BD"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(Taiwan); Mixed, population-based</w:t>
            </w:r>
          </w:p>
        </w:tc>
        <w:tc>
          <w:tcPr>
            <w:tcW w:w="0" w:type="auto"/>
            <w:hideMark/>
          </w:tcPr>
          <w:p w14:paraId="0ADDCDEA"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275980 patients with ADHD (24% girls and women)</w:t>
            </w:r>
          </w:p>
        </w:tc>
        <w:tc>
          <w:tcPr>
            <w:tcW w:w="0" w:type="auto"/>
            <w:hideMark/>
          </w:tcPr>
          <w:p w14:paraId="7A314905"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HR</w:t>
            </w:r>
          </w:p>
        </w:tc>
        <w:tc>
          <w:tcPr>
            <w:tcW w:w="0" w:type="auto"/>
          </w:tcPr>
          <w:p w14:paraId="4FCB3BCD"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Model 1 (used in the main analysis): matched design by sex and age; adjusted by residence, level of income, and outpatient visits past 1 year before the index date.</w:t>
            </w:r>
          </w:p>
        </w:tc>
        <w:tc>
          <w:tcPr>
            <w:tcW w:w="0" w:type="auto"/>
          </w:tcPr>
          <w:p w14:paraId="42C21265"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All-cause mortality: All-cause (both): 1.32 (1.22-1.43); All-cause (men): 1.26 (1.15-1.39); All-cause (women): 1.52 (1.28-1.79). Cause specific mortality: Natural causes (both): 1.14 (1.02-1.27); Natural causes (men): 1.09 (0.96-1.24); Natural causes (women): 1.28 (1.04-1.58);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1.63 (1.43 - 1.86); </w:t>
            </w:r>
            <w:r w:rsidR="00036AC2" w:rsidRPr="00461B67">
              <w:rPr>
                <w:rFonts w:ascii="Aptos" w:hAnsi="Aptos" w:cs="Times New Roman"/>
                <w:sz w:val="18"/>
                <w:szCs w:val="18"/>
              </w:rPr>
              <w:t>External</w:t>
            </w:r>
            <w:r w:rsidRPr="00461B67">
              <w:rPr>
                <w:rFonts w:ascii="Aptos" w:hAnsi="Aptos" w:cs="Times New Roman"/>
                <w:sz w:val="18"/>
                <w:szCs w:val="18"/>
              </w:rPr>
              <w:t xml:space="preserve"> causes (men): 1.46 (1.26 - 1.69);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2.15 (1.56 - 2.97)</w:t>
            </w:r>
          </w:p>
        </w:tc>
      </w:tr>
      <w:tr w:rsidR="00BC6404" w:rsidRPr="00461B67" w14:paraId="760211D7"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3C85F3C2" w14:textId="77777777" w:rsidR="00BC6404" w:rsidRPr="00461B67" w:rsidRDefault="00BC6404" w:rsidP="00F7795B">
            <w:pPr>
              <w:pStyle w:val="af2"/>
              <w:rPr>
                <w:rFonts w:ascii="Aptos" w:hAnsi="Aptos" w:cs="Times New Roman"/>
                <w:sz w:val="18"/>
                <w:szCs w:val="18"/>
              </w:rPr>
            </w:pPr>
          </w:p>
        </w:tc>
        <w:tc>
          <w:tcPr>
            <w:tcW w:w="0" w:type="auto"/>
          </w:tcPr>
          <w:p w14:paraId="79E53064"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687E6124"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36182CF"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EE42C25"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Model 2 (more extensively adjusted): adjusted by model 1 and the presence of congenital anomaly, and mental comorbidities before the index date.</w:t>
            </w:r>
          </w:p>
        </w:tc>
        <w:tc>
          <w:tcPr>
            <w:tcW w:w="0" w:type="auto"/>
          </w:tcPr>
          <w:p w14:paraId="727E655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All-cause mortality: All-cause (both): 1.07 (1.00-1.17); All-cause (men): 1.04 (0.94-1.14); All-cause (women): 1.24 (1.04-1.48). Cause specific mortality: Natural causes (both): 0.91 (0.80-1.15); Natural causes (men): 0.83 (0.72-1.15); Natural causes (women): 1.03 (0.82-1.30);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1.51 (1.32-1.72); </w:t>
            </w:r>
            <w:r w:rsidR="00036AC2" w:rsidRPr="00461B67">
              <w:rPr>
                <w:rFonts w:ascii="Aptos" w:hAnsi="Aptos" w:cs="Times New Roman"/>
                <w:sz w:val="18"/>
                <w:szCs w:val="18"/>
              </w:rPr>
              <w:t>External</w:t>
            </w:r>
            <w:r w:rsidRPr="00461B67">
              <w:rPr>
                <w:rFonts w:ascii="Aptos" w:hAnsi="Aptos" w:cs="Times New Roman"/>
                <w:sz w:val="18"/>
                <w:szCs w:val="18"/>
              </w:rPr>
              <w:t xml:space="preserve"> causes (men): 1.45 (1.25-1.67);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1.82 (1.32-2.51)</w:t>
            </w:r>
          </w:p>
        </w:tc>
      </w:tr>
      <w:tr w:rsidR="00BC6404" w:rsidRPr="00461B67" w14:paraId="07A16EC6"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8736C80"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Sun et al, 2019</w:t>
            </w:r>
          </w:p>
        </w:tc>
        <w:tc>
          <w:tcPr>
            <w:tcW w:w="0" w:type="auto"/>
            <w:hideMark/>
          </w:tcPr>
          <w:p w14:paraId="0F164D09"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Prospective cohort (Sweden); Community, population-based</w:t>
            </w:r>
          </w:p>
        </w:tc>
        <w:tc>
          <w:tcPr>
            <w:tcW w:w="0" w:type="auto"/>
            <w:hideMark/>
          </w:tcPr>
          <w:p w14:paraId="65960046"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86670 patients with ADHD (33% girls and women)</w:t>
            </w:r>
          </w:p>
        </w:tc>
        <w:tc>
          <w:tcPr>
            <w:tcW w:w="0" w:type="auto"/>
            <w:hideMark/>
          </w:tcPr>
          <w:p w14:paraId="46956B80"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HR</w:t>
            </w:r>
          </w:p>
        </w:tc>
        <w:tc>
          <w:tcPr>
            <w:tcW w:w="0" w:type="auto"/>
            <w:hideMark/>
          </w:tcPr>
          <w:p w14:paraId="6D49E0D1"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(birth age, maternal age), sex, parental educational level, parental employment status, and birth weight</w:t>
            </w:r>
          </w:p>
        </w:tc>
        <w:tc>
          <w:tcPr>
            <w:tcW w:w="0" w:type="auto"/>
            <w:hideMark/>
          </w:tcPr>
          <w:p w14:paraId="4642B187"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mortality: All-cause (both): 3.94 (3.51-4.43); All-cause (men): 4.63 (4.09-5.25); All-cause (women): 5.49 (4.46-6.76). Cause specific mortality: Natural causes (both): 2.47 (1.66-3.68); Natural causes (men): 1.76 (1.33-3.32); Natural causes (women): 2.70 (1.81-</w:t>
            </w:r>
            <w:r w:rsidRPr="00461B67">
              <w:rPr>
                <w:rFonts w:ascii="Aptos" w:hAnsi="Aptos" w:cs="Times New Roman"/>
                <w:sz w:val="18"/>
                <w:szCs w:val="18"/>
              </w:rPr>
              <w:lastRenderedPageBreak/>
              <w:t xml:space="preserve">4.04);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6.48 (5.12-8.21); </w:t>
            </w:r>
            <w:r w:rsidR="00036AC2" w:rsidRPr="00461B67">
              <w:rPr>
                <w:rFonts w:ascii="Aptos" w:hAnsi="Aptos" w:cs="Times New Roman"/>
                <w:sz w:val="18"/>
                <w:szCs w:val="18"/>
              </w:rPr>
              <w:t>External</w:t>
            </w:r>
            <w:r w:rsidRPr="00461B67">
              <w:rPr>
                <w:rFonts w:ascii="Aptos" w:hAnsi="Aptos" w:cs="Times New Roman"/>
                <w:sz w:val="18"/>
                <w:szCs w:val="18"/>
              </w:rPr>
              <w:t xml:space="preserve"> causes (men): 5.01 (4.40-5.71);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7.11 (5.58-9.06)</w:t>
            </w:r>
          </w:p>
        </w:tc>
      </w:tr>
      <w:tr w:rsidR="00BC6404" w:rsidRPr="00461B67" w14:paraId="175B1E28"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57235687"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lastRenderedPageBreak/>
              <w:t>Yeh et al, 2019</w:t>
            </w:r>
          </w:p>
        </w:tc>
        <w:tc>
          <w:tcPr>
            <w:tcW w:w="0" w:type="auto"/>
            <w:hideMark/>
          </w:tcPr>
          <w:p w14:paraId="01BB6684"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case-control (United States); Mixed, population-based</w:t>
            </w:r>
          </w:p>
        </w:tc>
        <w:tc>
          <w:tcPr>
            <w:tcW w:w="0" w:type="auto"/>
            <w:hideMark/>
          </w:tcPr>
          <w:p w14:paraId="0D5897E5"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4416 patients with ADHD (22% girls and women)</w:t>
            </w:r>
          </w:p>
        </w:tc>
        <w:tc>
          <w:tcPr>
            <w:tcW w:w="0" w:type="auto"/>
            <w:hideMark/>
          </w:tcPr>
          <w:p w14:paraId="1AC7D9AE"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OR</w:t>
            </w:r>
          </w:p>
        </w:tc>
        <w:tc>
          <w:tcPr>
            <w:tcW w:w="0" w:type="auto"/>
            <w:hideMark/>
          </w:tcPr>
          <w:p w14:paraId="7FF69623"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Used in the main analysis: age, sex, insurance type, poverty level, and education</w:t>
            </w:r>
          </w:p>
        </w:tc>
        <w:tc>
          <w:tcPr>
            <w:tcW w:w="0" w:type="auto"/>
            <w:hideMark/>
          </w:tcPr>
          <w:p w14:paraId="31EACA2E"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Cause specific mortality: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2.37 (1.79-3.15); </w:t>
            </w:r>
            <w:r w:rsidR="00036AC2" w:rsidRPr="00461B67">
              <w:rPr>
                <w:rFonts w:ascii="Aptos" w:hAnsi="Aptos" w:cs="Times New Roman"/>
                <w:sz w:val="18"/>
                <w:szCs w:val="18"/>
              </w:rPr>
              <w:t>External</w:t>
            </w:r>
            <w:r w:rsidRPr="00461B67">
              <w:rPr>
                <w:rFonts w:ascii="Aptos" w:hAnsi="Aptos" w:cs="Times New Roman"/>
                <w:sz w:val="18"/>
                <w:szCs w:val="18"/>
              </w:rPr>
              <w:t xml:space="preserve"> causes (men): 1.92 (1.38-2.67);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3.14 (1.80-5.50)</w:t>
            </w:r>
          </w:p>
        </w:tc>
      </w:tr>
      <w:tr w:rsidR="00BC6404" w:rsidRPr="00461B67" w14:paraId="607236BA"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1DA09709" w14:textId="77777777" w:rsidR="00BC6404" w:rsidRPr="00461B67" w:rsidRDefault="00BC6404" w:rsidP="00F7795B">
            <w:pPr>
              <w:pStyle w:val="af2"/>
              <w:rPr>
                <w:rFonts w:ascii="Aptos" w:hAnsi="Aptos" w:cs="Times New Roman"/>
                <w:sz w:val="18"/>
                <w:szCs w:val="18"/>
              </w:rPr>
            </w:pPr>
          </w:p>
        </w:tc>
        <w:tc>
          <w:tcPr>
            <w:tcW w:w="0" w:type="auto"/>
          </w:tcPr>
          <w:p w14:paraId="34CEF815"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030FFFDF"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17D7B102"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8AE4689"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More extensively adjusted model: fully adjusted for age, insurance type, poverty level, education level, and all listed mental health conditions</w:t>
            </w:r>
          </w:p>
        </w:tc>
        <w:tc>
          <w:tcPr>
            <w:tcW w:w="0" w:type="auto"/>
          </w:tcPr>
          <w:p w14:paraId="60D4D81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Cause specific mortality: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0.88 (0.66-1.18); </w:t>
            </w:r>
            <w:r w:rsidR="00036AC2" w:rsidRPr="00461B67">
              <w:rPr>
                <w:rFonts w:ascii="Aptos" w:hAnsi="Aptos" w:cs="Times New Roman"/>
                <w:sz w:val="18"/>
                <w:szCs w:val="18"/>
              </w:rPr>
              <w:t>External</w:t>
            </w:r>
            <w:r w:rsidRPr="00461B67">
              <w:rPr>
                <w:rFonts w:ascii="Aptos" w:hAnsi="Aptos" w:cs="Times New Roman"/>
                <w:sz w:val="18"/>
                <w:szCs w:val="18"/>
              </w:rPr>
              <w:t xml:space="preserve"> causes (men): 0.67 (0.48-0.95);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0.86 (0.48-1.53)</w:t>
            </w:r>
          </w:p>
        </w:tc>
      </w:tr>
      <w:tr w:rsidR="00BC6404" w:rsidRPr="00461B67" w14:paraId="3550246E"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18AA7802"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Fitzgerald et al, 2019</w:t>
            </w:r>
          </w:p>
        </w:tc>
        <w:tc>
          <w:tcPr>
            <w:tcW w:w="0" w:type="auto"/>
            <w:hideMark/>
          </w:tcPr>
          <w:p w14:paraId="5ECA908F"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(Denmark); Community, population-based</w:t>
            </w:r>
          </w:p>
        </w:tc>
        <w:tc>
          <w:tcPr>
            <w:tcW w:w="0" w:type="auto"/>
            <w:hideMark/>
          </w:tcPr>
          <w:p w14:paraId="1C18A1C2"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32540 patients with ADHD (31% girls and women)</w:t>
            </w:r>
          </w:p>
        </w:tc>
        <w:tc>
          <w:tcPr>
            <w:tcW w:w="0" w:type="auto"/>
            <w:hideMark/>
          </w:tcPr>
          <w:p w14:paraId="780240DA"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IRR</w:t>
            </w:r>
          </w:p>
        </w:tc>
        <w:tc>
          <w:tcPr>
            <w:tcW w:w="0" w:type="auto"/>
            <w:hideMark/>
          </w:tcPr>
          <w:p w14:paraId="097EDFF0"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Age, sex and calendar year</w:t>
            </w:r>
          </w:p>
        </w:tc>
        <w:tc>
          <w:tcPr>
            <w:tcW w:w="0" w:type="auto"/>
            <w:hideMark/>
          </w:tcPr>
          <w:p w14:paraId="6361ADA9"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Cause specific mortality: </w:t>
            </w:r>
            <w:r w:rsidR="00036AC2" w:rsidRPr="00461B67">
              <w:rPr>
                <w:rFonts w:ascii="Aptos" w:hAnsi="Aptos" w:cs="Times New Roman"/>
                <w:sz w:val="18"/>
                <w:szCs w:val="18"/>
              </w:rPr>
              <w:t>External</w:t>
            </w:r>
            <w:r w:rsidRPr="00461B67">
              <w:rPr>
                <w:rFonts w:ascii="Aptos" w:hAnsi="Aptos" w:cs="Times New Roman"/>
                <w:sz w:val="18"/>
                <w:szCs w:val="18"/>
              </w:rPr>
              <w:t xml:space="preserve"> causes (both): 3.20 (2.29-4.47); </w:t>
            </w:r>
            <w:r w:rsidR="00036AC2" w:rsidRPr="00461B67">
              <w:rPr>
                <w:rFonts w:ascii="Aptos" w:hAnsi="Aptos" w:cs="Times New Roman"/>
                <w:sz w:val="18"/>
                <w:szCs w:val="18"/>
              </w:rPr>
              <w:t>External</w:t>
            </w:r>
            <w:r w:rsidRPr="00461B67">
              <w:rPr>
                <w:rFonts w:ascii="Aptos" w:hAnsi="Aptos" w:cs="Times New Roman"/>
                <w:sz w:val="18"/>
                <w:szCs w:val="18"/>
              </w:rPr>
              <w:t xml:space="preserve"> causes (men): 2.98 (2.06-4.30); </w:t>
            </w:r>
            <w:r w:rsidR="00036AC2" w:rsidRPr="00461B67">
              <w:rPr>
                <w:rFonts w:ascii="Aptos" w:hAnsi="Aptos" w:cs="Times New Roman"/>
                <w:sz w:val="18"/>
                <w:szCs w:val="18"/>
              </w:rPr>
              <w:t>External</w:t>
            </w:r>
            <w:r w:rsidRPr="00461B67">
              <w:rPr>
                <w:rFonts w:ascii="Aptos" w:hAnsi="Aptos" w:cs="Times New Roman"/>
                <w:sz w:val="18"/>
                <w:szCs w:val="18"/>
              </w:rPr>
              <w:t xml:space="preserve"> causes (women): 1.47 (0.66-3.27)</w:t>
            </w:r>
          </w:p>
        </w:tc>
      </w:tr>
      <w:tr w:rsidR="00BC6404" w:rsidRPr="00461B67" w14:paraId="43BB10AF"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5E926959"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Schiavone et al, 2022</w:t>
            </w:r>
          </w:p>
        </w:tc>
        <w:tc>
          <w:tcPr>
            <w:tcW w:w="0" w:type="auto"/>
          </w:tcPr>
          <w:p w14:paraId="31E06FEC"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Prospective cohort (Finland); Community; health services (maternity hospital)</w:t>
            </w:r>
          </w:p>
        </w:tc>
        <w:tc>
          <w:tcPr>
            <w:tcW w:w="0" w:type="auto"/>
          </w:tcPr>
          <w:p w14:paraId="0A327C7E"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115 people with ADHD (29% girls and women)</w:t>
            </w:r>
          </w:p>
        </w:tc>
        <w:tc>
          <w:tcPr>
            <w:tcW w:w="0" w:type="auto"/>
          </w:tcPr>
          <w:p w14:paraId="4DDE936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HR</w:t>
            </w:r>
          </w:p>
        </w:tc>
        <w:tc>
          <w:tcPr>
            <w:tcW w:w="0" w:type="auto"/>
          </w:tcPr>
          <w:p w14:paraId="6EC91DD8"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Sex</w:t>
            </w:r>
          </w:p>
        </w:tc>
        <w:tc>
          <w:tcPr>
            <w:tcW w:w="0" w:type="auto"/>
          </w:tcPr>
          <w:p w14:paraId="348AE25A" w14:textId="77777777" w:rsidR="00895A36" w:rsidRPr="00461B67" w:rsidRDefault="00895A36" w:rsidP="00895A36">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mortality (both): 2.15 (1.02–4.54); external causes (both): 2.82 (1.12–7.12)</w:t>
            </w:r>
          </w:p>
          <w:p w14:paraId="4F1A6C56"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BC6404" w:rsidRPr="00461B67" w14:paraId="623FEDD9"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7A7BE38F"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Kim et al, 2025</w:t>
            </w:r>
          </w:p>
        </w:tc>
        <w:tc>
          <w:tcPr>
            <w:tcW w:w="0" w:type="auto"/>
          </w:tcPr>
          <w:p w14:paraId="7DD5EAEB"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(South Korea); Community, general health screening program</w:t>
            </w:r>
          </w:p>
        </w:tc>
        <w:tc>
          <w:tcPr>
            <w:tcW w:w="0" w:type="auto"/>
          </w:tcPr>
          <w:p w14:paraId="12A230E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187 people with ADHD</w:t>
            </w:r>
            <w:r w:rsidR="001C155A" w:rsidRPr="00461B67">
              <w:rPr>
                <w:rFonts w:ascii="Aptos" w:hAnsi="Aptos" w:cs="Times New Roman"/>
                <w:sz w:val="18"/>
                <w:szCs w:val="18"/>
              </w:rPr>
              <w:t>;</w:t>
            </w:r>
            <w:r w:rsidRPr="00461B67">
              <w:rPr>
                <w:rFonts w:ascii="Aptos" w:hAnsi="Aptos" w:cs="Times New Roman"/>
                <w:sz w:val="18"/>
                <w:szCs w:val="18"/>
              </w:rPr>
              <w:t xml:space="preserve"> </w:t>
            </w:r>
            <w:r w:rsidR="001C155A" w:rsidRPr="00461B67">
              <w:rPr>
                <w:rFonts w:ascii="Aptos" w:hAnsi="Aptos" w:cs="Times New Roman"/>
                <w:sz w:val="18"/>
                <w:szCs w:val="18"/>
              </w:rPr>
              <w:t>NA for sex distribution</w:t>
            </w:r>
          </w:p>
        </w:tc>
        <w:tc>
          <w:tcPr>
            <w:tcW w:w="0" w:type="auto"/>
          </w:tcPr>
          <w:p w14:paraId="733A1D26"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HR</w:t>
            </w:r>
          </w:p>
        </w:tc>
        <w:tc>
          <w:tcPr>
            <w:tcW w:w="0" w:type="auto"/>
          </w:tcPr>
          <w:p w14:paraId="177D2CD9"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Model 2 (used in the main analysis): adjusted for age, sex, and low income</w:t>
            </w:r>
          </w:p>
        </w:tc>
        <w:tc>
          <w:tcPr>
            <w:tcW w:w="0" w:type="auto"/>
          </w:tcPr>
          <w:p w14:paraId="382E45FE"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(both) 1.67 (1.13, 2.46)</w:t>
            </w:r>
            <w:r w:rsidR="00B834FC" w:rsidRPr="00461B67">
              <w:rPr>
                <w:rFonts w:ascii="Aptos" w:hAnsi="Aptos" w:cs="Times New Roman"/>
                <w:sz w:val="18"/>
                <w:szCs w:val="18"/>
              </w:rPr>
              <w:t>;</w:t>
            </w:r>
            <w:r w:rsidRPr="00461B67">
              <w:rPr>
                <w:rFonts w:ascii="Aptos" w:hAnsi="Aptos" w:cs="Times New Roman"/>
                <w:sz w:val="18"/>
                <w:szCs w:val="18"/>
              </w:rPr>
              <w:t xml:space="preserve"> </w:t>
            </w:r>
            <w:r w:rsidR="00036AC2" w:rsidRPr="00461B67">
              <w:rPr>
                <w:rFonts w:ascii="Aptos" w:hAnsi="Aptos" w:cs="Times New Roman"/>
                <w:sz w:val="18"/>
                <w:szCs w:val="18"/>
              </w:rPr>
              <w:t>External</w:t>
            </w:r>
            <w:r w:rsidRPr="00461B67">
              <w:rPr>
                <w:rFonts w:ascii="Aptos" w:hAnsi="Aptos" w:cs="Times New Roman"/>
                <w:sz w:val="18"/>
                <w:szCs w:val="18"/>
              </w:rPr>
              <w:t xml:space="preserve"> cause (both) 1.79 (0.25, 12.73)</w:t>
            </w:r>
          </w:p>
        </w:tc>
      </w:tr>
      <w:tr w:rsidR="00BC6404" w:rsidRPr="00461B67" w14:paraId="75572A64"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49949019" w14:textId="77777777" w:rsidR="00BC6404" w:rsidRPr="00461B67" w:rsidRDefault="00BC6404" w:rsidP="00F7795B">
            <w:pPr>
              <w:pStyle w:val="af2"/>
              <w:rPr>
                <w:rFonts w:ascii="Aptos" w:hAnsi="Aptos" w:cs="Times New Roman"/>
                <w:sz w:val="18"/>
                <w:szCs w:val="18"/>
              </w:rPr>
            </w:pPr>
          </w:p>
        </w:tc>
        <w:tc>
          <w:tcPr>
            <w:tcW w:w="0" w:type="auto"/>
          </w:tcPr>
          <w:p w14:paraId="6368E8FF"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ABF5747"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29841410"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B027869"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Model 4 (more extensively adjusted): adjusted for age, sex, low income, Charlson comorbidity index, smoking, alcohol drinking, and regular physical activity.</w:t>
            </w:r>
          </w:p>
        </w:tc>
        <w:tc>
          <w:tcPr>
            <w:tcW w:w="0" w:type="auto"/>
          </w:tcPr>
          <w:p w14:paraId="38D242BD"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(both) 1.39 (0.94, 2.05)</w:t>
            </w:r>
            <w:r w:rsidR="00A94CDB" w:rsidRPr="00461B67">
              <w:rPr>
                <w:rFonts w:ascii="Aptos" w:hAnsi="Aptos" w:cs="Times New Roman"/>
                <w:sz w:val="18"/>
                <w:szCs w:val="18"/>
              </w:rPr>
              <w:t>;</w:t>
            </w:r>
            <w:r w:rsidRPr="00461B67">
              <w:rPr>
                <w:rFonts w:ascii="Aptos" w:hAnsi="Aptos" w:cs="Times New Roman"/>
                <w:sz w:val="18"/>
                <w:szCs w:val="18"/>
              </w:rPr>
              <w:t xml:space="preserve"> All-cause (Male) 1.49 (0.93, 2.38)</w:t>
            </w:r>
            <w:r w:rsidR="00A94CDB" w:rsidRPr="00461B67">
              <w:rPr>
                <w:rFonts w:ascii="Aptos" w:hAnsi="Aptos" w:cs="Times New Roman"/>
                <w:sz w:val="18"/>
                <w:szCs w:val="18"/>
              </w:rPr>
              <w:t>;</w:t>
            </w:r>
            <w:r w:rsidRPr="00461B67">
              <w:rPr>
                <w:rFonts w:ascii="Aptos" w:hAnsi="Aptos" w:cs="Times New Roman"/>
                <w:sz w:val="18"/>
                <w:szCs w:val="18"/>
              </w:rPr>
              <w:t xml:space="preserve"> All-cause (Female) 1.29 (0.64, 2.57); </w:t>
            </w:r>
            <w:r w:rsidR="00036AC2" w:rsidRPr="00461B67">
              <w:rPr>
                <w:rFonts w:ascii="Aptos" w:hAnsi="Aptos" w:cs="Times New Roman"/>
                <w:sz w:val="18"/>
                <w:szCs w:val="18"/>
              </w:rPr>
              <w:t>External</w:t>
            </w:r>
            <w:r w:rsidRPr="00461B67">
              <w:rPr>
                <w:rFonts w:ascii="Aptos" w:hAnsi="Aptos" w:cs="Times New Roman"/>
                <w:sz w:val="18"/>
                <w:szCs w:val="18"/>
              </w:rPr>
              <w:t xml:space="preserve"> cause (both) 1.71 (0.24, 12.11)</w:t>
            </w:r>
            <w:r w:rsidR="00A94CDB" w:rsidRPr="00461B67">
              <w:rPr>
                <w:rFonts w:ascii="Aptos" w:hAnsi="Aptos" w:cs="Times New Roman"/>
                <w:sz w:val="18"/>
                <w:szCs w:val="18"/>
              </w:rPr>
              <w:t>;</w:t>
            </w:r>
            <w:r w:rsidRPr="00461B67">
              <w:rPr>
                <w:rFonts w:ascii="Aptos" w:hAnsi="Aptos" w:cs="Times New Roman"/>
                <w:sz w:val="18"/>
                <w:szCs w:val="18"/>
              </w:rPr>
              <w:t xml:space="preserve"> </w:t>
            </w:r>
            <w:r w:rsidR="00036AC2" w:rsidRPr="00461B67">
              <w:rPr>
                <w:rFonts w:ascii="Aptos" w:hAnsi="Aptos" w:cs="Times New Roman"/>
                <w:sz w:val="18"/>
                <w:szCs w:val="18"/>
              </w:rPr>
              <w:t>External</w:t>
            </w:r>
            <w:r w:rsidRPr="00461B67">
              <w:rPr>
                <w:rFonts w:ascii="Aptos" w:hAnsi="Aptos" w:cs="Times New Roman"/>
                <w:sz w:val="18"/>
                <w:szCs w:val="18"/>
              </w:rPr>
              <w:t xml:space="preserve"> cause (Female) 6.00 (0.85, 42.63)</w:t>
            </w:r>
          </w:p>
        </w:tc>
      </w:tr>
      <w:tr w:rsidR="00BC6404" w:rsidRPr="00461B67" w14:paraId="758C1C1F"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2C024773" w14:textId="77777777" w:rsidR="00BC6404" w:rsidRPr="00461B67" w:rsidRDefault="00BC6404" w:rsidP="00F7795B">
            <w:pPr>
              <w:pStyle w:val="af2"/>
              <w:rPr>
                <w:rFonts w:ascii="Aptos" w:hAnsi="Aptos" w:cs="Times New Roman"/>
                <w:sz w:val="18"/>
                <w:szCs w:val="18"/>
              </w:rPr>
            </w:pPr>
          </w:p>
        </w:tc>
        <w:tc>
          <w:tcPr>
            <w:tcW w:w="0" w:type="auto"/>
          </w:tcPr>
          <w:p w14:paraId="6E7BC9D6"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1DFB066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230D051"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65B490C9" w14:textId="77777777" w:rsidR="008D4B67" w:rsidRPr="00461B67"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Model 5 (more extensively adjusted): adjusted for age, sex, low income, Charlson comorbidity index, smoking, alcohol drinking, regular physical activity, and the other mental disorders</w:t>
            </w:r>
          </w:p>
        </w:tc>
        <w:tc>
          <w:tcPr>
            <w:tcW w:w="0" w:type="auto"/>
          </w:tcPr>
          <w:p w14:paraId="5B23554C" w14:textId="77777777" w:rsidR="00BC6404" w:rsidRPr="00461B67" w:rsidRDefault="00036AC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External</w:t>
            </w:r>
            <w:r w:rsidR="00BC6404" w:rsidRPr="00461B67">
              <w:rPr>
                <w:rFonts w:ascii="Aptos" w:hAnsi="Aptos" w:cs="Times New Roman"/>
                <w:sz w:val="18"/>
                <w:szCs w:val="18"/>
              </w:rPr>
              <w:t xml:space="preserve"> cause (both) 0.97 (0.14, 6.88)</w:t>
            </w:r>
          </w:p>
        </w:tc>
      </w:tr>
      <w:tr w:rsidR="00BC6404" w:rsidRPr="00461B67" w14:paraId="11D47C22"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1B1FD776" w14:textId="77777777" w:rsidR="00BC6404" w:rsidRPr="00461B67" w:rsidRDefault="00BC6404" w:rsidP="00F7795B">
            <w:pPr>
              <w:pStyle w:val="af2"/>
              <w:rPr>
                <w:rFonts w:ascii="Aptos" w:hAnsi="Aptos" w:cs="Times New Roman"/>
                <w:sz w:val="18"/>
                <w:szCs w:val="18"/>
              </w:rPr>
            </w:pPr>
            <w:r w:rsidRPr="00461B67">
              <w:rPr>
                <w:rFonts w:ascii="Aptos" w:hAnsi="Aptos" w:cs="Times New Roman"/>
                <w:sz w:val="18"/>
                <w:szCs w:val="18"/>
              </w:rPr>
              <w:t>Bowden et al, 2025</w:t>
            </w:r>
          </w:p>
        </w:tc>
        <w:tc>
          <w:tcPr>
            <w:tcW w:w="0" w:type="auto"/>
          </w:tcPr>
          <w:p w14:paraId="2F9989A2"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Retrospective cohort (New Zealand); Community; population-based</w:t>
            </w:r>
          </w:p>
        </w:tc>
        <w:tc>
          <w:tcPr>
            <w:tcW w:w="0" w:type="auto"/>
          </w:tcPr>
          <w:p w14:paraId="3041D56F"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25686 people with ADHD (23% girls and women)</w:t>
            </w:r>
          </w:p>
        </w:tc>
        <w:tc>
          <w:tcPr>
            <w:tcW w:w="0" w:type="auto"/>
          </w:tcPr>
          <w:p w14:paraId="68A5C509"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HR</w:t>
            </w:r>
          </w:p>
        </w:tc>
        <w:tc>
          <w:tcPr>
            <w:tcW w:w="0" w:type="auto"/>
          </w:tcPr>
          <w:p w14:paraId="3A84CF93" w14:textId="77777777" w:rsidR="00BC6404" w:rsidRPr="00461B67" w:rsidRDefault="00BC6404"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Sex, Age, Ethnicity, Social Deprivation, Urban or rural status, Birth</w:t>
            </w:r>
            <w:r w:rsidR="00566A48" w:rsidRPr="00461B67">
              <w:rPr>
                <w:rFonts w:ascii="Aptos" w:hAnsi="Aptos" w:cs="Times New Roman"/>
                <w:sz w:val="18"/>
                <w:szCs w:val="18"/>
              </w:rPr>
              <w:t xml:space="preserve"> </w:t>
            </w:r>
            <w:r w:rsidRPr="00461B67">
              <w:rPr>
                <w:rFonts w:ascii="Aptos" w:hAnsi="Aptos" w:cs="Times New Roman"/>
                <w:sz w:val="18"/>
                <w:szCs w:val="18"/>
              </w:rPr>
              <w:t>year</w:t>
            </w:r>
          </w:p>
        </w:tc>
        <w:tc>
          <w:tcPr>
            <w:tcW w:w="0" w:type="auto"/>
          </w:tcPr>
          <w:p w14:paraId="141C040F" w14:textId="77777777" w:rsidR="00BC6404" w:rsidRPr="00461B67" w:rsidRDefault="00172E7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All-cause mortality (both): 2.06 (1.67–2.54); men: 1.99 (1.58–2.50); women: 2.42 (1.47–3.99)</w:t>
            </w:r>
          </w:p>
        </w:tc>
      </w:tr>
      <w:tr w:rsidR="00BC6404" w:rsidRPr="00526808" w14:paraId="45403B4A"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1FAADF2C" w14:textId="77777777" w:rsidR="00FF1D7B" w:rsidRPr="00526808" w:rsidRDefault="00000000">
            <w:pPr>
              <w:rPr>
                <w:rFonts w:ascii="Aptos" w:hAnsi="Aptos"/>
                <w:sz w:val="18"/>
                <w:szCs w:val="18"/>
              </w:rPr>
            </w:pPr>
            <w:proofErr w:type="spellStart"/>
            <w:r w:rsidRPr="00526808">
              <w:rPr>
                <w:rFonts w:ascii="Aptos" w:hAnsi="Aptos"/>
                <w:sz w:val="18"/>
                <w:szCs w:val="18"/>
              </w:rPr>
              <w:t>O’Nions</w:t>
            </w:r>
            <w:proofErr w:type="spellEnd"/>
            <w:r w:rsidRPr="00526808">
              <w:rPr>
                <w:rFonts w:ascii="Aptos" w:hAnsi="Aptos"/>
                <w:sz w:val="18"/>
                <w:szCs w:val="18"/>
              </w:rPr>
              <w:t xml:space="preserve"> et al, 2025</w:t>
            </w:r>
          </w:p>
        </w:tc>
        <w:tc>
          <w:tcPr>
            <w:tcW w:w="0" w:type="auto"/>
          </w:tcPr>
          <w:p w14:paraId="79406503" w14:textId="77777777" w:rsidR="00FF1D7B" w:rsidRPr="00526808"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526808">
              <w:rPr>
                <w:rFonts w:ascii="Aptos" w:hAnsi="Aptos"/>
                <w:sz w:val="18"/>
                <w:szCs w:val="18"/>
              </w:rPr>
              <w:t>Matched retrospective cohort (United Kingdom); community primary care; 2000-2019</w:t>
            </w:r>
          </w:p>
        </w:tc>
        <w:tc>
          <w:tcPr>
            <w:tcW w:w="0" w:type="auto"/>
          </w:tcPr>
          <w:p w14:paraId="36700F9D" w14:textId="77777777" w:rsidR="00FF1D7B" w:rsidRPr="00526808"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526808">
              <w:rPr>
                <w:rFonts w:ascii="Aptos" w:hAnsi="Aptos"/>
                <w:sz w:val="18"/>
                <w:szCs w:val="18"/>
              </w:rPr>
              <w:t>30,039 adults with diagnosed ADHD (23,377 males; 6,662 females) and 300,390 comparison participants matched 1:10 by age, sex, and primary care practice</w:t>
            </w:r>
          </w:p>
        </w:tc>
        <w:tc>
          <w:tcPr>
            <w:tcW w:w="0" w:type="auto"/>
          </w:tcPr>
          <w:p w14:paraId="0413C6B1" w14:textId="77777777" w:rsidR="00FF1D7B" w:rsidRPr="00526808"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526808">
              <w:rPr>
                <w:rFonts w:ascii="Aptos" w:hAnsi="Aptos"/>
                <w:sz w:val="18"/>
                <w:szCs w:val="18"/>
              </w:rPr>
              <w:t>Mortality ratio</w:t>
            </w:r>
          </w:p>
        </w:tc>
        <w:tc>
          <w:tcPr>
            <w:tcW w:w="0" w:type="auto"/>
          </w:tcPr>
          <w:p w14:paraId="05BA20D0" w14:textId="77777777" w:rsidR="00FF1D7B" w:rsidRPr="00526808"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526808">
              <w:rPr>
                <w:rFonts w:ascii="Aptos" w:hAnsi="Aptos"/>
                <w:sz w:val="18"/>
                <w:szCs w:val="18"/>
              </w:rPr>
              <w:t>Matched on age, sex, and primary care practice; age-specific mortality rates estimated separately by sex using Poisson models with linear and quadratic age terms; no additional covariate adjustment. The combined-sex estimate was reconstructed by the review authors using fixed-effect inverse-variance pooling on the log-ratio scale.</w:t>
            </w:r>
          </w:p>
        </w:tc>
        <w:tc>
          <w:tcPr>
            <w:tcW w:w="0" w:type="auto"/>
          </w:tcPr>
          <w:p w14:paraId="50897AFE" w14:textId="77777777" w:rsidR="00FF1D7B" w:rsidRPr="00526808"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526808">
              <w:rPr>
                <w:rFonts w:ascii="Aptos" w:hAnsi="Aptos"/>
                <w:sz w:val="18"/>
                <w:szCs w:val="18"/>
              </w:rPr>
              <w:t>All-cause mortality: combined derived 1.99 (1.78-2.23); males 1.89 (1.62-2.19); females 2.13 (1.79-2.53)</w:t>
            </w:r>
          </w:p>
        </w:tc>
      </w:tr>
    </w:tbl>
    <w:p w14:paraId="4C2F57A1" w14:textId="0629DBB2" w:rsidR="00BC6404" w:rsidRPr="004B6533" w:rsidRDefault="00904889" w:rsidP="00C13E5D">
      <w:pPr>
        <w:rPr>
          <w:rFonts w:ascii="Aptos" w:hAnsi="Aptos" w:cs="Times New Roman"/>
          <w:sz w:val="10"/>
          <w:szCs w:val="10"/>
        </w:rPr>
      </w:pPr>
      <w:r w:rsidRPr="004B6533">
        <w:rPr>
          <w:rFonts w:ascii="Aptos" w:hAnsi="Aptos" w:cs="Times New Roman"/>
          <w:sz w:val="20"/>
          <w:szCs w:val="20"/>
        </w:rPr>
        <w:t>Abbreviations: ADHD, attention-deficit/hyperactivity disorder; SMR, standardized mortality ratio; RR, risk ratio; HR, hazard ratio; OR, odds ratio; IRR, incidence rate ratio; NA, not available</w:t>
      </w:r>
    </w:p>
    <w:p w14:paraId="4F419BD8" w14:textId="77777777" w:rsidR="00BC6404" w:rsidRPr="004B6533" w:rsidRDefault="00BC6404" w:rsidP="00C13E5D">
      <w:pPr>
        <w:rPr>
          <w:rFonts w:ascii="Aptos" w:hAnsi="Aptos" w:cs="Times New Roman"/>
          <w:sz w:val="20"/>
          <w:szCs w:val="20"/>
        </w:rPr>
      </w:pPr>
    </w:p>
    <w:p w14:paraId="23049DF0" w14:textId="77777777" w:rsidR="00BC6404" w:rsidRPr="00092549" w:rsidRDefault="00BC6404" w:rsidP="00C13E5D">
      <w:pPr>
        <w:rPr>
          <w:rFonts w:ascii="Aptos" w:hAnsi="Aptos" w:cs="Times New Roman"/>
        </w:rPr>
        <w:sectPr w:rsidR="00BC6404" w:rsidRPr="00092549" w:rsidSect="00BC6404">
          <w:type w:val="continuous"/>
          <w:pgSz w:w="16838" w:h="11906" w:orient="landscape"/>
          <w:pgMar w:top="720" w:right="720" w:bottom="720" w:left="720" w:header="851" w:footer="992" w:gutter="0"/>
          <w:cols w:space="425"/>
          <w:docGrid w:type="linesAndChars" w:linePitch="360"/>
        </w:sectPr>
      </w:pPr>
    </w:p>
    <w:p w14:paraId="032BCC52" w14:textId="77777777" w:rsidR="00FF542F" w:rsidRPr="00092549" w:rsidRDefault="00FF542F" w:rsidP="00C13E5D">
      <w:pPr>
        <w:rPr>
          <w:rFonts w:ascii="Aptos" w:hAnsi="Aptos" w:cs="Times New Roman"/>
        </w:rPr>
      </w:pPr>
    </w:p>
    <w:p w14:paraId="424A07E2" w14:textId="77777777" w:rsidR="004002D6" w:rsidRPr="00092549" w:rsidRDefault="00307000" w:rsidP="00C13E5D">
      <w:pPr>
        <w:rPr>
          <w:rFonts w:ascii="Aptos" w:hAnsi="Aptos" w:cs="Times New Roman"/>
        </w:rPr>
      </w:pPr>
      <w:r w:rsidRPr="00092549">
        <w:rPr>
          <w:rFonts w:ascii="Aptos" w:hAnsi="Aptos" w:cs="Times New Roman"/>
          <w:noProof/>
        </w:rPr>
        <w:drawing>
          <wp:inline distT="0" distB="0" distL="0" distR="0" wp14:anchorId="720E0413" wp14:editId="05482280">
            <wp:extent cx="6645910" cy="3987800"/>
            <wp:effectExtent l="0" t="0" r="2540" b="0"/>
            <wp:docPr id="68164307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3987800"/>
                    </a:xfrm>
                    <a:prstGeom prst="rect">
                      <a:avLst/>
                    </a:prstGeom>
                    <a:noFill/>
                    <a:ln>
                      <a:noFill/>
                    </a:ln>
                  </pic:spPr>
                </pic:pic>
              </a:graphicData>
            </a:graphic>
          </wp:inline>
        </w:drawing>
      </w:r>
    </w:p>
    <w:p w14:paraId="2D1D3562" w14:textId="77777777" w:rsidR="00307000" w:rsidRPr="00092549" w:rsidRDefault="00307000" w:rsidP="00C13E5D">
      <w:pPr>
        <w:rPr>
          <w:rFonts w:ascii="Aptos" w:hAnsi="Aptos" w:cs="Times New Roman"/>
        </w:rPr>
      </w:pPr>
      <w:r w:rsidRPr="00092549">
        <w:rPr>
          <w:rFonts w:ascii="Aptos" w:hAnsi="Aptos" w:cs="Times New Roman"/>
          <w:b/>
          <w:bCs/>
        </w:rPr>
        <w:t xml:space="preserve">Result S3. </w:t>
      </w:r>
      <w:r w:rsidR="001E4BD3" w:rsidRPr="00092549">
        <w:rPr>
          <w:rFonts w:ascii="Aptos" w:hAnsi="Aptos" w:cs="Times New Roman"/>
        </w:rPr>
        <w:t xml:space="preserve">Meta-analysis of the association between ADHD and mortality from </w:t>
      </w:r>
      <w:r w:rsidR="00036AC2" w:rsidRPr="00092549">
        <w:rPr>
          <w:rFonts w:ascii="Aptos" w:hAnsi="Aptos" w:cs="Times New Roman"/>
        </w:rPr>
        <w:t>external</w:t>
      </w:r>
      <w:r w:rsidR="001E4BD3" w:rsidRPr="00092549">
        <w:rPr>
          <w:rFonts w:ascii="Aptos" w:hAnsi="Aptos" w:cs="Times New Roman"/>
        </w:rPr>
        <w:t xml:space="preserve"> causes</w:t>
      </w:r>
    </w:p>
    <w:p w14:paraId="0EB2A330" w14:textId="75B2794D" w:rsidR="00ED6143" w:rsidRPr="00092549" w:rsidRDefault="00D2115B" w:rsidP="00C13E5D">
      <w:pPr>
        <w:rPr>
          <w:rFonts w:ascii="Aptos" w:hAnsi="Aptos" w:cs="Times New Roman"/>
          <w:sz w:val="22"/>
          <w:szCs w:val="22"/>
        </w:rPr>
      </w:pPr>
      <w:r w:rsidRPr="00092549">
        <w:rPr>
          <w:rFonts w:ascii="Aptos" w:hAnsi="Aptos" w:cs="Times New Roman"/>
          <w:sz w:val="22"/>
          <w:szCs w:val="22"/>
        </w:rPr>
        <w:t>Abbreviations: ADHD, attention-deficit/hyperactivity disorder; I², proportion of total variation due to between-study heterogeneity.</w:t>
      </w:r>
    </w:p>
    <w:p w14:paraId="762B1A09" w14:textId="77777777" w:rsidR="00ED6143" w:rsidRPr="00092549" w:rsidRDefault="00ED6143" w:rsidP="00ED6143">
      <w:pPr>
        <w:pageBreakBefore/>
        <w:rPr>
          <w:rFonts w:ascii="Aptos" w:hAnsi="Aptos" w:cs="Times New Roman"/>
          <w:sz w:val="22"/>
          <w:szCs w:val="22"/>
        </w:rPr>
      </w:pPr>
    </w:p>
    <w:p w14:paraId="6E92D4E9" w14:textId="77777777" w:rsidR="00307000" w:rsidRPr="00092549" w:rsidRDefault="00307000" w:rsidP="00C13E5D">
      <w:pPr>
        <w:rPr>
          <w:rFonts w:ascii="Aptos" w:hAnsi="Aptos" w:cs="Times New Roman"/>
        </w:rPr>
      </w:pPr>
      <w:r w:rsidRPr="00092549">
        <w:rPr>
          <w:rFonts w:ascii="Aptos" w:hAnsi="Aptos" w:cs="Times New Roman"/>
          <w:noProof/>
        </w:rPr>
        <w:drawing>
          <wp:inline distT="0" distB="0" distL="0" distR="0" wp14:anchorId="5A98F761" wp14:editId="23D5B6E3">
            <wp:extent cx="6645910" cy="3987800"/>
            <wp:effectExtent l="0" t="0" r="2540" b="0"/>
            <wp:docPr id="155312310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3987800"/>
                    </a:xfrm>
                    <a:prstGeom prst="rect">
                      <a:avLst/>
                    </a:prstGeom>
                    <a:noFill/>
                    <a:ln>
                      <a:noFill/>
                    </a:ln>
                  </pic:spPr>
                </pic:pic>
              </a:graphicData>
            </a:graphic>
          </wp:inline>
        </w:drawing>
      </w:r>
    </w:p>
    <w:p w14:paraId="11FEE269" w14:textId="77777777" w:rsidR="00307000" w:rsidRPr="00092549" w:rsidRDefault="00307000" w:rsidP="00307000">
      <w:pPr>
        <w:rPr>
          <w:rFonts w:ascii="Aptos" w:hAnsi="Aptos" w:cs="Times New Roman"/>
        </w:rPr>
      </w:pPr>
      <w:r w:rsidRPr="00092549">
        <w:rPr>
          <w:rFonts w:ascii="Aptos" w:hAnsi="Aptos" w:cs="Times New Roman"/>
          <w:b/>
          <w:bCs/>
        </w:rPr>
        <w:t xml:space="preserve">Result </w:t>
      </w:r>
      <w:r w:rsidR="0043142A" w:rsidRPr="00092549">
        <w:rPr>
          <w:rFonts w:ascii="Aptos" w:hAnsi="Aptos" w:cs="Times New Roman"/>
          <w:b/>
          <w:bCs/>
        </w:rPr>
        <w:t>S4</w:t>
      </w:r>
      <w:r w:rsidRPr="00092549">
        <w:rPr>
          <w:rFonts w:ascii="Aptos" w:hAnsi="Aptos" w:cs="Times New Roman"/>
          <w:b/>
          <w:bCs/>
        </w:rPr>
        <w:t xml:space="preserve">. </w:t>
      </w:r>
      <w:r w:rsidR="004B52D1" w:rsidRPr="00092549">
        <w:rPr>
          <w:rFonts w:ascii="Aptos" w:hAnsi="Aptos" w:cs="Times New Roman"/>
        </w:rPr>
        <w:t>Meta-analysis of the association between ADHD and mortality from natural causes</w:t>
      </w:r>
    </w:p>
    <w:p w14:paraId="1C958047" w14:textId="5AE4671F" w:rsidR="007E7A8A" w:rsidRPr="00092549" w:rsidRDefault="007E7A8A" w:rsidP="007E7A8A">
      <w:pPr>
        <w:rPr>
          <w:rFonts w:ascii="Aptos" w:hAnsi="Aptos" w:cs="Times New Roman"/>
          <w:sz w:val="22"/>
          <w:szCs w:val="22"/>
        </w:rPr>
      </w:pPr>
      <w:r w:rsidRPr="00092549">
        <w:rPr>
          <w:rFonts w:ascii="Aptos" w:hAnsi="Aptos" w:cs="Times New Roman"/>
          <w:sz w:val="22"/>
          <w:szCs w:val="22"/>
        </w:rPr>
        <w:t>Abbreviations: ADHD, attention-deficit/hyperactivity disorder; I², proportion of total variation due to between-study heterogeneity.</w:t>
      </w:r>
    </w:p>
    <w:p w14:paraId="2E66D612" w14:textId="77777777" w:rsidR="00ED6143" w:rsidRPr="00092549" w:rsidRDefault="00ED6143" w:rsidP="007E7A8A">
      <w:pPr>
        <w:rPr>
          <w:rFonts w:ascii="Aptos" w:hAnsi="Aptos" w:cs="Times New Roman"/>
          <w:sz w:val="22"/>
          <w:szCs w:val="22"/>
        </w:rPr>
      </w:pPr>
    </w:p>
    <w:p w14:paraId="3A2F45CF" w14:textId="77777777" w:rsidR="00ED6143" w:rsidRPr="00092549" w:rsidRDefault="00ED6143" w:rsidP="00ED6143">
      <w:pPr>
        <w:pageBreakBefore/>
        <w:rPr>
          <w:rFonts w:ascii="Aptos" w:hAnsi="Aptos" w:cs="Times New Roman"/>
          <w:sz w:val="22"/>
          <w:szCs w:val="22"/>
        </w:rPr>
      </w:pPr>
    </w:p>
    <w:p w14:paraId="4295E4CD" w14:textId="77777777" w:rsidR="00307000" w:rsidRPr="00092549" w:rsidRDefault="005600FA" w:rsidP="00C13E5D">
      <w:pPr>
        <w:jc w:val="center"/>
        <w:rPr>
          <w:rFonts w:ascii="Aptos" w:hAnsi="Aptos" w:cs="Times New Roman"/>
        </w:rPr>
      </w:pPr>
      <w:r>
        <w:rPr>
          <w:noProof/>
        </w:rPr>
        <w:drawing>
          <wp:inline distT="0" distB="0" distL="0" distR="0" wp14:anchorId="4022C1BF" wp14:editId="106F99D4">
            <wp:extent cx="6126480" cy="3573780"/>
            <wp:effectExtent l="0" t="0" r="0" b="0"/>
            <wp:docPr id="1553123101" name="Picture 155312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cause_female_updated.png"/>
                    <pic:cNvPicPr/>
                  </pic:nvPicPr>
                  <pic:blipFill>
                    <a:blip r:embed="rId9"/>
                    <a:stretch>
                      <a:fillRect/>
                    </a:stretch>
                  </pic:blipFill>
                  <pic:spPr>
                    <a:xfrm>
                      <a:off x="0" y="0"/>
                      <a:ext cx="6126480" cy="3573780"/>
                    </a:xfrm>
                    <a:prstGeom prst="rect">
                      <a:avLst/>
                    </a:prstGeom>
                  </pic:spPr>
                </pic:pic>
              </a:graphicData>
            </a:graphic>
          </wp:inline>
        </w:drawing>
      </w:r>
    </w:p>
    <w:p w14:paraId="0B7754B5" w14:textId="77777777" w:rsidR="00307000" w:rsidRPr="00092549" w:rsidRDefault="005600FA" w:rsidP="00C13E5D">
      <w:pPr>
        <w:rPr>
          <w:rFonts w:ascii="Aptos" w:hAnsi="Aptos" w:cs="Times New Roman"/>
        </w:rPr>
      </w:pPr>
      <w:r w:rsidRPr="00092549">
        <w:rPr>
          <w:rFonts w:ascii="Aptos" w:hAnsi="Aptos" w:cs="Times New Roman"/>
          <w:b/>
          <w:bCs/>
        </w:rPr>
        <w:t>Result S</w:t>
      </w:r>
      <w:r w:rsidR="0043142A" w:rsidRPr="00092549">
        <w:rPr>
          <w:rFonts w:ascii="Aptos" w:hAnsi="Aptos" w:cs="Times New Roman"/>
          <w:b/>
          <w:bCs/>
        </w:rPr>
        <w:t>5</w:t>
      </w:r>
      <w:r w:rsidRPr="00092549">
        <w:rPr>
          <w:rFonts w:ascii="Aptos" w:hAnsi="Aptos" w:cs="Times New Roman"/>
          <w:b/>
          <w:bCs/>
        </w:rPr>
        <w:t xml:space="preserve">. </w:t>
      </w:r>
      <w:r w:rsidR="00C805A2" w:rsidRPr="00092549">
        <w:rPr>
          <w:rFonts w:ascii="Aptos" w:hAnsi="Aptos" w:cs="Times New Roman"/>
        </w:rPr>
        <w:t>Meta-analysis of all-cause mortality associated with ADHD in females</w:t>
      </w:r>
    </w:p>
    <w:p w14:paraId="2829BD62" w14:textId="1FCE0F8B" w:rsidR="007E7A8A" w:rsidRPr="00092549" w:rsidRDefault="007E7A8A" w:rsidP="007E7A8A">
      <w:pPr>
        <w:rPr>
          <w:rFonts w:ascii="Aptos" w:hAnsi="Aptos" w:cs="Times New Roman"/>
          <w:sz w:val="22"/>
          <w:szCs w:val="22"/>
        </w:rPr>
      </w:pPr>
      <w:r w:rsidRPr="00092549">
        <w:rPr>
          <w:rFonts w:ascii="Aptos" w:hAnsi="Aptos" w:cs="Times New Roman"/>
          <w:sz w:val="22"/>
          <w:szCs w:val="22"/>
        </w:rPr>
        <w:t>Abbreviations: ADHD, attention-deficit/hyperactivity disorder; I², proportion of total variation due to between-study heterogeneity.</w:t>
      </w:r>
    </w:p>
    <w:p w14:paraId="64531BA9" w14:textId="77777777" w:rsidR="00ED6143" w:rsidRPr="00092549" w:rsidRDefault="00ED6143" w:rsidP="007E7A8A">
      <w:pPr>
        <w:rPr>
          <w:rFonts w:ascii="Aptos" w:hAnsi="Aptos" w:cs="Times New Roman"/>
          <w:sz w:val="22"/>
          <w:szCs w:val="22"/>
        </w:rPr>
      </w:pPr>
    </w:p>
    <w:p w14:paraId="63591209" w14:textId="77777777" w:rsidR="007E7A8A" w:rsidRPr="00092549" w:rsidRDefault="007E7A8A" w:rsidP="00ED6143">
      <w:pPr>
        <w:pageBreakBefore/>
        <w:rPr>
          <w:rFonts w:ascii="Aptos" w:hAnsi="Aptos" w:cs="Times New Roman"/>
        </w:rPr>
      </w:pPr>
    </w:p>
    <w:p w14:paraId="6B15D5D5" w14:textId="77777777" w:rsidR="00307000" w:rsidRPr="00092549" w:rsidRDefault="005600FA" w:rsidP="00C13E5D">
      <w:pPr>
        <w:jc w:val="center"/>
        <w:rPr>
          <w:rFonts w:ascii="Aptos" w:hAnsi="Aptos" w:cs="Times New Roman"/>
        </w:rPr>
      </w:pPr>
      <w:r>
        <w:rPr>
          <w:noProof/>
        </w:rPr>
        <w:drawing>
          <wp:inline distT="0" distB="0" distL="0" distR="0" wp14:anchorId="246D118A" wp14:editId="0746A577">
            <wp:extent cx="6126480" cy="3573780"/>
            <wp:effectExtent l="0" t="0" r="0" b="0"/>
            <wp:docPr id="1553123102" name="Picture 155312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cause_male_updated.png"/>
                    <pic:cNvPicPr/>
                  </pic:nvPicPr>
                  <pic:blipFill>
                    <a:blip r:embed="rId10"/>
                    <a:stretch>
                      <a:fillRect/>
                    </a:stretch>
                  </pic:blipFill>
                  <pic:spPr>
                    <a:xfrm>
                      <a:off x="0" y="0"/>
                      <a:ext cx="6126480" cy="3573780"/>
                    </a:xfrm>
                    <a:prstGeom prst="rect">
                      <a:avLst/>
                    </a:prstGeom>
                  </pic:spPr>
                </pic:pic>
              </a:graphicData>
            </a:graphic>
          </wp:inline>
        </w:drawing>
      </w:r>
    </w:p>
    <w:p w14:paraId="3FB9422B" w14:textId="77777777" w:rsidR="005600FA" w:rsidRPr="00092549" w:rsidRDefault="005600FA" w:rsidP="005600FA">
      <w:pPr>
        <w:rPr>
          <w:rFonts w:ascii="Aptos" w:hAnsi="Aptos" w:cs="Times New Roman"/>
        </w:rPr>
      </w:pPr>
      <w:r w:rsidRPr="00092549">
        <w:rPr>
          <w:rFonts w:ascii="Aptos" w:hAnsi="Aptos" w:cs="Times New Roman"/>
          <w:b/>
          <w:bCs/>
        </w:rPr>
        <w:t>Result S</w:t>
      </w:r>
      <w:r w:rsidR="0043142A" w:rsidRPr="00092549">
        <w:rPr>
          <w:rFonts w:ascii="Aptos" w:hAnsi="Aptos" w:cs="Times New Roman"/>
          <w:b/>
          <w:bCs/>
        </w:rPr>
        <w:t>6</w:t>
      </w:r>
      <w:r w:rsidRPr="00092549">
        <w:rPr>
          <w:rFonts w:ascii="Aptos" w:hAnsi="Aptos" w:cs="Times New Roman"/>
          <w:b/>
          <w:bCs/>
        </w:rPr>
        <w:t xml:space="preserve">. </w:t>
      </w:r>
      <w:r w:rsidR="00012EBD" w:rsidRPr="00092549">
        <w:rPr>
          <w:rFonts w:ascii="Aptos" w:hAnsi="Aptos" w:cs="Times New Roman"/>
        </w:rPr>
        <w:t>Meta-analysis of all-cause mortality associated with ADHD in males</w:t>
      </w:r>
    </w:p>
    <w:p w14:paraId="57CB300F" w14:textId="3F3719FE" w:rsidR="007E7A8A" w:rsidRPr="00092549" w:rsidRDefault="007E7A8A" w:rsidP="007E7A8A">
      <w:pPr>
        <w:rPr>
          <w:rFonts w:ascii="Aptos" w:hAnsi="Aptos" w:cs="Times New Roman"/>
          <w:sz w:val="22"/>
          <w:szCs w:val="22"/>
        </w:rPr>
      </w:pPr>
      <w:r w:rsidRPr="00092549">
        <w:rPr>
          <w:rFonts w:ascii="Aptos" w:hAnsi="Aptos" w:cs="Times New Roman"/>
          <w:sz w:val="22"/>
          <w:szCs w:val="22"/>
        </w:rPr>
        <w:t>Abbreviations: ADHD, attention-deficit/hyperactivity disorder; I², proportion of total variation due to between-study heterogeneity.</w:t>
      </w:r>
    </w:p>
    <w:p w14:paraId="28FF9654" w14:textId="77777777" w:rsidR="00ED6143" w:rsidRPr="00092549" w:rsidRDefault="00ED6143" w:rsidP="007E7A8A">
      <w:pPr>
        <w:rPr>
          <w:rFonts w:ascii="Aptos" w:hAnsi="Aptos" w:cs="Times New Roman"/>
          <w:sz w:val="22"/>
          <w:szCs w:val="22"/>
        </w:rPr>
      </w:pPr>
    </w:p>
    <w:p w14:paraId="7036D70D" w14:textId="77777777" w:rsidR="00ED6143" w:rsidRPr="00092549" w:rsidRDefault="00ED6143" w:rsidP="00ED6143">
      <w:pPr>
        <w:pageBreakBefore/>
        <w:rPr>
          <w:rFonts w:ascii="Aptos" w:hAnsi="Aptos" w:cs="Times New Roman"/>
          <w:sz w:val="22"/>
          <w:szCs w:val="22"/>
        </w:rPr>
      </w:pPr>
    </w:p>
    <w:p w14:paraId="02E4F2F4" w14:textId="77777777" w:rsidR="005600FA" w:rsidRPr="00092549" w:rsidRDefault="0043142A" w:rsidP="00C13E5D">
      <w:pPr>
        <w:rPr>
          <w:rFonts w:ascii="Aptos" w:hAnsi="Aptos" w:cs="Times New Roman"/>
        </w:rPr>
      </w:pPr>
      <w:r w:rsidRPr="00092549">
        <w:rPr>
          <w:rFonts w:ascii="Aptos" w:hAnsi="Aptos" w:cs="Times New Roman"/>
          <w:noProof/>
        </w:rPr>
        <w:drawing>
          <wp:inline distT="0" distB="0" distL="0" distR="0" wp14:anchorId="7F129D98" wp14:editId="4D8E5E27">
            <wp:extent cx="6645910" cy="3987800"/>
            <wp:effectExtent l="0" t="0" r="2540" b="0"/>
            <wp:docPr id="42116705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3987800"/>
                    </a:xfrm>
                    <a:prstGeom prst="rect">
                      <a:avLst/>
                    </a:prstGeom>
                    <a:noFill/>
                    <a:ln>
                      <a:noFill/>
                    </a:ln>
                  </pic:spPr>
                </pic:pic>
              </a:graphicData>
            </a:graphic>
          </wp:inline>
        </w:drawing>
      </w:r>
    </w:p>
    <w:p w14:paraId="24493D67" w14:textId="77777777" w:rsidR="0043142A" w:rsidRPr="00092549" w:rsidRDefault="0043142A" w:rsidP="0043142A">
      <w:pPr>
        <w:rPr>
          <w:rFonts w:ascii="Aptos" w:hAnsi="Aptos" w:cs="Times New Roman"/>
        </w:rPr>
      </w:pPr>
      <w:r w:rsidRPr="00092549">
        <w:rPr>
          <w:rFonts w:ascii="Aptos" w:hAnsi="Aptos" w:cs="Times New Roman"/>
          <w:b/>
          <w:bCs/>
        </w:rPr>
        <w:t>Result S7.</w:t>
      </w:r>
      <w:r w:rsidRPr="00092549">
        <w:rPr>
          <w:rFonts w:ascii="Aptos" w:hAnsi="Aptos" w:cs="Times New Roman"/>
        </w:rPr>
        <w:t xml:space="preserve"> </w:t>
      </w:r>
      <w:r w:rsidR="00012EBD" w:rsidRPr="00092549">
        <w:rPr>
          <w:rFonts w:ascii="Aptos" w:hAnsi="Aptos" w:cs="Times New Roman"/>
        </w:rPr>
        <w:t xml:space="preserve">Meta-analysis of mortality from </w:t>
      </w:r>
      <w:r w:rsidR="00036AC2" w:rsidRPr="00092549">
        <w:rPr>
          <w:rFonts w:ascii="Aptos" w:hAnsi="Aptos" w:cs="Times New Roman"/>
        </w:rPr>
        <w:t>external</w:t>
      </w:r>
      <w:r w:rsidR="00012EBD" w:rsidRPr="00092549">
        <w:rPr>
          <w:rFonts w:ascii="Aptos" w:hAnsi="Aptos" w:cs="Times New Roman"/>
        </w:rPr>
        <w:t xml:space="preserve"> causes associated with ADHD in females</w:t>
      </w:r>
    </w:p>
    <w:p w14:paraId="38D46121" w14:textId="3FECFE97" w:rsidR="007E7A8A" w:rsidRPr="00092549" w:rsidRDefault="007E7A8A" w:rsidP="007E7A8A">
      <w:pPr>
        <w:rPr>
          <w:rFonts w:ascii="Aptos" w:hAnsi="Aptos" w:cs="Times New Roman"/>
          <w:sz w:val="22"/>
          <w:szCs w:val="22"/>
        </w:rPr>
      </w:pPr>
      <w:r w:rsidRPr="00092549">
        <w:rPr>
          <w:rFonts w:ascii="Aptos" w:hAnsi="Aptos" w:cs="Times New Roman"/>
          <w:sz w:val="22"/>
          <w:szCs w:val="22"/>
        </w:rPr>
        <w:t>Abbreviations: ADHD, attention-deficit/hyperactivity disorder; I², proportion of total variation due to between-study heterogeneity.</w:t>
      </w:r>
    </w:p>
    <w:p w14:paraId="469EF3D9" w14:textId="77777777" w:rsidR="005600FA" w:rsidRPr="00092549" w:rsidRDefault="005600FA" w:rsidP="00C13E5D">
      <w:pPr>
        <w:rPr>
          <w:rFonts w:ascii="Aptos" w:hAnsi="Aptos" w:cs="Times New Roman"/>
        </w:rPr>
      </w:pPr>
    </w:p>
    <w:p w14:paraId="5AFDA2E6" w14:textId="77777777" w:rsidR="00ED6143" w:rsidRPr="00092549" w:rsidRDefault="00ED6143" w:rsidP="00ED6143">
      <w:pPr>
        <w:pageBreakBefore/>
        <w:rPr>
          <w:rFonts w:ascii="Aptos" w:hAnsi="Aptos" w:cs="Times New Roman"/>
        </w:rPr>
      </w:pPr>
    </w:p>
    <w:p w14:paraId="4F5F2DF1" w14:textId="77777777" w:rsidR="00307000" w:rsidRPr="00092549" w:rsidRDefault="0043142A" w:rsidP="00C13E5D">
      <w:pPr>
        <w:rPr>
          <w:rFonts w:ascii="Aptos" w:hAnsi="Aptos" w:cs="Times New Roman"/>
        </w:rPr>
      </w:pPr>
      <w:r w:rsidRPr="00092549">
        <w:rPr>
          <w:rFonts w:ascii="Aptos" w:hAnsi="Aptos" w:cs="Times New Roman"/>
          <w:noProof/>
        </w:rPr>
        <w:drawing>
          <wp:inline distT="0" distB="0" distL="0" distR="0" wp14:anchorId="7FF8932C" wp14:editId="115A674A">
            <wp:extent cx="6645910" cy="3987800"/>
            <wp:effectExtent l="0" t="0" r="2540" b="0"/>
            <wp:docPr id="1411745253"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45910" cy="3987800"/>
                    </a:xfrm>
                    <a:prstGeom prst="rect">
                      <a:avLst/>
                    </a:prstGeom>
                    <a:noFill/>
                    <a:ln>
                      <a:noFill/>
                    </a:ln>
                  </pic:spPr>
                </pic:pic>
              </a:graphicData>
            </a:graphic>
          </wp:inline>
        </w:drawing>
      </w:r>
    </w:p>
    <w:p w14:paraId="11724EF8" w14:textId="77777777" w:rsidR="0043142A" w:rsidRPr="00092549" w:rsidRDefault="0043142A" w:rsidP="0043142A">
      <w:pPr>
        <w:rPr>
          <w:rFonts w:ascii="Aptos" w:hAnsi="Aptos" w:cs="Times New Roman"/>
        </w:rPr>
      </w:pPr>
      <w:r w:rsidRPr="00092549">
        <w:rPr>
          <w:rFonts w:ascii="Aptos" w:hAnsi="Aptos" w:cs="Times New Roman"/>
          <w:b/>
          <w:bCs/>
        </w:rPr>
        <w:t xml:space="preserve">Result S8. </w:t>
      </w:r>
      <w:r w:rsidR="004B47B6" w:rsidRPr="00092549">
        <w:rPr>
          <w:rFonts w:ascii="Aptos" w:hAnsi="Aptos" w:cs="Times New Roman"/>
        </w:rPr>
        <w:t xml:space="preserve">Meta-analysis of mortality from </w:t>
      </w:r>
      <w:r w:rsidR="00036AC2" w:rsidRPr="00092549">
        <w:rPr>
          <w:rFonts w:ascii="Aptos" w:hAnsi="Aptos" w:cs="Times New Roman"/>
        </w:rPr>
        <w:t>external</w:t>
      </w:r>
      <w:r w:rsidR="004B47B6" w:rsidRPr="00092549">
        <w:rPr>
          <w:rFonts w:ascii="Aptos" w:hAnsi="Aptos" w:cs="Times New Roman"/>
        </w:rPr>
        <w:t xml:space="preserve"> causes associated with ADHD in males</w:t>
      </w:r>
    </w:p>
    <w:p w14:paraId="2D51A378" w14:textId="01EFAE1E" w:rsidR="007E7A8A" w:rsidRPr="00092549" w:rsidRDefault="007E7A8A" w:rsidP="007E7A8A">
      <w:pPr>
        <w:rPr>
          <w:rFonts w:ascii="Aptos" w:hAnsi="Aptos" w:cs="Times New Roman"/>
          <w:sz w:val="22"/>
          <w:szCs w:val="22"/>
        </w:rPr>
      </w:pPr>
      <w:r w:rsidRPr="00092549">
        <w:rPr>
          <w:rFonts w:ascii="Aptos" w:hAnsi="Aptos" w:cs="Times New Roman"/>
          <w:sz w:val="22"/>
          <w:szCs w:val="22"/>
        </w:rPr>
        <w:t>Abbreviations: ADHD, attention-deficit/hyperactivity disorder; I², proportion of total variation due to between-study heterogeneity.</w:t>
      </w:r>
    </w:p>
    <w:p w14:paraId="2FF8F9B4" w14:textId="77777777" w:rsidR="0043142A" w:rsidRPr="00092549" w:rsidRDefault="0043142A" w:rsidP="00C13E5D">
      <w:pPr>
        <w:rPr>
          <w:rFonts w:ascii="Aptos" w:hAnsi="Aptos" w:cs="Times New Roman"/>
        </w:rPr>
      </w:pPr>
    </w:p>
    <w:p w14:paraId="7D903053" w14:textId="77777777" w:rsidR="00ED6143" w:rsidRPr="00092549" w:rsidRDefault="00ED6143" w:rsidP="00ED6143">
      <w:pPr>
        <w:pageBreakBefore/>
        <w:rPr>
          <w:rFonts w:ascii="Aptos" w:hAnsi="Aptos" w:cs="Times New Roman"/>
        </w:rPr>
      </w:pPr>
    </w:p>
    <w:p w14:paraId="1F9ADA5D" w14:textId="77777777" w:rsidR="00214A2B" w:rsidRPr="00092549" w:rsidRDefault="00214A2B" w:rsidP="00214A2B">
      <w:pPr>
        <w:pStyle w:val="af2"/>
        <w:rPr>
          <w:rFonts w:ascii="Aptos" w:hAnsi="Aptos" w:cs="Times New Roman"/>
          <w:sz w:val="22"/>
          <w:szCs w:val="22"/>
        </w:rPr>
      </w:pPr>
      <w:r w:rsidRPr="00461B67">
        <w:rPr>
          <w:rFonts w:ascii="Aptos" w:hAnsi="Aptos" w:cs="Times New Roman"/>
          <w:b/>
          <w:bCs/>
        </w:rPr>
        <w:t xml:space="preserve">Result S9. </w:t>
      </w:r>
      <w:r w:rsidRPr="00092549">
        <w:rPr>
          <w:rFonts w:ascii="Aptos" w:hAnsi="Aptos" w:cs="Times New Roman"/>
        </w:rPr>
        <w:t>Summary of pooled and study-specific risk ratios for all-cause and cause-specific mortality associated with ADHD</w:t>
      </w:r>
    </w:p>
    <w:tbl>
      <w:tblPr>
        <w:tblStyle w:val="21"/>
        <w:tblW w:w="0" w:type="auto"/>
        <w:tblLook w:val="06A0" w:firstRow="1" w:lastRow="0" w:firstColumn="1" w:lastColumn="0" w:noHBand="1" w:noVBand="1"/>
      </w:tblPr>
      <w:tblGrid>
        <w:gridCol w:w="2585"/>
        <w:gridCol w:w="920"/>
        <w:gridCol w:w="1454"/>
        <w:gridCol w:w="3436"/>
        <w:gridCol w:w="556"/>
        <w:gridCol w:w="1515"/>
      </w:tblGrid>
      <w:tr w:rsidR="00214A2B" w:rsidRPr="00461B67" w14:paraId="0392400D" w14:textId="77777777" w:rsidTr="00F779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B7DF28"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Outcomes of interest</w:t>
            </w:r>
          </w:p>
        </w:tc>
        <w:tc>
          <w:tcPr>
            <w:tcW w:w="0" w:type="auto"/>
            <w:hideMark/>
          </w:tcPr>
          <w:p w14:paraId="32F8ABF1" w14:textId="77777777" w:rsidR="00214A2B" w:rsidRPr="00461B67" w:rsidRDefault="00214A2B"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No. of studies</w:t>
            </w:r>
          </w:p>
        </w:tc>
        <w:tc>
          <w:tcPr>
            <w:tcW w:w="0" w:type="auto"/>
            <w:hideMark/>
          </w:tcPr>
          <w:p w14:paraId="08E90F0D" w14:textId="77777777" w:rsidR="00214A2B" w:rsidRPr="00461B67" w:rsidRDefault="00214A2B"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Participants with ADHD, No.</w:t>
            </w:r>
          </w:p>
        </w:tc>
        <w:tc>
          <w:tcPr>
            <w:tcW w:w="0" w:type="auto"/>
            <w:hideMark/>
          </w:tcPr>
          <w:p w14:paraId="6FF318AC" w14:textId="77777777" w:rsidR="00214A2B" w:rsidRPr="00461B67" w:rsidRDefault="00214A2B"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RR (95% CI)</w:t>
            </w:r>
          </w:p>
        </w:tc>
        <w:tc>
          <w:tcPr>
            <w:tcW w:w="0" w:type="auto"/>
            <w:hideMark/>
          </w:tcPr>
          <w:p w14:paraId="5C066C1A" w14:textId="77777777" w:rsidR="00214A2B" w:rsidRPr="00461B67" w:rsidRDefault="00214A2B"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 xml:space="preserve">I² </w:t>
            </w:r>
          </w:p>
        </w:tc>
        <w:tc>
          <w:tcPr>
            <w:tcW w:w="0" w:type="auto"/>
            <w:hideMark/>
          </w:tcPr>
          <w:p w14:paraId="7D6E17C1" w14:textId="77777777" w:rsidR="00214A2B" w:rsidRPr="00461B67" w:rsidRDefault="00214A2B"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P value for heterogeneity</w:t>
            </w:r>
          </w:p>
        </w:tc>
      </w:tr>
      <w:tr w:rsidR="00214A2B" w:rsidRPr="00461B67" w14:paraId="6FAB00D1"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1CAFECCB" w14:textId="77777777" w:rsidR="00214A2B" w:rsidRPr="006E6E4B" w:rsidRDefault="00214A2B" w:rsidP="00F7795B">
            <w:pPr>
              <w:pStyle w:val="af2"/>
              <w:rPr>
                <w:rFonts w:ascii="Aptos" w:hAnsi="Aptos" w:cs="Times New Roman"/>
                <w:sz w:val="18"/>
                <w:szCs w:val="18"/>
              </w:rPr>
            </w:pPr>
            <w:r w:rsidRPr="006E6E4B">
              <w:rPr>
                <w:rFonts w:ascii="Aptos" w:hAnsi="Aptos" w:cs="Times New Roman"/>
                <w:sz w:val="18"/>
                <w:szCs w:val="18"/>
              </w:rPr>
              <w:t>Primary outcome</w:t>
            </w:r>
          </w:p>
        </w:tc>
        <w:tc>
          <w:tcPr>
            <w:tcW w:w="0" w:type="auto"/>
            <w:hideMark/>
          </w:tcPr>
          <w:p w14:paraId="241BF8D2"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6025584B"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3B92471"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40B7CBCE"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661285FC"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214A2B" w:rsidRPr="00461B67" w14:paraId="76AF1404"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0E4B3DD3" w14:textId="77777777" w:rsidR="00FF1D7B" w:rsidRPr="006E6E4B" w:rsidRDefault="00000000">
            <w:pPr>
              <w:rPr>
                <w:rFonts w:ascii="Aptos" w:hAnsi="Aptos"/>
                <w:sz w:val="18"/>
                <w:szCs w:val="18"/>
              </w:rPr>
            </w:pPr>
            <w:r w:rsidRPr="006E6E4B">
              <w:rPr>
                <w:rFonts w:ascii="Aptos" w:hAnsi="Aptos"/>
                <w:sz w:val="18"/>
                <w:szCs w:val="18"/>
              </w:rPr>
              <w:t>All-cause mortality, both</w:t>
            </w:r>
          </w:p>
        </w:tc>
        <w:tc>
          <w:tcPr>
            <w:tcW w:w="0" w:type="auto"/>
          </w:tcPr>
          <w:p w14:paraId="778F90B4"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11</w:t>
            </w:r>
          </w:p>
        </w:tc>
        <w:tc>
          <w:tcPr>
            <w:tcW w:w="0" w:type="auto"/>
          </w:tcPr>
          <w:p w14:paraId="59AF4D6A"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452393</w:t>
            </w:r>
          </w:p>
        </w:tc>
        <w:tc>
          <w:tcPr>
            <w:tcW w:w="0" w:type="auto"/>
          </w:tcPr>
          <w:p w14:paraId="3539B772"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2.02 (1.59-2.58)</w:t>
            </w:r>
          </w:p>
        </w:tc>
        <w:tc>
          <w:tcPr>
            <w:tcW w:w="0" w:type="auto"/>
          </w:tcPr>
          <w:p w14:paraId="023F6563"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95.8</w:t>
            </w:r>
          </w:p>
        </w:tc>
        <w:tc>
          <w:tcPr>
            <w:tcW w:w="0" w:type="auto"/>
          </w:tcPr>
          <w:p w14:paraId="552139B1"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&lt;0.0001</w:t>
            </w:r>
          </w:p>
        </w:tc>
      </w:tr>
      <w:tr w:rsidR="00214A2B" w:rsidRPr="00461B67" w14:paraId="3896D8BF"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359FD0B2" w14:textId="77777777" w:rsidR="00214A2B" w:rsidRPr="006E6E4B" w:rsidRDefault="00214A2B" w:rsidP="00F7795B">
            <w:pPr>
              <w:pStyle w:val="af2"/>
              <w:rPr>
                <w:rFonts w:ascii="Aptos" w:hAnsi="Aptos" w:cs="Times New Roman"/>
                <w:sz w:val="18"/>
                <w:szCs w:val="18"/>
              </w:rPr>
            </w:pPr>
            <w:r w:rsidRPr="006E6E4B">
              <w:rPr>
                <w:rFonts w:ascii="Aptos" w:hAnsi="Aptos" w:cs="Times New Roman"/>
                <w:sz w:val="18"/>
                <w:szCs w:val="18"/>
              </w:rPr>
              <w:t>Secondary outcomes</w:t>
            </w:r>
          </w:p>
        </w:tc>
        <w:tc>
          <w:tcPr>
            <w:tcW w:w="0" w:type="auto"/>
          </w:tcPr>
          <w:p w14:paraId="4F15FE3A"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19C6CE70"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7AEA7095"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0EEDF26D"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97A0175"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214A2B" w:rsidRPr="00461B67" w14:paraId="2D1C048F"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0E05D8CD" w14:textId="77777777" w:rsidR="00FF1D7B" w:rsidRPr="006E6E4B" w:rsidRDefault="00000000">
            <w:pPr>
              <w:rPr>
                <w:rFonts w:ascii="Aptos" w:hAnsi="Aptos"/>
                <w:sz w:val="18"/>
                <w:szCs w:val="18"/>
              </w:rPr>
            </w:pPr>
            <w:r w:rsidRPr="006E6E4B">
              <w:rPr>
                <w:rFonts w:ascii="Aptos" w:hAnsi="Aptos"/>
                <w:sz w:val="18"/>
                <w:szCs w:val="18"/>
              </w:rPr>
              <w:t>All-cause mortality, male</w:t>
            </w:r>
          </w:p>
        </w:tc>
        <w:tc>
          <w:tcPr>
            <w:tcW w:w="0" w:type="auto"/>
          </w:tcPr>
          <w:p w14:paraId="115AF9E8"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6</w:t>
            </w:r>
          </w:p>
        </w:tc>
        <w:tc>
          <w:tcPr>
            <w:tcW w:w="0" w:type="auto"/>
          </w:tcPr>
          <w:p w14:paraId="6A31ED0E"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450643</w:t>
            </w:r>
          </w:p>
        </w:tc>
        <w:tc>
          <w:tcPr>
            <w:tcW w:w="0" w:type="auto"/>
          </w:tcPr>
          <w:p w14:paraId="18601FA2"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2.15 (1.34-3.47)</w:t>
            </w:r>
          </w:p>
        </w:tc>
        <w:tc>
          <w:tcPr>
            <w:tcW w:w="0" w:type="auto"/>
          </w:tcPr>
          <w:p w14:paraId="3AAA52C2"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98.1</w:t>
            </w:r>
          </w:p>
        </w:tc>
        <w:tc>
          <w:tcPr>
            <w:tcW w:w="0" w:type="auto"/>
          </w:tcPr>
          <w:p w14:paraId="3335AC34"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&lt;0.0001</w:t>
            </w:r>
          </w:p>
        </w:tc>
      </w:tr>
      <w:tr w:rsidR="00FF1D7B" w14:paraId="4CD296A9"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26E7A83C" w14:textId="77777777" w:rsidR="00FF1D7B" w:rsidRPr="006E6E4B" w:rsidRDefault="00000000">
            <w:pPr>
              <w:rPr>
                <w:rFonts w:ascii="Aptos" w:hAnsi="Aptos"/>
                <w:sz w:val="18"/>
                <w:szCs w:val="18"/>
              </w:rPr>
            </w:pPr>
            <w:r w:rsidRPr="006E6E4B">
              <w:rPr>
                <w:rFonts w:ascii="Aptos" w:hAnsi="Aptos"/>
                <w:sz w:val="18"/>
                <w:szCs w:val="18"/>
              </w:rPr>
              <w:t>All-cause mortality, male, 95% prediction interval*</w:t>
            </w:r>
          </w:p>
        </w:tc>
        <w:tc>
          <w:tcPr>
            <w:tcW w:w="1032" w:type="dxa"/>
          </w:tcPr>
          <w:p w14:paraId="202DC7D0"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6</w:t>
            </w:r>
          </w:p>
        </w:tc>
        <w:tc>
          <w:tcPr>
            <w:tcW w:w="1732" w:type="dxa"/>
          </w:tcPr>
          <w:p w14:paraId="17572B04"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450643</w:t>
            </w:r>
          </w:p>
        </w:tc>
        <w:tc>
          <w:tcPr>
            <w:tcW w:w="3047" w:type="dxa"/>
          </w:tcPr>
          <w:p w14:paraId="0619F1A1"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2.15 (0.56-8.33)</w:t>
            </w:r>
          </w:p>
        </w:tc>
        <w:tc>
          <w:tcPr>
            <w:tcW w:w="556" w:type="dxa"/>
          </w:tcPr>
          <w:p w14:paraId="2C57514E"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98.1</w:t>
            </w:r>
          </w:p>
        </w:tc>
        <w:tc>
          <w:tcPr>
            <w:tcW w:w="1707" w:type="dxa"/>
          </w:tcPr>
          <w:p w14:paraId="2CD6F06F"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214A2B" w:rsidRPr="00461B67" w14:paraId="52C665EB"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5EA9E0C" w14:textId="77777777" w:rsidR="00FF1D7B" w:rsidRPr="006E6E4B" w:rsidRDefault="00000000">
            <w:pPr>
              <w:rPr>
                <w:rFonts w:ascii="Aptos" w:hAnsi="Aptos"/>
                <w:sz w:val="18"/>
                <w:szCs w:val="18"/>
              </w:rPr>
            </w:pPr>
            <w:r w:rsidRPr="006E6E4B">
              <w:rPr>
                <w:rFonts w:ascii="Aptos" w:hAnsi="Aptos"/>
                <w:sz w:val="18"/>
                <w:szCs w:val="18"/>
              </w:rPr>
              <w:t>All-cause mortality, female</w:t>
            </w:r>
          </w:p>
        </w:tc>
        <w:tc>
          <w:tcPr>
            <w:tcW w:w="0" w:type="auto"/>
          </w:tcPr>
          <w:p w14:paraId="54BE053B"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5</w:t>
            </w:r>
          </w:p>
        </w:tc>
        <w:tc>
          <w:tcPr>
            <w:tcW w:w="0" w:type="auto"/>
          </w:tcPr>
          <w:p w14:paraId="18DB7E3B"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450436</w:t>
            </w:r>
          </w:p>
        </w:tc>
        <w:tc>
          <w:tcPr>
            <w:tcW w:w="0" w:type="auto"/>
          </w:tcPr>
          <w:p w14:paraId="37865016"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2.64 (1.43-4.86)</w:t>
            </w:r>
          </w:p>
        </w:tc>
        <w:tc>
          <w:tcPr>
            <w:tcW w:w="0" w:type="auto"/>
          </w:tcPr>
          <w:p w14:paraId="36BB2DBD"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95.7</w:t>
            </w:r>
          </w:p>
        </w:tc>
        <w:tc>
          <w:tcPr>
            <w:tcW w:w="0" w:type="auto"/>
          </w:tcPr>
          <w:p w14:paraId="45D68C05"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&lt;0.0001</w:t>
            </w:r>
          </w:p>
        </w:tc>
      </w:tr>
      <w:tr w:rsidR="00FF1D7B" w14:paraId="124372D2"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2040DADD" w14:textId="77777777" w:rsidR="00FF1D7B" w:rsidRPr="006E6E4B" w:rsidRDefault="00000000">
            <w:pPr>
              <w:rPr>
                <w:rFonts w:ascii="Aptos" w:hAnsi="Aptos"/>
                <w:sz w:val="18"/>
                <w:szCs w:val="18"/>
              </w:rPr>
            </w:pPr>
            <w:r w:rsidRPr="006E6E4B">
              <w:rPr>
                <w:rFonts w:ascii="Aptos" w:hAnsi="Aptos"/>
                <w:sz w:val="18"/>
                <w:szCs w:val="18"/>
              </w:rPr>
              <w:t>All-cause mortality, female, 95% prediction interval*</w:t>
            </w:r>
          </w:p>
        </w:tc>
        <w:tc>
          <w:tcPr>
            <w:tcW w:w="1032" w:type="dxa"/>
          </w:tcPr>
          <w:p w14:paraId="731918BD"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5</w:t>
            </w:r>
          </w:p>
        </w:tc>
        <w:tc>
          <w:tcPr>
            <w:tcW w:w="1732" w:type="dxa"/>
          </w:tcPr>
          <w:p w14:paraId="24D6FD4D"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450436</w:t>
            </w:r>
          </w:p>
        </w:tc>
        <w:tc>
          <w:tcPr>
            <w:tcW w:w="3047" w:type="dxa"/>
          </w:tcPr>
          <w:p w14:paraId="66C04983"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2.64 (0.49-14.25)</w:t>
            </w:r>
          </w:p>
        </w:tc>
        <w:tc>
          <w:tcPr>
            <w:tcW w:w="556" w:type="dxa"/>
          </w:tcPr>
          <w:p w14:paraId="79D11EEC"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95.7</w:t>
            </w:r>
          </w:p>
        </w:tc>
        <w:tc>
          <w:tcPr>
            <w:tcW w:w="1707" w:type="dxa"/>
          </w:tcPr>
          <w:p w14:paraId="669C38FF"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214A2B" w:rsidRPr="00461B67" w14:paraId="5271E690"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0989025" w14:textId="77777777" w:rsidR="00214A2B" w:rsidRPr="006E6E4B" w:rsidRDefault="00214A2B" w:rsidP="00F7795B">
            <w:pPr>
              <w:pStyle w:val="af2"/>
              <w:rPr>
                <w:rFonts w:ascii="Aptos" w:hAnsi="Aptos" w:cs="Times New Roman"/>
                <w:sz w:val="18"/>
                <w:szCs w:val="18"/>
              </w:rPr>
            </w:pPr>
            <w:r w:rsidRPr="006E6E4B">
              <w:rPr>
                <w:rFonts w:ascii="Aptos" w:hAnsi="Aptos" w:cs="Times New Roman"/>
                <w:sz w:val="18"/>
                <w:szCs w:val="18"/>
              </w:rPr>
              <w:t>Natural causes, both</w:t>
            </w:r>
          </w:p>
        </w:tc>
        <w:tc>
          <w:tcPr>
            <w:tcW w:w="0" w:type="auto"/>
          </w:tcPr>
          <w:p w14:paraId="37DEBB93"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3</w:t>
            </w:r>
          </w:p>
        </w:tc>
        <w:tc>
          <w:tcPr>
            <w:tcW w:w="0" w:type="auto"/>
          </w:tcPr>
          <w:p w14:paraId="76CED1F6"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394711</w:t>
            </w:r>
          </w:p>
        </w:tc>
        <w:tc>
          <w:tcPr>
            <w:tcW w:w="0" w:type="auto"/>
          </w:tcPr>
          <w:p w14:paraId="7759C938"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1.63 (0.61-4.33)</w:t>
            </w:r>
          </w:p>
        </w:tc>
        <w:tc>
          <w:tcPr>
            <w:tcW w:w="0" w:type="auto"/>
          </w:tcPr>
          <w:p w14:paraId="4A89571D"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87.6</w:t>
            </w:r>
          </w:p>
        </w:tc>
        <w:tc>
          <w:tcPr>
            <w:tcW w:w="0" w:type="auto"/>
          </w:tcPr>
          <w:p w14:paraId="11DFD16C"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0.0003</w:t>
            </w:r>
          </w:p>
        </w:tc>
      </w:tr>
      <w:tr w:rsidR="00214A2B" w:rsidRPr="00461B67" w14:paraId="5870584A"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76A70357" w14:textId="77777777" w:rsidR="00FF1D7B" w:rsidRPr="006E6E4B" w:rsidRDefault="00000000">
            <w:pPr>
              <w:rPr>
                <w:rFonts w:ascii="Aptos" w:hAnsi="Aptos"/>
                <w:sz w:val="18"/>
                <w:szCs w:val="18"/>
              </w:rPr>
            </w:pPr>
            <w:r w:rsidRPr="006E6E4B">
              <w:rPr>
                <w:rFonts w:ascii="Aptos" w:hAnsi="Aptos"/>
                <w:sz w:val="18"/>
                <w:szCs w:val="18"/>
              </w:rPr>
              <w:t>External causes, both</w:t>
            </w:r>
          </w:p>
        </w:tc>
        <w:tc>
          <w:tcPr>
            <w:tcW w:w="0" w:type="auto"/>
          </w:tcPr>
          <w:p w14:paraId="0038296E"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11</w:t>
            </w:r>
          </w:p>
        </w:tc>
        <w:tc>
          <w:tcPr>
            <w:tcW w:w="0" w:type="auto"/>
          </w:tcPr>
          <w:p w14:paraId="059A0827"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433080</w:t>
            </w:r>
          </w:p>
        </w:tc>
        <w:tc>
          <w:tcPr>
            <w:tcW w:w="0" w:type="auto"/>
          </w:tcPr>
          <w:p w14:paraId="01377393"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2.76 (1.99-3.81)</w:t>
            </w:r>
          </w:p>
        </w:tc>
        <w:tc>
          <w:tcPr>
            <w:tcW w:w="0" w:type="auto"/>
          </w:tcPr>
          <w:p w14:paraId="4759811D"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90.5</w:t>
            </w:r>
          </w:p>
        </w:tc>
        <w:tc>
          <w:tcPr>
            <w:tcW w:w="0" w:type="auto"/>
          </w:tcPr>
          <w:p w14:paraId="4FBB1DBA"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&lt;0.0001</w:t>
            </w:r>
          </w:p>
        </w:tc>
      </w:tr>
      <w:tr w:rsidR="00FF1D7B" w14:paraId="63054490"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68F7E20D" w14:textId="77777777" w:rsidR="00FF1D7B" w:rsidRPr="006E6E4B" w:rsidRDefault="00000000">
            <w:pPr>
              <w:rPr>
                <w:rFonts w:ascii="Aptos" w:hAnsi="Aptos"/>
                <w:sz w:val="18"/>
                <w:szCs w:val="18"/>
              </w:rPr>
            </w:pPr>
            <w:r w:rsidRPr="006E6E4B">
              <w:rPr>
                <w:rFonts w:ascii="Aptos" w:hAnsi="Aptos"/>
                <w:sz w:val="18"/>
                <w:szCs w:val="18"/>
              </w:rPr>
              <w:t>External causes, both, 95% prediction interval*</w:t>
            </w:r>
          </w:p>
        </w:tc>
        <w:tc>
          <w:tcPr>
            <w:tcW w:w="1032" w:type="dxa"/>
          </w:tcPr>
          <w:p w14:paraId="08A7FE64"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11</w:t>
            </w:r>
          </w:p>
        </w:tc>
        <w:tc>
          <w:tcPr>
            <w:tcW w:w="1732" w:type="dxa"/>
          </w:tcPr>
          <w:p w14:paraId="2FD70ADC"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433080</w:t>
            </w:r>
          </w:p>
        </w:tc>
        <w:tc>
          <w:tcPr>
            <w:tcW w:w="3047" w:type="dxa"/>
          </w:tcPr>
          <w:p w14:paraId="67C86D2A"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2.76 (0.98-7.72)</w:t>
            </w:r>
          </w:p>
        </w:tc>
        <w:tc>
          <w:tcPr>
            <w:tcW w:w="556" w:type="dxa"/>
          </w:tcPr>
          <w:p w14:paraId="0F10DCE5"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90.5</w:t>
            </w:r>
          </w:p>
        </w:tc>
        <w:tc>
          <w:tcPr>
            <w:tcW w:w="1707" w:type="dxa"/>
          </w:tcPr>
          <w:p w14:paraId="14F7019B"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214A2B" w:rsidRPr="00461B67" w14:paraId="5E2A967A"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5C243D6D" w14:textId="77777777" w:rsidR="00214A2B" w:rsidRPr="006E6E4B" w:rsidRDefault="00036AC2" w:rsidP="00F7795B">
            <w:pPr>
              <w:pStyle w:val="af2"/>
              <w:rPr>
                <w:rFonts w:ascii="Aptos" w:hAnsi="Aptos" w:cs="Times New Roman"/>
                <w:sz w:val="18"/>
                <w:szCs w:val="18"/>
              </w:rPr>
            </w:pPr>
            <w:r w:rsidRPr="006E6E4B">
              <w:rPr>
                <w:rFonts w:ascii="Aptos" w:hAnsi="Aptos" w:cs="Times New Roman"/>
                <w:sz w:val="18"/>
                <w:szCs w:val="18"/>
              </w:rPr>
              <w:t>External</w:t>
            </w:r>
            <w:r w:rsidR="00214A2B" w:rsidRPr="006E6E4B">
              <w:rPr>
                <w:rFonts w:ascii="Aptos" w:hAnsi="Aptos" w:cs="Times New Roman"/>
                <w:sz w:val="18"/>
                <w:szCs w:val="18"/>
              </w:rPr>
              <w:t xml:space="preserve"> causes, male</w:t>
            </w:r>
          </w:p>
        </w:tc>
        <w:tc>
          <w:tcPr>
            <w:tcW w:w="0" w:type="auto"/>
          </w:tcPr>
          <w:p w14:paraId="755554C3"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5</w:t>
            </w:r>
          </w:p>
        </w:tc>
        <w:tc>
          <w:tcPr>
            <w:tcW w:w="0" w:type="auto"/>
          </w:tcPr>
          <w:p w14:paraId="65A1B8B2"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431667</w:t>
            </w:r>
          </w:p>
        </w:tc>
        <w:tc>
          <w:tcPr>
            <w:tcW w:w="0" w:type="auto"/>
          </w:tcPr>
          <w:p w14:paraId="0837683F"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2.50 (1.38-4.53)</w:t>
            </w:r>
          </w:p>
        </w:tc>
        <w:tc>
          <w:tcPr>
            <w:tcW w:w="0" w:type="auto"/>
          </w:tcPr>
          <w:p w14:paraId="50A6FBB9"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97.5</w:t>
            </w:r>
          </w:p>
        </w:tc>
        <w:tc>
          <w:tcPr>
            <w:tcW w:w="0" w:type="auto"/>
          </w:tcPr>
          <w:p w14:paraId="3113C2F2"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&lt;0.0001</w:t>
            </w:r>
          </w:p>
        </w:tc>
      </w:tr>
      <w:tr w:rsidR="00FF1D7B" w14:paraId="05B8B38D"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22DBBAFC" w14:textId="77777777" w:rsidR="00FF1D7B" w:rsidRPr="006E6E4B" w:rsidRDefault="00000000">
            <w:pPr>
              <w:rPr>
                <w:rFonts w:ascii="Aptos" w:hAnsi="Aptos"/>
                <w:sz w:val="18"/>
                <w:szCs w:val="18"/>
              </w:rPr>
            </w:pPr>
            <w:r w:rsidRPr="006E6E4B">
              <w:rPr>
                <w:rFonts w:ascii="Aptos" w:hAnsi="Aptos"/>
                <w:sz w:val="18"/>
                <w:szCs w:val="18"/>
              </w:rPr>
              <w:t>External causes, male, 95% prediction interval*</w:t>
            </w:r>
          </w:p>
        </w:tc>
        <w:tc>
          <w:tcPr>
            <w:tcW w:w="1032" w:type="dxa"/>
          </w:tcPr>
          <w:p w14:paraId="62A12844"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5</w:t>
            </w:r>
          </w:p>
        </w:tc>
        <w:tc>
          <w:tcPr>
            <w:tcW w:w="1732" w:type="dxa"/>
          </w:tcPr>
          <w:p w14:paraId="5B92A6EC"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431667</w:t>
            </w:r>
          </w:p>
        </w:tc>
        <w:tc>
          <w:tcPr>
            <w:tcW w:w="3047" w:type="dxa"/>
          </w:tcPr>
          <w:p w14:paraId="241A8CFE"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2.50 (0.48-13.03)</w:t>
            </w:r>
          </w:p>
        </w:tc>
        <w:tc>
          <w:tcPr>
            <w:tcW w:w="556" w:type="dxa"/>
          </w:tcPr>
          <w:p w14:paraId="299FBD46"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97.5</w:t>
            </w:r>
          </w:p>
        </w:tc>
        <w:tc>
          <w:tcPr>
            <w:tcW w:w="1707" w:type="dxa"/>
          </w:tcPr>
          <w:p w14:paraId="702CE777"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214A2B" w:rsidRPr="00461B67" w14:paraId="6086C8E4"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19CCCA51" w14:textId="77777777" w:rsidR="00214A2B" w:rsidRPr="006E6E4B" w:rsidRDefault="00036AC2" w:rsidP="00F7795B">
            <w:pPr>
              <w:pStyle w:val="af2"/>
              <w:rPr>
                <w:rFonts w:ascii="Aptos" w:hAnsi="Aptos" w:cs="Times New Roman"/>
                <w:sz w:val="18"/>
                <w:szCs w:val="18"/>
              </w:rPr>
            </w:pPr>
            <w:r w:rsidRPr="006E6E4B">
              <w:rPr>
                <w:rFonts w:ascii="Aptos" w:hAnsi="Aptos" w:cs="Times New Roman"/>
                <w:sz w:val="18"/>
                <w:szCs w:val="18"/>
              </w:rPr>
              <w:t>External</w:t>
            </w:r>
            <w:r w:rsidR="00214A2B" w:rsidRPr="006E6E4B">
              <w:rPr>
                <w:rFonts w:ascii="Aptos" w:hAnsi="Aptos" w:cs="Times New Roman"/>
                <w:sz w:val="18"/>
                <w:szCs w:val="18"/>
              </w:rPr>
              <w:t xml:space="preserve"> causes, female</w:t>
            </w:r>
          </w:p>
        </w:tc>
        <w:tc>
          <w:tcPr>
            <w:tcW w:w="0" w:type="auto"/>
          </w:tcPr>
          <w:p w14:paraId="607A51B3"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5</w:t>
            </w:r>
          </w:p>
        </w:tc>
        <w:tc>
          <w:tcPr>
            <w:tcW w:w="0" w:type="auto"/>
          </w:tcPr>
          <w:p w14:paraId="4F9D3CC8"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431667</w:t>
            </w:r>
          </w:p>
        </w:tc>
        <w:tc>
          <w:tcPr>
            <w:tcW w:w="0" w:type="auto"/>
          </w:tcPr>
          <w:p w14:paraId="5E31AF0E"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3.15 (1.49-6.64)</w:t>
            </w:r>
          </w:p>
        </w:tc>
        <w:tc>
          <w:tcPr>
            <w:tcW w:w="0" w:type="auto"/>
          </w:tcPr>
          <w:p w14:paraId="3315833B"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90.6</w:t>
            </w:r>
          </w:p>
        </w:tc>
        <w:tc>
          <w:tcPr>
            <w:tcW w:w="0" w:type="auto"/>
          </w:tcPr>
          <w:p w14:paraId="5B582B6D"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&lt;0.0001</w:t>
            </w:r>
          </w:p>
        </w:tc>
      </w:tr>
      <w:tr w:rsidR="00FF1D7B" w14:paraId="490ABA94"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2DD5B9EE" w14:textId="77777777" w:rsidR="00FF1D7B" w:rsidRPr="006E6E4B" w:rsidRDefault="00000000">
            <w:pPr>
              <w:rPr>
                <w:rFonts w:ascii="Aptos" w:hAnsi="Aptos"/>
                <w:sz w:val="18"/>
                <w:szCs w:val="18"/>
              </w:rPr>
            </w:pPr>
            <w:r w:rsidRPr="006E6E4B">
              <w:rPr>
                <w:rFonts w:ascii="Aptos" w:hAnsi="Aptos"/>
                <w:sz w:val="18"/>
                <w:szCs w:val="18"/>
              </w:rPr>
              <w:t>External causes, female, 95% prediction interval*</w:t>
            </w:r>
          </w:p>
        </w:tc>
        <w:tc>
          <w:tcPr>
            <w:tcW w:w="1032" w:type="dxa"/>
          </w:tcPr>
          <w:p w14:paraId="7B4AB6E6"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5</w:t>
            </w:r>
          </w:p>
        </w:tc>
        <w:tc>
          <w:tcPr>
            <w:tcW w:w="1732" w:type="dxa"/>
          </w:tcPr>
          <w:p w14:paraId="7C5794C8"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431667</w:t>
            </w:r>
          </w:p>
        </w:tc>
        <w:tc>
          <w:tcPr>
            <w:tcW w:w="3047" w:type="dxa"/>
          </w:tcPr>
          <w:p w14:paraId="46F3A6FB"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3.15 (0.44-22.39)</w:t>
            </w:r>
          </w:p>
        </w:tc>
        <w:tc>
          <w:tcPr>
            <w:tcW w:w="556" w:type="dxa"/>
          </w:tcPr>
          <w:p w14:paraId="0C59BB6F"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90.6</w:t>
            </w:r>
          </w:p>
        </w:tc>
        <w:tc>
          <w:tcPr>
            <w:tcW w:w="1707" w:type="dxa"/>
          </w:tcPr>
          <w:p w14:paraId="69785967"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214A2B" w:rsidRPr="00461B67" w14:paraId="151145A6"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3BA4AAC4" w14:textId="77777777" w:rsidR="008D4B67" w:rsidRPr="006E6E4B" w:rsidRDefault="00000000">
            <w:pPr>
              <w:rPr>
                <w:rFonts w:ascii="Aptos" w:hAnsi="Aptos" w:cs="Times New Roman"/>
                <w:sz w:val="18"/>
                <w:szCs w:val="18"/>
              </w:rPr>
            </w:pPr>
            <w:r w:rsidRPr="006E6E4B">
              <w:rPr>
                <w:rFonts w:ascii="Aptos" w:hAnsi="Aptos" w:cs="Times New Roman"/>
                <w:sz w:val="18"/>
                <w:szCs w:val="18"/>
              </w:rPr>
              <w:t>Study-specific more extensively adjusted models</w:t>
            </w:r>
          </w:p>
        </w:tc>
        <w:tc>
          <w:tcPr>
            <w:tcW w:w="0" w:type="auto"/>
          </w:tcPr>
          <w:p w14:paraId="3737E35E" w14:textId="77777777" w:rsidR="008D4B67" w:rsidRPr="006E6E4B" w:rsidRDefault="008D4B67">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761A4F88" w14:textId="77777777" w:rsidR="008D4B67" w:rsidRPr="006E6E4B" w:rsidRDefault="008D4B67">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6A6A120F" w14:textId="77777777" w:rsidR="008D4B67" w:rsidRPr="006E6E4B" w:rsidRDefault="008D4B67">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0243BAD2" w14:textId="77777777" w:rsidR="008D4B67" w:rsidRPr="006E6E4B" w:rsidRDefault="008D4B67">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7B62B6F1" w14:textId="77777777" w:rsidR="008D4B67" w:rsidRPr="006E6E4B" w:rsidRDefault="008D4B67">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214A2B" w:rsidRPr="00461B67" w14:paraId="59CF1070"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52A9B2B7" w14:textId="77777777" w:rsidR="00FF1D7B" w:rsidRPr="006E6E4B" w:rsidRDefault="00000000">
            <w:pPr>
              <w:rPr>
                <w:rFonts w:ascii="Aptos" w:hAnsi="Aptos"/>
                <w:sz w:val="18"/>
                <w:szCs w:val="18"/>
              </w:rPr>
            </w:pPr>
            <w:r w:rsidRPr="006E6E4B">
              <w:rPr>
                <w:rFonts w:ascii="Aptos" w:hAnsi="Aptos"/>
                <w:sz w:val="18"/>
                <w:szCs w:val="18"/>
              </w:rPr>
              <w:t>All-cause mortality, both</w:t>
            </w:r>
          </w:p>
        </w:tc>
        <w:tc>
          <w:tcPr>
            <w:tcW w:w="0" w:type="auto"/>
          </w:tcPr>
          <w:p w14:paraId="533A0646"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w:t>
            </w:r>
          </w:p>
        </w:tc>
        <w:tc>
          <w:tcPr>
            <w:tcW w:w="0" w:type="auto"/>
          </w:tcPr>
          <w:p w14:paraId="740F8591"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276167</w:t>
            </w:r>
          </w:p>
        </w:tc>
        <w:tc>
          <w:tcPr>
            <w:tcW w:w="0" w:type="auto"/>
          </w:tcPr>
          <w:p w14:paraId="1283F939"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Chen et al.: 1.07 (1.00-1.17); Kim et al.: 1.39 (0.94-2.05)</w:t>
            </w:r>
          </w:p>
        </w:tc>
        <w:tc>
          <w:tcPr>
            <w:tcW w:w="0" w:type="auto"/>
          </w:tcPr>
          <w:p w14:paraId="6BFCC8C2"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c>
          <w:tcPr>
            <w:tcW w:w="0" w:type="auto"/>
          </w:tcPr>
          <w:p w14:paraId="5BAEBE80"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214A2B" w:rsidRPr="00461B67" w14:paraId="7430F4C1"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77B66DA7" w14:textId="77777777" w:rsidR="008D4B67" w:rsidRPr="006E6E4B" w:rsidRDefault="00000000">
            <w:pPr>
              <w:rPr>
                <w:rFonts w:ascii="Aptos" w:hAnsi="Aptos" w:cs="Times New Roman"/>
                <w:sz w:val="18"/>
                <w:szCs w:val="18"/>
              </w:rPr>
            </w:pPr>
            <w:r w:rsidRPr="006E6E4B">
              <w:rPr>
                <w:rFonts w:ascii="Aptos" w:hAnsi="Aptos" w:cs="Times New Roman"/>
                <w:sz w:val="18"/>
                <w:szCs w:val="18"/>
              </w:rPr>
              <w:t>Natural causes, both</w:t>
            </w:r>
          </w:p>
        </w:tc>
        <w:tc>
          <w:tcPr>
            <w:tcW w:w="0" w:type="auto"/>
          </w:tcPr>
          <w:p w14:paraId="2C999F1F"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1</w:t>
            </w:r>
          </w:p>
        </w:tc>
        <w:tc>
          <w:tcPr>
            <w:tcW w:w="0" w:type="auto"/>
          </w:tcPr>
          <w:p w14:paraId="1C7A410E"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275980</w:t>
            </w:r>
          </w:p>
        </w:tc>
        <w:tc>
          <w:tcPr>
            <w:tcW w:w="0" w:type="auto"/>
          </w:tcPr>
          <w:p w14:paraId="191E72EE"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0.91 (0.80-1.15)</w:t>
            </w:r>
          </w:p>
        </w:tc>
        <w:tc>
          <w:tcPr>
            <w:tcW w:w="0" w:type="auto"/>
          </w:tcPr>
          <w:p w14:paraId="402BDAD2"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NA</w:t>
            </w:r>
          </w:p>
        </w:tc>
        <w:tc>
          <w:tcPr>
            <w:tcW w:w="0" w:type="auto"/>
          </w:tcPr>
          <w:p w14:paraId="6D767344"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NA</w:t>
            </w:r>
          </w:p>
        </w:tc>
      </w:tr>
      <w:tr w:rsidR="00214A2B" w:rsidRPr="00461B67" w14:paraId="7BA429C4"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152A9676" w14:textId="77777777" w:rsidR="008D4B67" w:rsidRPr="006E6E4B" w:rsidRDefault="00000000">
            <w:pPr>
              <w:rPr>
                <w:rFonts w:ascii="Aptos" w:hAnsi="Aptos" w:cs="Times New Roman"/>
                <w:sz w:val="18"/>
                <w:szCs w:val="18"/>
              </w:rPr>
            </w:pPr>
            <w:r w:rsidRPr="006E6E4B">
              <w:rPr>
                <w:rFonts w:ascii="Aptos" w:hAnsi="Aptos" w:cs="Times New Roman"/>
                <w:sz w:val="18"/>
                <w:szCs w:val="18"/>
              </w:rPr>
              <w:t>External causes, both</w:t>
            </w:r>
          </w:p>
        </w:tc>
        <w:tc>
          <w:tcPr>
            <w:tcW w:w="0" w:type="auto"/>
          </w:tcPr>
          <w:p w14:paraId="1DDAFA92"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3</w:t>
            </w:r>
          </w:p>
        </w:tc>
        <w:tc>
          <w:tcPr>
            <w:tcW w:w="0" w:type="auto"/>
          </w:tcPr>
          <w:p w14:paraId="74CB7460"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NA</w:t>
            </w:r>
          </w:p>
        </w:tc>
        <w:tc>
          <w:tcPr>
            <w:tcW w:w="0" w:type="auto"/>
          </w:tcPr>
          <w:p w14:paraId="3C3C6FB3"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Chen et al.: 1.51 (1.32-1.72); Yeh et al.: 0.88 (0.66-1.18); Kim et al.: 0.97 (0.14-6.88)</w:t>
            </w:r>
          </w:p>
        </w:tc>
        <w:tc>
          <w:tcPr>
            <w:tcW w:w="0" w:type="auto"/>
          </w:tcPr>
          <w:p w14:paraId="7596045C"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NA</w:t>
            </w:r>
          </w:p>
        </w:tc>
        <w:tc>
          <w:tcPr>
            <w:tcW w:w="0" w:type="auto"/>
          </w:tcPr>
          <w:p w14:paraId="17323190" w14:textId="77777777" w:rsidR="008D4B67"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NA</w:t>
            </w:r>
          </w:p>
        </w:tc>
      </w:tr>
      <w:tr w:rsidR="00FF1D7B" w14:paraId="09C1E056"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63E336D7" w14:textId="77777777" w:rsidR="00FF1D7B" w:rsidRPr="006E6E4B" w:rsidRDefault="00000000">
            <w:pPr>
              <w:rPr>
                <w:rFonts w:ascii="Aptos" w:hAnsi="Aptos"/>
                <w:sz w:val="18"/>
                <w:szCs w:val="18"/>
              </w:rPr>
            </w:pPr>
            <w:r w:rsidRPr="006E6E4B">
              <w:rPr>
                <w:rFonts w:ascii="Aptos" w:hAnsi="Aptos"/>
                <w:sz w:val="18"/>
                <w:szCs w:val="18"/>
              </w:rPr>
              <w:t>Sensitivity analyses</w:t>
            </w:r>
          </w:p>
        </w:tc>
        <w:tc>
          <w:tcPr>
            <w:tcW w:w="1032" w:type="dxa"/>
          </w:tcPr>
          <w:p w14:paraId="1EBBD303" w14:textId="77777777" w:rsidR="00FF1D7B" w:rsidRPr="006E6E4B" w:rsidRDefault="00FF1D7B">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1732" w:type="dxa"/>
          </w:tcPr>
          <w:p w14:paraId="269AEC10" w14:textId="77777777" w:rsidR="00FF1D7B" w:rsidRPr="006E6E4B" w:rsidRDefault="00FF1D7B">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3047" w:type="dxa"/>
          </w:tcPr>
          <w:p w14:paraId="205EF0B7" w14:textId="77777777" w:rsidR="00FF1D7B" w:rsidRPr="006E6E4B" w:rsidRDefault="00FF1D7B">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556" w:type="dxa"/>
          </w:tcPr>
          <w:p w14:paraId="75455A38" w14:textId="77777777" w:rsidR="00FF1D7B" w:rsidRPr="006E6E4B" w:rsidRDefault="00FF1D7B">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1707" w:type="dxa"/>
          </w:tcPr>
          <w:p w14:paraId="00A309F6" w14:textId="77777777" w:rsidR="00FF1D7B" w:rsidRPr="006E6E4B" w:rsidRDefault="00FF1D7B">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r>
      <w:tr w:rsidR="00FF1D7B" w14:paraId="7BA9528C"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6DC7FF09" w14:textId="77777777" w:rsidR="00FF1D7B" w:rsidRPr="006E6E4B" w:rsidRDefault="00000000">
            <w:pPr>
              <w:rPr>
                <w:rFonts w:ascii="Aptos" w:hAnsi="Aptos"/>
                <w:sz w:val="18"/>
                <w:szCs w:val="18"/>
              </w:rPr>
            </w:pPr>
            <w:r w:rsidRPr="006E6E4B">
              <w:rPr>
                <w:rFonts w:ascii="Aptos" w:hAnsi="Aptos"/>
                <w:sz w:val="18"/>
                <w:szCs w:val="18"/>
              </w:rPr>
              <w:t>All-cause mortality, both, 95% prediction interval*</w:t>
            </w:r>
          </w:p>
        </w:tc>
        <w:tc>
          <w:tcPr>
            <w:tcW w:w="1032" w:type="dxa"/>
          </w:tcPr>
          <w:p w14:paraId="2C8FDFAA"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11</w:t>
            </w:r>
          </w:p>
        </w:tc>
        <w:tc>
          <w:tcPr>
            <w:tcW w:w="1732" w:type="dxa"/>
          </w:tcPr>
          <w:p w14:paraId="26844178"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452393</w:t>
            </w:r>
          </w:p>
        </w:tc>
        <w:tc>
          <w:tcPr>
            <w:tcW w:w="3047" w:type="dxa"/>
          </w:tcPr>
          <w:p w14:paraId="3AD061B9"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2.02 (0.94-4.35)</w:t>
            </w:r>
          </w:p>
        </w:tc>
        <w:tc>
          <w:tcPr>
            <w:tcW w:w="556" w:type="dxa"/>
          </w:tcPr>
          <w:p w14:paraId="6741DAD5"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95.8</w:t>
            </w:r>
          </w:p>
        </w:tc>
        <w:tc>
          <w:tcPr>
            <w:tcW w:w="1707" w:type="dxa"/>
          </w:tcPr>
          <w:p w14:paraId="64751B68"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NA</w:t>
            </w:r>
          </w:p>
        </w:tc>
      </w:tr>
      <w:tr w:rsidR="00FF1D7B" w14:paraId="6C3578E2" w14:textId="77777777" w:rsidTr="00FF1D7B">
        <w:tc>
          <w:tcPr>
            <w:cnfStyle w:val="001000000000" w:firstRow="0" w:lastRow="0" w:firstColumn="1" w:lastColumn="0" w:oddVBand="0" w:evenVBand="0" w:oddHBand="0" w:evenHBand="0" w:firstRowFirstColumn="0" w:firstRowLastColumn="0" w:lastRowFirstColumn="0" w:lastRowLastColumn="0"/>
            <w:tcW w:w="2392" w:type="dxa"/>
          </w:tcPr>
          <w:p w14:paraId="29D0C909" w14:textId="77777777" w:rsidR="00FF1D7B" w:rsidRPr="006E6E4B" w:rsidRDefault="00000000">
            <w:pPr>
              <w:rPr>
                <w:rFonts w:ascii="Aptos" w:hAnsi="Aptos"/>
                <w:sz w:val="18"/>
                <w:szCs w:val="18"/>
              </w:rPr>
            </w:pPr>
            <w:r w:rsidRPr="006E6E4B">
              <w:rPr>
                <w:rFonts w:ascii="Aptos" w:hAnsi="Aptos"/>
                <w:sz w:val="18"/>
                <w:szCs w:val="18"/>
              </w:rPr>
              <w:t>All-cause mortality, both, excluding SMR/OR</w:t>
            </w:r>
          </w:p>
        </w:tc>
        <w:tc>
          <w:tcPr>
            <w:tcW w:w="1032" w:type="dxa"/>
          </w:tcPr>
          <w:p w14:paraId="49BD21A1"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w:t>
            </w:r>
          </w:p>
        </w:tc>
        <w:tc>
          <w:tcPr>
            <w:tcW w:w="1732" w:type="dxa"/>
          </w:tcPr>
          <w:p w14:paraId="77C002A3"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451372</w:t>
            </w:r>
          </w:p>
        </w:tc>
        <w:tc>
          <w:tcPr>
            <w:tcW w:w="3047" w:type="dxa"/>
          </w:tcPr>
          <w:p w14:paraId="1C322FA9"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2.06 (1.52-2.78)</w:t>
            </w:r>
          </w:p>
        </w:tc>
        <w:tc>
          <w:tcPr>
            <w:tcW w:w="556" w:type="dxa"/>
          </w:tcPr>
          <w:p w14:paraId="4C5B3764"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96.6</w:t>
            </w:r>
          </w:p>
        </w:tc>
        <w:tc>
          <w:tcPr>
            <w:tcW w:w="1707" w:type="dxa"/>
          </w:tcPr>
          <w:p w14:paraId="6268DEBA"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&lt;0.0001</w:t>
            </w:r>
          </w:p>
        </w:tc>
      </w:tr>
      <w:tr w:rsidR="00214A2B" w:rsidRPr="00461B67" w14:paraId="79E097C2"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5A6B64D8"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Subgroup Analyses in primary outcome</w:t>
            </w:r>
          </w:p>
        </w:tc>
        <w:tc>
          <w:tcPr>
            <w:tcW w:w="0" w:type="auto"/>
          </w:tcPr>
          <w:p w14:paraId="65089E4A"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16AD6556"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15154FAA"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6D9DE1CE"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CEC8CC0"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214A2B" w:rsidRPr="00461B67" w14:paraId="69D06AB1"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382AF0E7"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NOS Risk of bias</w:t>
            </w:r>
          </w:p>
        </w:tc>
        <w:tc>
          <w:tcPr>
            <w:tcW w:w="0" w:type="auto"/>
          </w:tcPr>
          <w:p w14:paraId="62689878"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61AE2987"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717C1C7F"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15E2906"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458B2CE"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214A2B" w:rsidRPr="00461B67" w14:paraId="4188EF5F"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7B99EAAE" w14:textId="77777777" w:rsidR="00FF1D7B" w:rsidRPr="006E6E4B" w:rsidRDefault="00000000">
            <w:pPr>
              <w:rPr>
                <w:rFonts w:ascii="Aptos" w:hAnsi="Aptos"/>
                <w:sz w:val="18"/>
                <w:szCs w:val="18"/>
              </w:rPr>
            </w:pPr>
            <w:r w:rsidRPr="006E6E4B">
              <w:rPr>
                <w:rFonts w:ascii="Aptos" w:hAnsi="Aptos"/>
                <w:sz w:val="18"/>
                <w:szCs w:val="18"/>
              </w:rPr>
              <w:lastRenderedPageBreak/>
              <w:t>Low risk</w:t>
            </w:r>
          </w:p>
        </w:tc>
        <w:tc>
          <w:tcPr>
            <w:tcW w:w="0" w:type="auto"/>
          </w:tcPr>
          <w:p w14:paraId="5ACD0201"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8</w:t>
            </w:r>
          </w:p>
        </w:tc>
        <w:tc>
          <w:tcPr>
            <w:tcW w:w="0" w:type="auto"/>
          </w:tcPr>
          <w:p w14:paraId="05D2D6AE"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451105</w:t>
            </w:r>
          </w:p>
        </w:tc>
        <w:tc>
          <w:tcPr>
            <w:tcW w:w="0" w:type="auto"/>
          </w:tcPr>
          <w:p w14:paraId="04827D6C"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2.06 (1.55-2.73)</w:t>
            </w:r>
          </w:p>
        </w:tc>
        <w:tc>
          <w:tcPr>
            <w:tcW w:w="0" w:type="auto"/>
          </w:tcPr>
          <w:p w14:paraId="1D125228"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97.0</w:t>
            </w:r>
          </w:p>
        </w:tc>
        <w:tc>
          <w:tcPr>
            <w:tcW w:w="0" w:type="auto"/>
          </w:tcPr>
          <w:p w14:paraId="62E68BAA" w14:textId="77777777" w:rsidR="00FF1D7B" w:rsidRPr="006E6E4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6E6E4B">
              <w:rPr>
                <w:rFonts w:ascii="Aptos" w:hAnsi="Aptos"/>
                <w:sz w:val="18"/>
                <w:szCs w:val="18"/>
              </w:rPr>
              <w:t>&lt;0.0001</w:t>
            </w:r>
          </w:p>
        </w:tc>
      </w:tr>
      <w:tr w:rsidR="00214A2B" w:rsidRPr="00461B67" w14:paraId="582A0D6D"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3D53D798" w14:textId="77777777" w:rsidR="00214A2B" w:rsidRPr="006E6E4B" w:rsidRDefault="00214A2B" w:rsidP="00F7795B">
            <w:pPr>
              <w:pStyle w:val="af2"/>
              <w:rPr>
                <w:rFonts w:ascii="Aptos" w:hAnsi="Aptos" w:cs="Times New Roman"/>
                <w:sz w:val="18"/>
                <w:szCs w:val="18"/>
              </w:rPr>
            </w:pPr>
            <w:r w:rsidRPr="006E6E4B">
              <w:rPr>
                <w:rFonts w:ascii="Aptos" w:hAnsi="Aptos" w:cs="Times New Roman"/>
                <w:sz w:val="18"/>
                <w:szCs w:val="18"/>
              </w:rPr>
              <w:t>Moderate risk</w:t>
            </w:r>
          </w:p>
        </w:tc>
        <w:tc>
          <w:tcPr>
            <w:tcW w:w="0" w:type="auto"/>
          </w:tcPr>
          <w:p w14:paraId="5482B204"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3</w:t>
            </w:r>
          </w:p>
        </w:tc>
        <w:tc>
          <w:tcPr>
            <w:tcW w:w="0" w:type="auto"/>
          </w:tcPr>
          <w:p w14:paraId="34F42E74"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1288</w:t>
            </w:r>
          </w:p>
        </w:tc>
        <w:tc>
          <w:tcPr>
            <w:tcW w:w="0" w:type="auto"/>
          </w:tcPr>
          <w:p w14:paraId="16A6DA4E" w14:textId="77777777" w:rsidR="00214A2B" w:rsidRPr="006E6E4B" w:rsidRDefault="00147975"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1</w:t>
            </w:r>
            <w:r w:rsidR="00214A2B" w:rsidRPr="006E6E4B">
              <w:rPr>
                <w:rFonts w:ascii="Aptos" w:hAnsi="Aptos" w:cs="Times New Roman"/>
                <w:sz w:val="18"/>
                <w:szCs w:val="18"/>
              </w:rPr>
              <w:t>.</w:t>
            </w:r>
            <w:r w:rsidRPr="006E6E4B">
              <w:rPr>
                <w:rFonts w:ascii="Aptos" w:hAnsi="Aptos" w:cs="Times New Roman"/>
                <w:sz w:val="18"/>
                <w:szCs w:val="18"/>
              </w:rPr>
              <w:t>77</w:t>
            </w:r>
            <w:r w:rsidR="00214A2B" w:rsidRPr="006E6E4B">
              <w:rPr>
                <w:rFonts w:ascii="Aptos" w:hAnsi="Aptos" w:cs="Times New Roman"/>
                <w:sz w:val="18"/>
                <w:szCs w:val="18"/>
              </w:rPr>
              <w:t xml:space="preserve"> (</w:t>
            </w:r>
            <w:r w:rsidRPr="006E6E4B">
              <w:rPr>
                <w:rFonts w:ascii="Aptos" w:hAnsi="Aptos" w:cs="Times New Roman"/>
                <w:sz w:val="18"/>
                <w:szCs w:val="18"/>
              </w:rPr>
              <w:t>0</w:t>
            </w:r>
            <w:r w:rsidR="00214A2B" w:rsidRPr="006E6E4B">
              <w:rPr>
                <w:rFonts w:ascii="Aptos" w:hAnsi="Aptos" w:cs="Times New Roman"/>
                <w:sz w:val="18"/>
                <w:szCs w:val="18"/>
              </w:rPr>
              <w:t>.5</w:t>
            </w:r>
            <w:r w:rsidRPr="006E6E4B">
              <w:rPr>
                <w:rFonts w:ascii="Aptos" w:hAnsi="Aptos" w:cs="Times New Roman"/>
                <w:sz w:val="18"/>
                <w:szCs w:val="18"/>
              </w:rPr>
              <w:t>9</w:t>
            </w:r>
            <w:r w:rsidR="00214A2B" w:rsidRPr="006E6E4B">
              <w:rPr>
                <w:rFonts w:ascii="Aptos" w:hAnsi="Aptos" w:cs="Times New Roman"/>
                <w:sz w:val="18"/>
                <w:szCs w:val="18"/>
              </w:rPr>
              <w:t>-</w:t>
            </w:r>
            <w:r w:rsidRPr="006E6E4B">
              <w:rPr>
                <w:rFonts w:ascii="Aptos" w:hAnsi="Aptos" w:cs="Times New Roman"/>
                <w:sz w:val="18"/>
                <w:szCs w:val="18"/>
              </w:rPr>
              <w:t>5.32</w:t>
            </w:r>
            <w:r w:rsidR="00214A2B" w:rsidRPr="006E6E4B">
              <w:rPr>
                <w:rFonts w:ascii="Aptos" w:hAnsi="Aptos" w:cs="Times New Roman"/>
                <w:sz w:val="18"/>
                <w:szCs w:val="18"/>
              </w:rPr>
              <w:t>)</w:t>
            </w:r>
          </w:p>
        </w:tc>
        <w:tc>
          <w:tcPr>
            <w:tcW w:w="0" w:type="auto"/>
          </w:tcPr>
          <w:p w14:paraId="1A11A4BA"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0</w:t>
            </w:r>
          </w:p>
        </w:tc>
        <w:tc>
          <w:tcPr>
            <w:tcW w:w="0" w:type="auto"/>
          </w:tcPr>
          <w:p w14:paraId="31E92480" w14:textId="77777777" w:rsidR="00214A2B" w:rsidRPr="006E6E4B"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6E6E4B">
              <w:rPr>
                <w:rFonts w:ascii="Aptos" w:hAnsi="Aptos" w:cs="Times New Roman"/>
                <w:sz w:val="18"/>
                <w:szCs w:val="18"/>
              </w:rPr>
              <w:t>0.40</w:t>
            </w:r>
          </w:p>
        </w:tc>
      </w:tr>
      <w:tr w:rsidR="00214A2B" w:rsidRPr="00461B67" w14:paraId="5573EDFE"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60520103"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Country</w:t>
            </w:r>
          </w:p>
        </w:tc>
        <w:tc>
          <w:tcPr>
            <w:tcW w:w="0" w:type="auto"/>
          </w:tcPr>
          <w:p w14:paraId="44FDB7F1"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48668F3"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375084C"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7BCC132A"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5F081E01"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214A2B" w:rsidRPr="00461B67" w14:paraId="0CE01B6B"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5B7E1D1C"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Nordic</w:t>
            </w:r>
          </w:p>
        </w:tc>
        <w:tc>
          <w:tcPr>
            <w:tcW w:w="0" w:type="auto"/>
          </w:tcPr>
          <w:p w14:paraId="102FB456"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3</w:t>
            </w:r>
          </w:p>
        </w:tc>
        <w:tc>
          <w:tcPr>
            <w:tcW w:w="0" w:type="auto"/>
          </w:tcPr>
          <w:p w14:paraId="1125EFB5"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118846</w:t>
            </w:r>
          </w:p>
        </w:tc>
        <w:tc>
          <w:tcPr>
            <w:tcW w:w="0" w:type="auto"/>
          </w:tcPr>
          <w:p w14:paraId="7769A986"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2.71 (1.06-6.97)</w:t>
            </w:r>
          </w:p>
        </w:tc>
        <w:tc>
          <w:tcPr>
            <w:tcW w:w="0" w:type="auto"/>
          </w:tcPr>
          <w:p w14:paraId="2B99716B"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93.9</w:t>
            </w:r>
          </w:p>
        </w:tc>
        <w:tc>
          <w:tcPr>
            <w:tcW w:w="0" w:type="auto"/>
          </w:tcPr>
          <w:p w14:paraId="38A0D38A"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&lt;0.0001</w:t>
            </w:r>
          </w:p>
        </w:tc>
      </w:tr>
      <w:tr w:rsidR="00214A2B" w:rsidRPr="00461B67" w14:paraId="70A3E21A"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0C8899E3"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United States of America</w:t>
            </w:r>
          </w:p>
        </w:tc>
        <w:tc>
          <w:tcPr>
            <w:tcW w:w="0" w:type="auto"/>
          </w:tcPr>
          <w:p w14:paraId="6F844DE9"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4</w:t>
            </w:r>
          </w:p>
        </w:tc>
        <w:tc>
          <w:tcPr>
            <w:tcW w:w="0" w:type="auto"/>
          </w:tcPr>
          <w:p w14:paraId="41ADE98B"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1655</w:t>
            </w:r>
          </w:p>
        </w:tc>
        <w:tc>
          <w:tcPr>
            <w:tcW w:w="0" w:type="auto"/>
          </w:tcPr>
          <w:p w14:paraId="47E543C0"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1.80 (1.03-3.16)</w:t>
            </w:r>
          </w:p>
        </w:tc>
        <w:tc>
          <w:tcPr>
            <w:tcW w:w="0" w:type="auto"/>
          </w:tcPr>
          <w:p w14:paraId="4164F6D0"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0</w:t>
            </w:r>
          </w:p>
        </w:tc>
        <w:tc>
          <w:tcPr>
            <w:tcW w:w="0" w:type="auto"/>
          </w:tcPr>
          <w:p w14:paraId="595D7023"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0.60</w:t>
            </w:r>
          </w:p>
        </w:tc>
      </w:tr>
      <w:tr w:rsidR="00214A2B" w:rsidRPr="00461B67" w14:paraId="7223AD24"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5A25F528" w14:textId="77777777" w:rsidR="00214A2B" w:rsidRPr="00461B67" w:rsidRDefault="00214A2B" w:rsidP="00F7795B">
            <w:pPr>
              <w:pStyle w:val="af2"/>
              <w:rPr>
                <w:rFonts w:ascii="Aptos" w:hAnsi="Aptos" w:cs="Times New Roman"/>
                <w:sz w:val="18"/>
                <w:szCs w:val="18"/>
              </w:rPr>
            </w:pPr>
            <w:r w:rsidRPr="00461B67">
              <w:rPr>
                <w:rFonts w:ascii="Aptos" w:hAnsi="Aptos" w:cs="Times New Roman"/>
                <w:sz w:val="18"/>
                <w:szCs w:val="18"/>
              </w:rPr>
              <w:t>Asia-Pacific region</w:t>
            </w:r>
          </w:p>
        </w:tc>
        <w:tc>
          <w:tcPr>
            <w:tcW w:w="0" w:type="auto"/>
          </w:tcPr>
          <w:p w14:paraId="7D3AE727"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3</w:t>
            </w:r>
          </w:p>
        </w:tc>
        <w:tc>
          <w:tcPr>
            <w:tcW w:w="0" w:type="auto"/>
          </w:tcPr>
          <w:p w14:paraId="57C2CB63"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301853</w:t>
            </w:r>
          </w:p>
        </w:tc>
        <w:tc>
          <w:tcPr>
            <w:tcW w:w="0" w:type="auto"/>
          </w:tcPr>
          <w:p w14:paraId="6701777E"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1.63 (0.90-2.94)</w:t>
            </w:r>
          </w:p>
        </w:tc>
        <w:tc>
          <w:tcPr>
            <w:tcW w:w="0" w:type="auto"/>
          </w:tcPr>
          <w:p w14:paraId="3E521782"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87.4</w:t>
            </w:r>
          </w:p>
        </w:tc>
        <w:tc>
          <w:tcPr>
            <w:tcW w:w="0" w:type="auto"/>
          </w:tcPr>
          <w:p w14:paraId="6E5C9DEE" w14:textId="77777777" w:rsidR="00214A2B" w:rsidRPr="00461B67" w:rsidRDefault="00214A2B"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461B67">
              <w:rPr>
                <w:rFonts w:ascii="Aptos" w:hAnsi="Aptos" w:cs="Times New Roman"/>
                <w:sz w:val="18"/>
                <w:szCs w:val="18"/>
              </w:rPr>
              <w:t>0.0003</w:t>
            </w:r>
          </w:p>
        </w:tc>
      </w:tr>
      <w:tr w:rsidR="00214A2B" w:rsidRPr="00461B67" w14:paraId="1061DF07"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5DB63DAE" w14:textId="77777777" w:rsidR="00FF1D7B" w:rsidRPr="00186D87" w:rsidRDefault="00000000">
            <w:pPr>
              <w:rPr>
                <w:rFonts w:ascii="Aptos" w:hAnsi="Aptos"/>
                <w:sz w:val="18"/>
                <w:szCs w:val="18"/>
              </w:rPr>
            </w:pPr>
            <w:r w:rsidRPr="00186D87">
              <w:rPr>
                <w:rFonts w:ascii="Aptos" w:hAnsi="Aptos"/>
                <w:sz w:val="18"/>
                <w:szCs w:val="18"/>
              </w:rPr>
              <w:t>United Kingdom</w:t>
            </w:r>
          </w:p>
        </w:tc>
        <w:tc>
          <w:tcPr>
            <w:tcW w:w="0" w:type="auto"/>
          </w:tcPr>
          <w:p w14:paraId="336922F0" w14:textId="77777777" w:rsidR="00FF1D7B" w:rsidRPr="00186D87"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186D87">
              <w:rPr>
                <w:rFonts w:ascii="Aptos" w:hAnsi="Aptos"/>
                <w:sz w:val="18"/>
                <w:szCs w:val="18"/>
              </w:rPr>
              <w:t>1</w:t>
            </w:r>
          </w:p>
        </w:tc>
        <w:tc>
          <w:tcPr>
            <w:tcW w:w="0" w:type="auto"/>
          </w:tcPr>
          <w:p w14:paraId="636E2C26" w14:textId="77777777" w:rsidR="00FF1D7B" w:rsidRPr="00186D87"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186D87">
              <w:rPr>
                <w:rFonts w:ascii="Aptos" w:hAnsi="Aptos"/>
                <w:sz w:val="18"/>
                <w:szCs w:val="18"/>
              </w:rPr>
              <w:t>30039</w:t>
            </w:r>
          </w:p>
        </w:tc>
        <w:tc>
          <w:tcPr>
            <w:tcW w:w="0" w:type="auto"/>
          </w:tcPr>
          <w:p w14:paraId="14A09B47" w14:textId="77777777" w:rsidR="00FF1D7B" w:rsidRPr="00186D87"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186D87">
              <w:rPr>
                <w:rFonts w:ascii="Aptos" w:hAnsi="Aptos"/>
                <w:sz w:val="18"/>
                <w:szCs w:val="18"/>
              </w:rPr>
              <w:t>1.99 (1.78-2.23)</w:t>
            </w:r>
          </w:p>
        </w:tc>
        <w:tc>
          <w:tcPr>
            <w:tcW w:w="0" w:type="auto"/>
          </w:tcPr>
          <w:p w14:paraId="7071B4BA" w14:textId="77777777" w:rsidR="00FF1D7B" w:rsidRPr="00186D87"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186D87">
              <w:rPr>
                <w:rFonts w:ascii="Aptos" w:hAnsi="Aptos"/>
                <w:sz w:val="18"/>
                <w:szCs w:val="18"/>
              </w:rPr>
              <w:t>NA</w:t>
            </w:r>
          </w:p>
        </w:tc>
        <w:tc>
          <w:tcPr>
            <w:tcW w:w="0" w:type="auto"/>
          </w:tcPr>
          <w:p w14:paraId="552F3DC7" w14:textId="77777777" w:rsidR="00FF1D7B" w:rsidRPr="00186D87"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186D87">
              <w:rPr>
                <w:rFonts w:ascii="Aptos" w:hAnsi="Aptos"/>
                <w:sz w:val="18"/>
                <w:szCs w:val="18"/>
              </w:rPr>
              <w:t>NA</w:t>
            </w:r>
          </w:p>
        </w:tc>
      </w:tr>
    </w:tbl>
    <w:p w14:paraId="15B5B9F5" w14:textId="3AF78E67" w:rsidR="00214A2B" w:rsidRPr="00092549" w:rsidRDefault="00B0536D" w:rsidP="00C13E5D">
      <w:pPr>
        <w:rPr>
          <w:rFonts w:ascii="Aptos" w:hAnsi="Aptos" w:cs="Times New Roman"/>
          <w:sz w:val="18"/>
          <w:szCs w:val="18"/>
        </w:rPr>
      </w:pPr>
      <w:r w:rsidRPr="00092549">
        <w:rPr>
          <w:rFonts w:ascii="Aptos" w:hAnsi="Aptos" w:cs="Times New Roman"/>
          <w:sz w:val="18"/>
          <w:szCs w:val="18"/>
        </w:rPr>
        <w:t xml:space="preserve">For rows reporting mortality by sex (male, female), the participant count is the total ADHD cohort size of contributing studies, not a sex-specific denominator: most contributing studies (Dalsgaard, Chen, Sun, Bowden) reported only a combined-sex cohort size, which is repeated for both the male and female rows; </w:t>
      </w:r>
      <w:proofErr w:type="spellStart"/>
      <w:r w:rsidRPr="00092549">
        <w:rPr>
          <w:rFonts w:ascii="Aptos" w:hAnsi="Aptos" w:cs="Times New Roman"/>
          <w:sz w:val="18"/>
          <w:szCs w:val="18"/>
        </w:rPr>
        <w:t>O’Nions</w:t>
      </w:r>
      <w:proofErr w:type="spellEnd"/>
      <w:r w:rsidRPr="00092549">
        <w:rPr>
          <w:rFonts w:ascii="Aptos" w:hAnsi="Aptos" w:cs="Times New Roman"/>
          <w:sz w:val="18"/>
          <w:szCs w:val="18"/>
        </w:rPr>
        <w:t xml:space="preserve"> et al. is the only contributing study for which a true sex-specific denominator (23,377 males,6,662 females) was available. </w:t>
      </w:r>
      <w:r w:rsidR="00CC1C7B" w:rsidRPr="00092549">
        <w:rPr>
          <w:rFonts w:ascii="Aptos" w:hAnsi="Aptos" w:cs="Times New Roman"/>
          <w:sz w:val="18"/>
          <w:szCs w:val="18"/>
        </w:rPr>
        <w:t>Abbreviations: ADHD, attention-deficit/hyperactivity disorder; RR, risk ratio; CI, confidence interval; I², proportion of total variation due to between-study heterogeneity; NOS, Newcastle–Ottawa Scale; SMR, standardized mortality ratio; OR, odds ratio.</w:t>
      </w:r>
    </w:p>
    <w:p w14:paraId="77AB9822" w14:textId="77777777" w:rsidR="00214A2B" w:rsidRPr="00092549" w:rsidRDefault="00214A2B" w:rsidP="00C13E5D">
      <w:pPr>
        <w:rPr>
          <w:rFonts w:ascii="Aptos" w:hAnsi="Aptos" w:cs="Times New Roman"/>
        </w:rPr>
      </w:pPr>
    </w:p>
    <w:p w14:paraId="0CF85008" w14:textId="77777777" w:rsidR="00214A2B" w:rsidRPr="00092549" w:rsidRDefault="00214A2B" w:rsidP="006618BA">
      <w:pPr>
        <w:pageBreakBefore/>
        <w:rPr>
          <w:rFonts w:ascii="Aptos" w:hAnsi="Aptos" w:cs="Times New Roman"/>
        </w:rPr>
      </w:pPr>
    </w:p>
    <w:p w14:paraId="2D230A2A" w14:textId="77777777" w:rsidR="0043142A" w:rsidRPr="00092549" w:rsidRDefault="0027756E" w:rsidP="00C13E5D">
      <w:pPr>
        <w:jc w:val="center"/>
        <w:rPr>
          <w:rFonts w:ascii="Aptos" w:hAnsi="Aptos" w:cs="Times New Roman"/>
        </w:rPr>
      </w:pPr>
      <w:r>
        <w:rPr>
          <w:noProof/>
        </w:rPr>
        <w:drawing>
          <wp:inline distT="0" distB="0" distL="0" distR="0" wp14:anchorId="3C4680E6" wp14:editId="77CBDA02">
            <wp:extent cx="6126480" cy="3573780"/>
            <wp:effectExtent l="0" t="0" r="0" b="0"/>
            <wp:docPr id="1553123103" name="Picture 155312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ve_one_out_primary_updated.png"/>
                    <pic:cNvPicPr/>
                  </pic:nvPicPr>
                  <pic:blipFill>
                    <a:blip r:embed="rId13"/>
                    <a:stretch>
                      <a:fillRect/>
                    </a:stretch>
                  </pic:blipFill>
                  <pic:spPr>
                    <a:xfrm>
                      <a:off x="0" y="0"/>
                      <a:ext cx="6126480" cy="3573780"/>
                    </a:xfrm>
                    <a:prstGeom prst="rect">
                      <a:avLst/>
                    </a:prstGeom>
                  </pic:spPr>
                </pic:pic>
              </a:graphicData>
            </a:graphic>
          </wp:inline>
        </w:drawing>
      </w:r>
    </w:p>
    <w:p w14:paraId="3449BD22" w14:textId="77777777" w:rsidR="0027756E" w:rsidRDefault="0027756E" w:rsidP="0027756E">
      <w:pPr>
        <w:rPr>
          <w:rFonts w:ascii="Aptos" w:hAnsi="Aptos" w:cs="Times New Roman"/>
        </w:rPr>
      </w:pPr>
      <w:r w:rsidRPr="00092549">
        <w:rPr>
          <w:rFonts w:ascii="Aptos" w:hAnsi="Aptos" w:cs="Times New Roman"/>
          <w:b/>
          <w:bCs/>
        </w:rPr>
        <w:t>Result S</w:t>
      </w:r>
      <w:r w:rsidR="007C39F8" w:rsidRPr="00092549">
        <w:rPr>
          <w:rFonts w:ascii="Aptos" w:hAnsi="Aptos" w:cs="Times New Roman"/>
          <w:b/>
          <w:bCs/>
        </w:rPr>
        <w:t>10</w:t>
      </w:r>
      <w:r w:rsidRPr="00092549">
        <w:rPr>
          <w:rFonts w:ascii="Aptos" w:hAnsi="Aptos" w:cs="Times New Roman"/>
          <w:b/>
          <w:bCs/>
        </w:rPr>
        <w:t xml:space="preserve">. </w:t>
      </w:r>
      <w:r w:rsidR="00EC3165" w:rsidRPr="00092549">
        <w:rPr>
          <w:rFonts w:ascii="Aptos" w:hAnsi="Aptos" w:cs="Times New Roman"/>
        </w:rPr>
        <w:t>Leave-one-out sensitivity analysis of the association between ADHD and all-cause mortality</w:t>
      </w:r>
    </w:p>
    <w:p w14:paraId="40919C78" w14:textId="77777777" w:rsidR="00767089" w:rsidRPr="00092549" w:rsidRDefault="00767089" w:rsidP="0027756E">
      <w:pPr>
        <w:rPr>
          <w:rFonts w:ascii="Aptos" w:hAnsi="Aptos" w:cs="Times New Roman"/>
        </w:rPr>
      </w:pPr>
    </w:p>
    <w:p w14:paraId="19D1510C" w14:textId="77777777" w:rsidR="0043142A" w:rsidRPr="00092549" w:rsidRDefault="0043142A" w:rsidP="00961422">
      <w:pPr>
        <w:pageBreakBefore/>
        <w:rPr>
          <w:rFonts w:ascii="Aptos" w:hAnsi="Aptos" w:cs="Times New Roman"/>
        </w:rPr>
      </w:pPr>
    </w:p>
    <w:p w14:paraId="0E1EFC20" w14:textId="77777777" w:rsidR="0043142A" w:rsidRPr="00092549" w:rsidRDefault="00F567D9" w:rsidP="00C13E5D">
      <w:pPr>
        <w:jc w:val="center"/>
        <w:rPr>
          <w:rFonts w:ascii="Aptos" w:hAnsi="Aptos" w:cs="Times New Roman"/>
        </w:rPr>
      </w:pPr>
      <w:r>
        <w:rPr>
          <w:noProof/>
        </w:rPr>
        <w:drawing>
          <wp:inline distT="0" distB="0" distL="0" distR="0" wp14:anchorId="6277727D" wp14:editId="1B7017AE">
            <wp:extent cx="6126480" cy="3573780"/>
            <wp:effectExtent l="0" t="0" r="0" b="0"/>
            <wp:docPr id="1553123104" name="Picture 155312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_subgroup_primary_updated.png"/>
                    <pic:cNvPicPr/>
                  </pic:nvPicPr>
                  <pic:blipFill>
                    <a:blip r:embed="rId14"/>
                    <a:stretch>
                      <a:fillRect/>
                    </a:stretch>
                  </pic:blipFill>
                  <pic:spPr>
                    <a:xfrm>
                      <a:off x="0" y="0"/>
                      <a:ext cx="6126480" cy="3573780"/>
                    </a:xfrm>
                    <a:prstGeom prst="rect">
                      <a:avLst/>
                    </a:prstGeom>
                  </pic:spPr>
                </pic:pic>
              </a:graphicData>
            </a:graphic>
          </wp:inline>
        </w:drawing>
      </w:r>
    </w:p>
    <w:p w14:paraId="55BB0508" w14:textId="77777777" w:rsidR="00F567D9" w:rsidRPr="00092549" w:rsidRDefault="00B63EC8" w:rsidP="00C13E5D">
      <w:pPr>
        <w:rPr>
          <w:rFonts w:ascii="Aptos" w:hAnsi="Aptos" w:cs="Times New Roman"/>
        </w:rPr>
      </w:pPr>
      <w:r w:rsidRPr="00092549">
        <w:rPr>
          <w:rFonts w:ascii="Aptos" w:hAnsi="Aptos" w:cs="Times New Roman"/>
          <w:b/>
          <w:bCs/>
        </w:rPr>
        <w:t>Result S1</w:t>
      </w:r>
      <w:r w:rsidR="007C39F8" w:rsidRPr="00092549">
        <w:rPr>
          <w:rFonts w:ascii="Aptos" w:hAnsi="Aptos" w:cs="Times New Roman"/>
          <w:b/>
          <w:bCs/>
        </w:rPr>
        <w:t>1</w:t>
      </w:r>
      <w:r w:rsidRPr="00092549">
        <w:rPr>
          <w:rFonts w:ascii="Aptos" w:hAnsi="Aptos" w:cs="Times New Roman"/>
          <w:b/>
          <w:bCs/>
        </w:rPr>
        <w:t xml:space="preserve">. </w:t>
      </w:r>
      <w:r w:rsidR="00EC3165" w:rsidRPr="00092549">
        <w:rPr>
          <w:rFonts w:ascii="Aptos" w:hAnsi="Aptos" w:cs="Times New Roman"/>
        </w:rPr>
        <w:t>Meta-analysis of all-cause mortality associated with ADHD by Newcastle–Ottawa Scale</w:t>
      </w:r>
      <w:r w:rsidR="00B402AE" w:rsidRPr="00092549">
        <w:rPr>
          <w:rFonts w:ascii="Aptos" w:hAnsi="Aptos" w:cs="Times New Roman"/>
        </w:rPr>
        <w:t xml:space="preserve"> (NOS)</w:t>
      </w:r>
      <w:r w:rsidR="00EC3165" w:rsidRPr="00092549">
        <w:rPr>
          <w:rFonts w:ascii="Aptos" w:hAnsi="Aptos" w:cs="Times New Roman"/>
        </w:rPr>
        <w:t xml:space="preserve"> risk-of-bias subgroup</w:t>
      </w:r>
    </w:p>
    <w:p w14:paraId="2300F525" w14:textId="77777777" w:rsidR="00B402AE" w:rsidRPr="00092549" w:rsidRDefault="00B402AE" w:rsidP="00C13E5D">
      <w:pPr>
        <w:rPr>
          <w:rFonts w:ascii="Aptos" w:hAnsi="Aptos" w:cs="Times New Roman"/>
        </w:rPr>
      </w:pPr>
    </w:p>
    <w:p w14:paraId="76C962AF" w14:textId="77777777" w:rsidR="005513A8" w:rsidRPr="00092549" w:rsidRDefault="005513A8" w:rsidP="005513A8">
      <w:pPr>
        <w:pageBreakBefore/>
        <w:rPr>
          <w:rFonts w:ascii="Aptos" w:hAnsi="Aptos" w:cs="Times New Roman"/>
        </w:rPr>
      </w:pPr>
    </w:p>
    <w:p w14:paraId="26DBC70A" w14:textId="77777777" w:rsidR="00F567D9" w:rsidRPr="00092549" w:rsidRDefault="00576751" w:rsidP="00C13E5D">
      <w:pPr>
        <w:jc w:val="center"/>
        <w:rPr>
          <w:rFonts w:ascii="Aptos" w:hAnsi="Aptos" w:cs="Times New Roman"/>
        </w:rPr>
      </w:pPr>
      <w:r>
        <w:rPr>
          <w:noProof/>
        </w:rPr>
        <w:drawing>
          <wp:inline distT="0" distB="0" distL="0" distR="0" wp14:anchorId="364921C3" wp14:editId="2EA10E7B">
            <wp:extent cx="6126480" cy="3573780"/>
            <wp:effectExtent l="0" t="0" r="0" b="0"/>
            <wp:docPr id="1553123105" name="Picture 155312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_subgroup_primary_updated.png"/>
                    <pic:cNvPicPr/>
                  </pic:nvPicPr>
                  <pic:blipFill>
                    <a:blip r:embed="rId15"/>
                    <a:stretch>
                      <a:fillRect/>
                    </a:stretch>
                  </pic:blipFill>
                  <pic:spPr>
                    <a:xfrm>
                      <a:off x="0" y="0"/>
                      <a:ext cx="6126480" cy="3573780"/>
                    </a:xfrm>
                    <a:prstGeom prst="rect">
                      <a:avLst/>
                    </a:prstGeom>
                  </pic:spPr>
                </pic:pic>
              </a:graphicData>
            </a:graphic>
          </wp:inline>
        </w:drawing>
      </w:r>
    </w:p>
    <w:p w14:paraId="586FA106" w14:textId="77777777" w:rsidR="00576751" w:rsidRPr="00092549" w:rsidRDefault="00FF39C6" w:rsidP="00C13E5D">
      <w:pPr>
        <w:rPr>
          <w:rFonts w:ascii="Aptos" w:hAnsi="Aptos" w:cs="Times New Roman"/>
        </w:rPr>
      </w:pPr>
      <w:r w:rsidRPr="00092549">
        <w:rPr>
          <w:rFonts w:ascii="Aptos" w:hAnsi="Aptos" w:cs="Times New Roman"/>
          <w:b/>
          <w:bCs/>
        </w:rPr>
        <w:t>Result S1</w:t>
      </w:r>
      <w:r w:rsidR="007C39F8" w:rsidRPr="00092549">
        <w:rPr>
          <w:rFonts w:ascii="Aptos" w:hAnsi="Aptos" w:cs="Times New Roman"/>
          <w:b/>
          <w:bCs/>
        </w:rPr>
        <w:t>2</w:t>
      </w:r>
      <w:r w:rsidRPr="00092549">
        <w:rPr>
          <w:rFonts w:ascii="Aptos" w:hAnsi="Aptos" w:cs="Times New Roman"/>
          <w:b/>
          <w:bCs/>
        </w:rPr>
        <w:t>.</w:t>
      </w:r>
      <w:r w:rsidRPr="00092549">
        <w:rPr>
          <w:rFonts w:ascii="Aptos" w:hAnsi="Aptos" w:cs="Times New Roman"/>
        </w:rPr>
        <w:t xml:space="preserve"> </w:t>
      </w:r>
      <w:r w:rsidR="0064712A" w:rsidRPr="00092549">
        <w:rPr>
          <w:rFonts w:ascii="Aptos" w:hAnsi="Aptos" w:cs="Times New Roman"/>
        </w:rPr>
        <w:t>Meta-analysis of all-cause mortality risk associated with ADHD by geographic region</w:t>
      </w:r>
    </w:p>
    <w:p w14:paraId="7489FDE8" w14:textId="77777777" w:rsidR="00D853E2" w:rsidRPr="00092549" w:rsidRDefault="00D853E2" w:rsidP="00C13E5D">
      <w:pPr>
        <w:rPr>
          <w:rFonts w:ascii="Aptos" w:hAnsi="Aptos" w:cs="Times New Roman"/>
        </w:rPr>
      </w:pPr>
    </w:p>
    <w:p w14:paraId="6CDE90A2" w14:textId="77777777" w:rsidR="005513A8" w:rsidRPr="00092549" w:rsidRDefault="005513A8" w:rsidP="005513A8">
      <w:pPr>
        <w:pageBreakBefore/>
        <w:rPr>
          <w:rFonts w:ascii="Aptos" w:hAnsi="Aptos" w:cs="Times New Roman"/>
        </w:rPr>
      </w:pPr>
    </w:p>
    <w:p w14:paraId="315F91A9" w14:textId="1470FE3E" w:rsidR="00FF1D7B" w:rsidRPr="00635331" w:rsidRDefault="00000000">
      <w:pPr>
        <w:rPr>
          <w:rFonts w:ascii="Aptos" w:hAnsi="Aptos"/>
        </w:rPr>
      </w:pPr>
      <w:r w:rsidRPr="00635331">
        <w:rPr>
          <w:rFonts w:ascii="Aptos" w:hAnsi="Aptos"/>
          <w:b/>
        </w:rPr>
        <w:t xml:space="preserve">Result S13. </w:t>
      </w:r>
      <w:r w:rsidR="006C7893" w:rsidRPr="00635331">
        <w:rPr>
          <w:rFonts w:ascii="Aptos" w:hAnsi="Aptos"/>
          <w:bCs/>
        </w:rPr>
        <w:t xml:space="preserve">Sensitivity analysis excluding studies reporting SMR or </w:t>
      </w:r>
      <w:proofErr w:type="spellStart"/>
      <w:r w:rsidR="006C7893" w:rsidRPr="00635331">
        <w:rPr>
          <w:rFonts w:ascii="Aptos" w:hAnsi="Aptos"/>
          <w:bCs/>
        </w:rPr>
        <w:t>OR</w:t>
      </w:r>
      <w:proofErr w:type="spellEnd"/>
      <w:r w:rsidR="006C7893" w:rsidRPr="00635331">
        <w:rPr>
          <w:rFonts w:ascii="Aptos" w:hAnsi="Aptos"/>
          <w:bCs/>
        </w:rPr>
        <w:t xml:space="preserve"> estimates</w:t>
      </w:r>
    </w:p>
    <w:p w14:paraId="220E949C" w14:textId="77777777" w:rsidR="00FF1D7B" w:rsidRPr="00635331" w:rsidRDefault="00000000">
      <w:pPr>
        <w:rPr>
          <w:rFonts w:ascii="Aptos" w:hAnsi="Aptos"/>
        </w:rPr>
      </w:pPr>
      <w:r w:rsidRPr="00635331">
        <w:rPr>
          <w:rFonts w:ascii="Aptos" w:hAnsi="Aptos"/>
          <w:noProof/>
        </w:rPr>
        <w:drawing>
          <wp:inline distT="0" distB="0" distL="0" distR="0" wp14:anchorId="73B559F3" wp14:editId="0F48B43E">
            <wp:extent cx="5669280" cy="3307080"/>
            <wp:effectExtent l="0" t="0" r="0" b="0"/>
            <wp:docPr id="1553123107" name="Picture 155312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ect_measure_sensitivity_primary.png"/>
                    <pic:cNvPicPr/>
                  </pic:nvPicPr>
                  <pic:blipFill>
                    <a:blip r:embed="rId16"/>
                    <a:stretch>
                      <a:fillRect/>
                    </a:stretch>
                  </pic:blipFill>
                  <pic:spPr>
                    <a:xfrm>
                      <a:off x="0" y="0"/>
                      <a:ext cx="5669280" cy="3307080"/>
                    </a:xfrm>
                    <a:prstGeom prst="rect">
                      <a:avLst/>
                    </a:prstGeom>
                  </pic:spPr>
                </pic:pic>
              </a:graphicData>
            </a:graphic>
          </wp:inline>
        </w:drawing>
      </w:r>
    </w:p>
    <w:p w14:paraId="2467FA2B" w14:textId="090D0EC4" w:rsidR="00FF1D7B" w:rsidRPr="00635331" w:rsidRDefault="00000000">
      <w:pPr>
        <w:rPr>
          <w:rFonts w:ascii="Aptos" w:hAnsi="Aptos"/>
        </w:rPr>
      </w:pPr>
      <w:r w:rsidRPr="00635331">
        <w:rPr>
          <w:rFonts w:ascii="Aptos" w:hAnsi="Aptos"/>
        </w:rPr>
        <w:t>Abbreviations: ADHD, attention-deficit/hyperactivity disorder; SMR, standardized mortality ratio; OR, odds ratio; I², proportion of total variation due to between-study heterogeneity.</w:t>
      </w:r>
    </w:p>
    <w:p w14:paraId="43F500C3" w14:textId="77777777" w:rsidR="00966D82" w:rsidRPr="00092549" w:rsidRDefault="00966D82" w:rsidP="00961422">
      <w:pPr>
        <w:pStyle w:val="af2"/>
        <w:pageBreakBefore/>
        <w:rPr>
          <w:rFonts w:ascii="Aptos" w:hAnsi="Aptos" w:cs="Times New Roman"/>
          <w:sz w:val="22"/>
          <w:szCs w:val="22"/>
        </w:rPr>
      </w:pPr>
      <w:r w:rsidRPr="00092549">
        <w:rPr>
          <w:rFonts w:ascii="Aptos" w:hAnsi="Aptos" w:cs="Times New Roman"/>
          <w:b/>
          <w:bCs/>
        </w:rPr>
        <w:lastRenderedPageBreak/>
        <w:t>Result S1</w:t>
      </w:r>
      <w:r w:rsidR="007C39F8" w:rsidRPr="00092549">
        <w:rPr>
          <w:rFonts w:ascii="Aptos" w:hAnsi="Aptos" w:cs="Times New Roman"/>
          <w:b/>
          <w:bCs/>
        </w:rPr>
        <w:t>4</w:t>
      </w:r>
      <w:r w:rsidRPr="00092549">
        <w:rPr>
          <w:rFonts w:ascii="Aptos" w:hAnsi="Aptos" w:cs="Times New Roman"/>
          <w:b/>
          <w:bCs/>
        </w:rPr>
        <w:t>.</w:t>
      </w:r>
      <w:bookmarkStart w:id="0" w:name="_Hlk214708152"/>
      <w:r w:rsidRPr="00092549">
        <w:rPr>
          <w:rFonts w:ascii="Aptos" w:hAnsi="Aptos" w:cs="Times New Roman"/>
          <w:sz w:val="22"/>
          <w:szCs w:val="22"/>
        </w:rPr>
        <w:t xml:space="preserve"> </w:t>
      </w:r>
      <w:bookmarkEnd w:id="0"/>
      <w:r w:rsidR="00712C66" w:rsidRPr="00092549">
        <w:rPr>
          <w:rFonts w:ascii="Aptos" w:hAnsi="Aptos" w:cs="Times New Roman"/>
          <w:sz w:val="22"/>
          <w:szCs w:val="22"/>
        </w:rPr>
        <w:t>Methodological quality assessment of included studies using the Newcastle-Ottawa Scale</w:t>
      </w:r>
    </w:p>
    <w:tbl>
      <w:tblPr>
        <w:tblStyle w:val="21"/>
        <w:tblW w:w="0" w:type="auto"/>
        <w:tblLook w:val="06A0" w:firstRow="1" w:lastRow="0" w:firstColumn="1" w:lastColumn="0" w:noHBand="1" w:noVBand="1"/>
      </w:tblPr>
      <w:tblGrid>
        <w:gridCol w:w="1851"/>
        <w:gridCol w:w="1064"/>
        <w:gridCol w:w="460"/>
        <w:gridCol w:w="460"/>
        <w:gridCol w:w="460"/>
        <w:gridCol w:w="1446"/>
        <w:gridCol w:w="1045"/>
        <w:gridCol w:w="460"/>
        <w:gridCol w:w="460"/>
        <w:gridCol w:w="827"/>
        <w:gridCol w:w="1933"/>
      </w:tblGrid>
      <w:tr w:rsidR="00966D82" w:rsidRPr="00092549" w14:paraId="469B4CBD" w14:textId="77777777" w:rsidTr="00F779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2B1B13"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Author, year</w:t>
            </w:r>
          </w:p>
        </w:tc>
        <w:tc>
          <w:tcPr>
            <w:tcW w:w="0" w:type="auto"/>
            <w:hideMark/>
          </w:tcPr>
          <w:p w14:paraId="75BA6065"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1. Selection</w:t>
            </w:r>
          </w:p>
        </w:tc>
        <w:tc>
          <w:tcPr>
            <w:tcW w:w="0" w:type="auto"/>
            <w:hideMark/>
          </w:tcPr>
          <w:p w14:paraId="0A110140"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49699FC8"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7423A9F3"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73BB781"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2. Comparability</w:t>
            </w:r>
          </w:p>
        </w:tc>
        <w:tc>
          <w:tcPr>
            <w:tcW w:w="0" w:type="auto"/>
            <w:hideMark/>
          </w:tcPr>
          <w:p w14:paraId="68FB9CD0"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3. Outcome</w:t>
            </w:r>
          </w:p>
        </w:tc>
        <w:tc>
          <w:tcPr>
            <w:tcW w:w="0" w:type="auto"/>
            <w:hideMark/>
          </w:tcPr>
          <w:p w14:paraId="17BBC64F"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9B38A03"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7C2493E"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Total score</w:t>
            </w:r>
          </w:p>
        </w:tc>
        <w:tc>
          <w:tcPr>
            <w:tcW w:w="0" w:type="auto"/>
            <w:hideMark/>
          </w:tcPr>
          <w:p w14:paraId="13809330" w14:textId="77777777" w:rsidR="00966D82" w:rsidRPr="00092549" w:rsidRDefault="00966D82" w:rsidP="00F7795B">
            <w:pPr>
              <w:pStyle w:val="af2"/>
              <w:cnfStyle w:val="100000000000" w:firstRow="1"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Quality assessment risk of bias rating</w:t>
            </w:r>
          </w:p>
        </w:tc>
      </w:tr>
      <w:tr w:rsidR="00966D82" w:rsidRPr="00092549" w14:paraId="75789D1A"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EDBC042" w14:textId="77777777" w:rsidR="00966D82" w:rsidRPr="00092549" w:rsidRDefault="00966D82" w:rsidP="00F7795B">
            <w:pPr>
              <w:pStyle w:val="af2"/>
              <w:rPr>
                <w:rFonts w:ascii="Aptos" w:hAnsi="Aptos" w:cs="Times New Roman"/>
                <w:sz w:val="18"/>
                <w:szCs w:val="18"/>
              </w:rPr>
            </w:pPr>
          </w:p>
        </w:tc>
        <w:tc>
          <w:tcPr>
            <w:tcW w:w="0" w:type="auto"/>
            <w:hideMark/>
          </w:tcPr>
          <w:p w14:paraId="5F6B766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1.1</w:t>
            </w:r>
          </w:p>
        </w:tc>
        <w:tc>
          <w:tcPr>
            <w:tcW w:w="0" w:type="auto"/>
            <w:hideMark/>
          </w:tcPr>
          <w:p w14:paraId="38A9F96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1.2</w:t>
            </w:r>
          </w:p>
        </w:tc>
        <w:tc>
          <w:tcPr>
            <w:tcW w:w="0" w:type="auto"/>
            <w:hideMark/>
          </w:tcPr>
          <w:p w14:paraId="6BD1AFC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1.3</w:t>
            </w:r>
          </w:p>
        </w:tc>
        <w:tc>
          <w:tcPr>
            <w:tcW w:w="0" w:type="auto"/>
            <w:hideMark/>
          </w:tcPr>
          <w:p w14:paraId="6651F49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1.4</w:t>
            </w:r>
          </w:p>
        </w:tc>
        <w:tc>
          <w:tcPr>
            <w:tcW w:w="0" w:type="auto"/>
            <w:hideMark/>
          </w:tcPr>
          <w:p w14:paraId="7121D3D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2.1</w:t>
            </w:r>
          </w:p>
        </w:tc>
        <w:tc>
          <w:tcPr>
            <w:tcW w:w="0" w:type="auto"/>
            <w:hideMark/>
          </w:tcPr>
          <w:p w14:paraId="39C9EBA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3.1</w:t>
            </w:r>
          </w:p>
        </w:tc>
        <w:tc>
          <w:tcPr>
            <w:tcW w:w="0" w:type="auto"/>
            <w:hideMark/>
          </w:tcPr>
          <w:p w14:paraId="12613C4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3.2</w:t>
            </w:r>
          </w:p>
        </w:tc>
        <w:tc>
          <w:tcPr>
            <w:tcW w:w="0" w:type="auto"/>
            <w:hideMark/>
          </w:tcPr>
          <w:p w14:paraId="37516F5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3.3</w:t>
            </w:r>
          </w:p>
        </w:tc>
        <w:tc>
          <w:tcPr>
            <w:tcW w:w="0" w:type="auto"/>
            <w:hideMark/>
          </w:tcPr>
          <w:p w14:paraId="4A2A364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50700B9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r>
      <w:tr w:rsidR="00966D82" w:rsidRPr="00092549" w14:paraId="2778D563"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2F2FF013"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Kuperman et al, 1988</w:t>
            </w:r>
          </w:p>
        </w:tc>
        <w:tc>
          <w:tcPr>
            <w:tcW w:w="0" w:type="auto"/>
          </w:tcPr>
          <w:p w14:paraId="5D19C5A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40C116E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4A975C7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2BC38AA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07AA72A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30FCFF3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74D750D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034652D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3BE4645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7</w:t>
            </w:r>
          </w:p>
        </w:tc>
        <w:tc>
          <w:tcPr>
            <w:tcW w:w="0" w:type="auto"/>
          </w:tcPr>
          <w:p w14:paraId="43EAF2F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154EDCA2"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619F0C02"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Barkley et al, 2008; Barkley et al, 1990</w:t>
            </w:r>
          </w:p>
        </w:tc>
        <w:tc>
          <w:tcPr>
            <w:tcW w:w="0" w:type="auto"/>
            <w:hideMark/>
          </w:tcPr>
          <w:p w14:paraId="2D9C88C9"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9385B9D"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21F72A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7B7E114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2E6911B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FD902A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346A4F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83386B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BC35B3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4</w:t>
            </w:r>
          </w:p>
        </w:tc>
        <w:tc>
          <w:tcPr>
            <w:tcW w:w="0" w:type="auto"/>
            <w:hideMark/>
          </w:tcPr>
          <w:p w14:paraId="609027A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Moderate risk</w:t>
            </w:r>
          </w:p>
        </w:tc>
      </w:tr>
      <w:tr w:rsidR="00966D82" w:rsidRPr="00092549" w14:paraId="7ACFF0AF"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0D7302F4"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Klein et al, 2012</w:t>
            </w:r>
          </w:p>
        </w:tc>
        <w:tc>
          <w:tcPr>
            <w:tcW w:w="0" w:type="auto"/>
            <w:hideMark/>
          </w:tcPr>
          <w:p w14:paraId="104504C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2D56B0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07908B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0E4F843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B90B70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9CA817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08D506ED"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F77660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291C94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4</w:t>
            </w:r>
          </w:p>
        </w:tc>
        <w:tc>
          <w:tcPr>
            <w:tcW w:w="0" w:type="auto"/>
            <w:hideMark/>
          </w:tcPr>
          <w:p w14:paraId="3DE44FA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Moderate risk</w:t>
            </w:r>
          </w:p>
        </w:tc>
      </w:tr>
      <w:tr w:rsidR="00966D82" w:rsidRPr="00092549" w14:paraId="6E3EE1C8"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16516CED" w14:textId="77777777" w:rsidR="00966D82" w:rsidRPr="00092549" w:rsidRDefault="00966D82" w:rsidP="00F7795B">
            <w:pPr>
              <w:pStyle w:val="af2"/>
              <w:rPr>
                <w:rFonts w:ascii="Aptos" w:hAnsi="Aptos" w:cs="Times New Roman"/>
                <w:sz w:val="18"/>
                <w:szCs w:val="18"/>
              </w:rPr>
            </w:pPr>
            <w:proofErr w:type="spellStart"/>
            <w:r w:rsidRPr="00092549">
              <w:rPr>
                <w:rFonts w:ascii="Aptos" w:hAnsi="Aptos" w:cs="Times New Roman"/>
                <w:sz w:val="18"/>
                <w:szCs w:val="18"/>
              </w:rPr>
              <w:t>Barbaresi</w:t>
            </w:r>
            <w:proofErr w:type="spellEnd"/>
            <w:r w:rsidRPr="00092549">
              <w:rPr>
                <w:rFonts w:ascii="Aptos" w:hAnsi="Aptos" w:cs="Times New Roman"/>
                <w:sz w:val="18"/>
                <w:szCs w:val="18"/>
              </w:rPr>
              <w:t xml:space="preserve"> et al, 2013</w:t>
            </w:r>
          </w:p>
        </w:tc>
        <w:tc>
          <w:tcPr>
            <w:tcW w:w="0" w:type="auto"/>
            <w:hideMark/>
          </w:tcPr>
          <w:p w14:paraId="4CCC839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CE1C46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C3856E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86A60D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2412D7AD"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1E8D62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C6C428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040FCE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832FBD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8</w:t>
            </w:r>
          </w:p>
        </w:tc>
        <w:tc>
          <w:tcPr>
            <w:tcW w:w="0" w:type="auto"/>
            <w:hideMark/>
          </w:tcPr>
          <w:p w14:paraId="76F348D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7A5675FA"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7D68A8F8" w14:textId="265289D2"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Dalsgaard et al, 2015</w:t>
            </w:r>
          </w:p>
        </w:tc>
        <w:tc>
          <w:tcPr>
            <w:tcW w:w="0" w:type="auto"/>
            <w:hideMark/>
          </w:tcPr>
          <w:p w14:paraId="332720E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F267D5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2A40FC9"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AFE521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99FD51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3BE754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CA6C94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2585E0B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C09F66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9</w:t>
            </w:r>
          </w:p>
        </w:tc>
        <w:tc>
          <w:tcPr>
            <w:tcW w:w="0" w:type="auto"/>
            <w:hideMark/>
          </w:tcPr>
          <w:p w14:paraId="453E191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06B09E8B"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61F8EF1B"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Hechtman et al, 2016</w:t>
            </w:r>
          </w:p>
        </w:tc>
        <w:tc>
          <w:tcPr>
            <w:tcW w:w="0" w:type="auto"/>
            <w:hideMark/>
          </w:tcPr>
          <w:p w14:paraId="25F9BF3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92A7E9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E477B9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75D18C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598BC0A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16A183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E2FB82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47B825D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E900D4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6</w:t>
            </w:r>
          </w:p>
        </w:tc>
        <w:tc>
          <w:tcPr>
            <w:tcW w:w="0" w:type="auto"/>
            <w:hideMark/>
          </w:tcPr>
          <w:p w14:paraId="775B5AA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Moderate risk</w:t>
            </w:r>
          </w:p>
        </w:tc>
      </w:tr>
      <w:tr w:rsidR="00966D82" w:rsidRPr="00092549" w14:paraId="08C651C2"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0BEFC0F"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London and Landes, 2016</w:t>
            </w:r>
          </w:p>
        </w:tc>
        <w:tc>
          <w:tcPr>
            <w:tcW w:w="0" w:type="auto"/>
            <w:hideMark/>
          </w:tcPr>
          <w:p w14:paraId="79D8A2D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6EAFDD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0184FA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FB4CF3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167EACD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4B9107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AB8873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3427D30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6D74DB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6</w:t>
            </w:r>
          </w:p>
        </w:tc>
        <w:tc>
          <w:tcPr>
            <w:tcW w:w="0" w:type="auto"/>
            <w:hideMark/>
          </w:tcPr>
          <w:p w14:paraId="3CCC683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Moderate risk</w:t>
            </w:r>
          </w:p>
        </w:tc>
      </w:tr>
      <w:tr w:rsidR="00966D82" w:rsidRPr="00092549" w14:paraId="09FC4807"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3B3B422A"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Chen et al, 2019</w:t>
            </w:r>
          </w:p>
        </w:tc>
        <w:tc>
          <w:tcPr>
            <w:tcW w:w="0" w:type="auto"/>
            <w:hideMark/>
          </w:tcPr>
          <w:p w14:paraId="6B66120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5CFAA4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AC3738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733DBC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2B845EE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039A16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DF2C6D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5C1E8D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B0E3A5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9</w:t>
            </w:r>
          </w:p>
        </w:tc>
        <w:tc>
          <w:tcPr>
            <w:tcW w:w="0" w:type="auto"/>
            <w:hideMark/>
          </w:tcPr>
          <w:p w14:paraId="1BE0612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6F76BD88"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2E63D7C3"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Sun et al, 2019</w:t>
            </w:r>
          </w:p>
        </w:tc>
        <w:tc>
          <w:tcPr>
            <w:tcW w:w="0" w:type="auto"/>
            <w:hideMark/>
          </w:tcPr>
          <w:p w14:paraId="4759158D"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F9CA78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77D3AFB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F082EB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47F4B71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2209EF6"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87F004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B3ABDD9"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791F2B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9</w:t>
            </w:r>
          </w:p>
        </w:tc>
        <w:tc>
          <w:tcPr>
            <w:tcW w:w="0" w:type="auto"/>
            <w:hideMark/>
          </w:tcPr>
          <w:p w14:paraId="6518475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627F46BD"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39520930"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Yeh et al, 2019</w:t>
            </w:r>
          </w:p>
        </w:tc>
        <w:tc>
          <w:tcPr>
            <w:tcW w:w="0" w:type="auto"/>
            <w:hideMark/>
          </w:tcPr>
          <w:p w14:paraId="1B3736C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03E317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CFB5CC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223C00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208B603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DF68E8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6C75AA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78EE025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hideMark/>
          </w:tcPr>
          <w:p w14:paraId="5DDDF5D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5</w:t>
            </w:r>
          </w:p>
        </w:tc>
        <w:tc>
          <w:tcPr>
            <w:tcW w:w="0" w:type="auto"/>
            <w:hideMark/>
          </w:tcPr>
          <w:p w14:paraId="272C1DC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Moderate risk</w:t>
            </w:r>
          </w:p>
        </w:tc>
      </w:tr>
      <w:tr w:rsidR="00966D82" w:rsidRPr="00092549" w14:paraId="72E106A0" w14:textId="77777777" w:rsidTr="00F7795B">
        <w:tc>
          <w:tcPr>
            <w:cnfStyle w:val="001000000000" w:firstRow="0" w:lastRow="0" w:firstColumn="1" w:lastColumn="0" w:oddVBand="0" w:evenVBand="0" w:oddHBand="0" w:evenHBand="0" w:firstRowFirstColumn="0" w:firstRowLastColumn="0" w:lastRowFirstColumn="0" w:lastRowLastColumn="0"/>
            <w:tcW w:w="0" w:type="auto"/>
            <w:hideMark/>
          </w:tcPr>
          <w:p w14:paraId="47C9ACA2"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Fitzgerald et al, 2019</w:t>
            </w:r>
          </w:p>
        </w:tc>
        <w:tc>
          <w:tcPr>
            <w:tcW w:w="0" w:type="auto"/>
            <w:hideMark/>
          </w:tcPr>
          <w:p w14:paraId="1EF092E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0E3F74EB"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3375112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2D20887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4213CDD"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1A28C420"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28F8D14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6C8229F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hideMark/>
          </w:tcPr>
          <w:p w14:paraId="58921039"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8</w:t>
            </w:r>
          </w:p>
        </w:tc>
        <w:tc>
          <w:tcPr>
            <w:tcW w:w="0" w:type="auto"/>
            <w:hideMark/>
          </w:tcPr>
          <w:p w14:paraId="76854CD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2C61FD7A"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3DC82F85"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Schiavone et al, 2022</w:t>
            </w:r>
          </w:p>
        </w:tc>
        <w:tc>
          <w:tcPr>
            <w:tcW w:w="0" w:type="auto"/>
          </w:tcPr>
          <w:p w14:paraId="43D3E3D9"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32D8D03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42B82299"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2D141AE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7758E92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28F58A2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6EC3013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4A129A8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p>
        </w:tc>
        <w:tc>
          <w:tcPr>
            <w:tcW w:w="0" w:type="auto"/>
          </w:tcPr>
          <w:p w14:paraId="46BE4D0F"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7</w:t>
            </w:r>
          </w:p>
        </w:tc>
        <w:tc>
          <w:tcPr>
            <w:tcW w:w="0" w:type="auto"/>
          </w:tcPr>
          <w:p w14:paraId="0D9F1E8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37275B91"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4645F727"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Kim et al, 2025</w:t>
            </w:r>
          </w:p>
        </w:tc>
        <w:tc>
          <w:tcPr>
            <w:tcW w:w="0" w:type="auto"/>
          </w:tcPr>
          <w:p w14:paraId="0527781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5637244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1C76D54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15E04AA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589C9DF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0B64060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1747644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28DFB531"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2936DCC3"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9</w:t>
            </w:r>
          </w:p>
        </w:tc>
        <w:tc>
          <w:tcPr>
            <w:tcW w:w="0" w:type="auto"/>
          </w:tcPr>
          <w:p w14:paraId="38BFF504"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07099640"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7BF09D98" w14:textId="77777777" w:rsidR="00966D82" w:rsidRPr="00092549" w:rsidRDefault="00966D82" w:rsidP="00F7795B">
            <w:pPr>
              <w:pStyle w:val="af2"/>
              <w:rPr>
                <w:rFonts w:ascii="Aptos" w:hAnsi="Aptos" w:cs="Times New Roman"/>
                <w:sz w:val="18"/>
                <w:szCs w:val="18"/>
              </w:rPr>
            </w:pPr>
            <w:r w:rsidRPr="00092549">
              <w:rPr>
                <w:rFonts w:ascii="Aptos" w:hAnsi="Aptos" w:cs="Times New Roman"/>
                <w:sz w:val="18"/>
                <w:szCs w:val="18"/>
              </w:rPr>
              <w:t>Bowden et al, 2025</w:t>
            </w:r>
          </w:p>
        </w:tc>
        <w:tc>
          <w:tcPr>
            <w:tcW w:w="0" w:type="auto"/>
          </w:tcPr>
          <w:p w14:paraId="58DABAD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5A3EB63A"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32E1AD08"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16B7DD35"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26ADF0CE"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79FBCB4D"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4BB3393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35A6D0B7"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w:t>
            </w:r>
          </w:p>
        </w:tc>
        <w:tc>
          <w:tcPr>
            <w:tcW w:w="0" w:type="auto"/>
          </w:tcPr>
          <w:p w14:paraId="5BA1DF3C"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9</w:t>
            </w:r>
          </w:p>
        </w:tc>
        <w:tc>
          <w:tcPr>
            <w:tcW w:w="0" w:type="auto"/>
          </w:tcPr>
          <w:p w14:paraId="6BFDEA12" w14:textId="77777777" w:rsidR="00966D82" w:rsidRPr="00092549" w:rsidRDefault="00966D82" w:rsidP="00F7795B">
            <w:pPr>
              <w:pStyle w:val="af2"/>
              <w:cnfStyle w:val="000000000000" w:firstRow="0" w:lastRow="0" w:firstColumn="0" w:lastColumn="0" w:oddVBand="0" w:evenVBand="0" w:oddHBand="0" w:evenHBand="0" w:firstRowFirstColumn="0" w:firstRowLastColumn="0" w:lastRowFirstColumn="0" w:lastRowLastColumn="0"/>
              <w:rPr>
                <w:rFonts w:ascii="Aptos" w:hAnsi="Aptos" w:cs="Times New Roman"/>
                <w:sz w:val="18"/>
                <w:szCs w:val="18"/>
              </w:rPr>
            </w:pPr>
            <w:r w:rsidRPr="00092549">
              <w:rPr>
                <w:rFonts w:ascii="Aptos" w:hAnsi="Aptos" w:cs="Times New Roman"/>
                <w:sz w:val="18"/>
                <w:szCs w:val="18"/>
              </w:rPr>
              <w:t>Low risk</w:t>
            </w:r>
          </w:p>
        </w:tc>
      </w:tr>
      <w:tr w:rsidR="00966D82" w:rsidRPr="00092549" w14:paraId="488AAB34" w14:textId="77777777" w:rsidTr="00F7795B">
        <w:tc>
          <w:tcPr>
            <w:cnfStyle w:val="001000000000" w:firstRow="0" w:lastRow="0" w:firstColumn="1" w:lastColumn="0" w:oddVBand="0" w:evenVBand="0" w:oddHBand="0" w:evenHBand="0" w:firstRowFirstColumn="0" w:firstRowLastColumn="0" w:lastRowFirstColumn="0" w:lastRowLastColumn="0"/>
            <w:tcW w:w="0" w:type="auto"/>
          </w:tcPr>
          <w:p w14:paraId="15D5C355" w14:textId="77777777" w:rsidR="00FF1D7B" w:rsidRPr="003A3C9B" w:rsidRDefault="00000000">
            <w:pPr>
              <w:rPr>
                <w:rFonts w:ascii="Aptos" w:hAnsi="Aptos"/>
                <w:sz w:val="18"/>
                <w:szCs w:val="18"/>
              </w:rPr>
            </w:pPr>
            <w:proofErr w:type="spellStart"/>
            <w:r w:rsidRPr="003A3C9B">
              <w:rPr>
                <w:rFonts w:ascii="Aptos" w:hAnsi="Aptos"/>
                <w:sz w:val="18"/>
                <w:szCs w:val="18"/>
              </w:rPr>
              <w:t>O’Nions</w:t>
            </w:r>
            <w:proofErr w:type="spellEnd"/>
            <w:r w:rsidRPr="003A3C9B">
              <w:rPr>
                <w:rFonts w:ascii="Aptos" w:hAnsi="Aptos"/>
                <w:sz w:val="18"/>
                <w:szCs w:val="18"/>
              </w:rPr>
              <w:t xml:space="preserve"> et al, 2025</w:t>
            </w:r>
          </w:p>
        </w:tc>
        <w:tc>
          <w:tcPr>
            <w:tcW w:w="0" w:type="auto"/>
          </w:tcPr>
          <w:p w14:paraId="44B3628E"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30D8B0C9"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0402E8A3"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7EA371FA"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5F588FEF"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6396B770"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280827F1" w14:textId="77777777" w:rsidR="00FF1D7B" w:rsidRPr="003A3C9B" w:rsidRDefault="00FF1D7B">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0" w:type="auto"/>
          </w:tcPr>
          <w:p w14:paraId="5BF123BD"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w:t>
            </w:r>
          </w:p>
        </w:tc>
        <w:tc>
          <w:tcPr>
            <w:tcW w:w="0" w:type="auto"/>
          </w:tcPr>
          <w:p w14:paraId="4CF4E5AC"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8</w:t>
            </w:r>
          </w:p>
        </w:tc>
        <w:tc>
          <w:tcPr>
            <w:tcW w:w="0" w:type="auto"/>
          </w:tcPr>
          <w:p w14:paraId="6A1BD36B" w14:textId="77777777" w:rsidR="00FF1D7B" w:rsidRPr="003A3C9B" w:rsidRDefault="00000000">
            <w:pP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3A3C9B">
              <w:rPr>
                <w:rFonts w:ascii="Aptos" w:hAnsi="Aptos"/>
                <w:sz w:val="18"/>
                <w:szCs w:val="18"/>
              </w:rPr>
              <w:t>Low risk</w:t>
            </w:r>
          </w:p>
        </w:tc>
      </w:tr>
    </w:tbl>
    <w:p w14:paraId="0AD6C2FC" w14:textId="77777777" w:rsidR="00D853E2" w:rsidRPr="00092549" w:rsidRDefault="00D853E2" w:rsidP="00C13E5D">
      <w:pPr>
        <w:rPr>
          <w:rFonts w:ascii="Aptos" w:hAnsi="Aptos" w:cs="Times New Roman"/>
        </w:rPr>
      </w:pPr>
    </w:p>
    <w:p w14:paraId="6C02EFE5" w14:textId="77777777" w:rsidR="00966D82" w:rsidRPr="00092549" w:rsidRDefault="00966D82" w:rsidP="005513A8">
      <w:pPr>
        <w:pageBreakBefore/>
        <w:rPr>
          <w:rFonts w:ascii="Aptos" w:hAnsi="Aptos" w:cs="Times New Roman"/>
        </w:rPr>
      </w:pPr>
      <w:r w:rsidRPr="00092549">
        <w:rPr>
          <w:rFonts w:ascii="Aptos" w:hAnsi="Aptos" w:cs="Times New Roman"/>
          <w:b/>
          <w:bCs/>
        </w:rPr>
        <w:lastRenderedPageBreak/>
        <w:t>Result S</w:t>
      </w:r>
      <w:r w:rsidR="007C39F8" w:rsidRPr="00092549">
        <w:rPr>
          <w:rFonts w:ascii="Aptos" w:hAnsi="Aptos" w:cs="Times New Roman"/>
          <w:b/>
          <w:bCs/>
        </w:rPr>
        <w:t>15</w:t>
      </w:r>
      <w:r w:rsidRPr="00092549">
        <w:rPr>
          <w:rFonts w:ascii="Aptos" w:hAnsi="Aptos" w:cs="Times New Roman"/>
          <w:b/>
          <w:bCs/>
        </w:rPr>
        <w:t>.</w:t>
      </w:r>
      <w:r w:rsidRPr="00092549">
        <w:rPr>
          <w:rFonts w:ascii="Aptos" w:hAnsi="Aptos" w:cs="Times New Roman"/>
        </w:rPr>
        <w:t xml:space="preserve"> </w:t>
      </w:r>
      <w:r w:rsidR="00522CCC" w:rsidRPr="00092549">
        <w:rPr>
          <w:rFonts w:ascii="Aptos" w:hAnsi="Aptos" w:cs="Times New Roman"/>
          <w:sz w:val="22"/>
          <w:szCs w:val="22"/>
        </w:rPr>
        <w:t>Risk-of-bias assessment of included studies using the ROBINS-E tool</w:t>
      </w:r>
    </w:p>
    <w:p w14:paraId="75BA6F66" w14:textId="0C508568" w:rsidR="00927DD5" w:rsidRDefault="00927DD5" w:rsidP="00966D82">
      <w:pPr>
        <w:pStyle w:val="af2"/>
        <w:rPr>
          <w:rFonts w:ascii="Aptos" w:hAnsi="Aptos" w:cs="Times New Roman"/>
          <w:sz w:val="20"/>
          <w:szCs w:val="20"/>
        </w:rPr>
      </w:pPr>
      <w:r>
        <w:rPr>
          <w:noProof/>
        </w:rPr>
        <w:drawing>
          <wp:inline distT="0" distB="0" distL="0" distR="0" wp14:anchorId="081AA93F" wp14:editId="6F390A81">
            <wp:extent cx="6486044" cy="5760720"/>
            <wp:effectExtent l="0" t="0" r="0" b="0"/>
            <wp:docPr id="1553123108" name="Picture 155312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INS-E_traffic_light.png"/>
                    <pic:cNvPicPr/>
                  </pic:nvPicPr>
                  <pic:blipFill>
                    <a:blip r:embed="rId17"/>
                    <a:stretch>
                      <a:fillRect/>
                    </a:stretch>
                  </pic:blipFill>
                  <pic:spPr>
                    <a:xfrm>
                      <a:off x="0" y="0"/>
                      <a:ext cx="6487480" cy="5761995"/>
                    </a:xfrm>
                    <a:prstGeom prst="rect">
                      <a:avLst/>
                    </a:prstGeom>
                  </pic:spPr>
                </pic:pic>
              </a:graphicData>
            </a:graphic>
          </wp:inline>
        </w:drawing>
      </w:r>
    </w:p>
    <w:p w14:paraId="556438B7" w14:textId="77777777" w:rsidR="00D853E2" w:rsidRPr="00092549" w:rsidRDefault="00D853E2" w:rsidP="00C13E5D">
      <w:pPr>
        <w:rPr>
          <w:rFonts w:ascii="Aptos" w:hAnsi="Aptos" w:cs="Times New Roman"/>
        </w:rPr>
      </w:pPr>
    </w:p>
    <w:p w14:paraId="00E0B58D" w14:textId="0E132E7F" w:rsidR="005513A8" w:rsidRPr="004347CC" w:rsidRDefault="001C140B" w:rsidP="005513A8">
      <w:pPr>
        <w:pageBreakBefore/>
        <w:rPr>
          <w:rFonts w:ascii="Aptos" w:hAnsi="Aptos" w:cs="Times New Roman"/>
          <w:b/>
          <w:bCs/>
        </w:rPr>
      </w:pPr>
      <w:r w:rsidRPr="004347CC">
        <w:rPr>
          <w:rFonts w:ascii="Aptos" w:hAnsi="Aptos"/>
          <w:b/>
          <w:bCs/>
        </w:rPr>
        <w:lastRenderedPageBreak/>
        <w:t>Result S16. Funnel plot and Egger’s test for publication bias in studies of ADHD and mortality</w:t>
      </w:r>
    </w:p>
    <w:p w14:paraId="47A1995F" w14:textId="073F84B0" w:rsidR="007E03B8" w:rsidRPr="004347CC" w:rsidRDefault="007E03B8" w:rsidP="00C13E5D">
      <w:pPr>
        <w:jc w:val="center"/>
        <w:rPr>
          <w:rFonts w:ascii="Aptos" w:hAnsi="Aptos" w:cs="Times New Roman"/>
        </w:rPr>
      </w:pPr>
      <w:r w:rsidRPr="004347CC">
        <w:rPr>
          <w:rFonts w:ascii="Aptos" w:hAnsi="Aptos"/>
          <w:noProof/>
        </w:rPr>
        <w:drawing>
          <wp:inline distT="0" distB="0" distL="0" distR="0" wp14:anchorId="733776D4" wp14:editId="31D687B8">
            <wp:extent cx="5669280" cy="4960620"/>
            <wp:effectExtent l="0" t="0" r="0" b="0"/>
            <wp:docPr id="1553123106" name="Picture 155312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nel_primary_updated.png"/>
                    <pic:cNvPicPr/>
                  </pic:nvPicPr>
                  <pic:blipFill>
                    <a:blip r:embed="rId18"/>
                    <a:stretch>
                      <a:fillRect/>
                    </a:stretch>
                  </pic:blipFill>
                  <pic:spPr>
                    <a:xfrm>
                      <a:off x="0" y="0"/>
                      <a:ext cx="5669280" cy="4960620"/>
                    </a:xfrm>
                    <a:prstGeom prst="rect">
                      <a:avLst/>
                    </a:prstGeom>
                  </pic:spPr>
                </pic:pic>
              </a:graphicData>
            </a:graphic>
          </wp:inline>
        </w:drawing>
      </w:r>
      <w:r w:rsidRPr="004347CC">
        <w:rPr>
          <w:rFonts w:ascii="Aptos" w:hAnsi="Aptos"/>
        </w:rPr>
        <w:br/>
        <w:t>Egger’s regression test did not indicate funnel</w:t>
      </w:r>
      <w:r w:rsidR="00287378">
        <w:rPr>
          <w:rFonts w:ascii="Aptos" w:hAnsi="Aptos" w:hint="eastAsia"/>
        </w:rPr>
        <w:t xml:space="preserve"> </w:t>
      </w:r>
      <w:r w:rsidRPr="004347CC">
        <w:rPr>
          <w:rFonts w:ascii="Aptos" w:hAnsi="Aptos"/>
        </w:rPr>
        <w:t>plot asymmetry (p = 0.707).</w:t>
      </w:r>
    </w:p>
    <w:p w14:paraId="1D859F5E" w14:textId="77777777" w:rsidR="00FF1D7B" w:rsidRPr="00CB01A2" w:rsidRDefault="00000000" w:rsidP="001C140B">
      <w:pPr>
        <w:pageBreakBefore/>
        <w:rPr>
          <w:rFonts w:ascii="Aptos" w:hAnsi="Aptos"/>
        </w:rPr>
      </w:pPr>
      <w:r w:rsidRPr="00CB01A2">
        <w:rPr>
          <w:rFonts w:ascii="Aptos" w:hAnsi="Aptos"/>
          <w:b/>
        </w:rPr>
        <w:lastRenderedPageBreak/>
        <w:t>Result S17. GRADE evidence profile for the primary mortality outcomes</w:t>
      </w:r>
    </w:p>
    <w:p w14:paraId="2A3F8D86" w14:textId="537F893D" w:rsidR="00FF1D7B" w:rsidRPr="00CB01A2" w:rsidRDefault="00000000">
      <w:pPr>
        <w:rPr>
          <w:rFonts w:ascii="Aptos" w:hAnsi="Aptos"/>
        </w:rPr>
      </w:pPr>
      <w:r w:rsidRPr="00CB01A2">
        <w:rPr>
          <w:rFonts w:ascii="Aptos" w:hAnsi="Aptos"/>
        </w:rPr>
        <w:t xml:space="preserve">All outcomes began at low certainty, the GRADE starting point for a body of observational evidence, and were rated down for risk of bias (every contributing study was rated high risk of bias by ROBINS-E), inconsistency (I² = 87.6-95.8%; the 95% prediction interval for the primary all-cause synthesis crossed the null), and indirectness (adjustment strategies that could correspond to different target </w:t>
      </w:r>
      <w:proofErr w:type="spellStart"/>
      <w:r w:rsidRPr="00CB01A2">
        <w:rPr>
          <w:rFonts w:ascii="Aptos" w:hAnsi="Aptos"/>
        </w:rPr>
        <w:t>estimands</w:t>
      </w:r>
      <w:proofErr w:type="spellEnd"/>
      <w:r w:rsidRPr="00CB01A2">
        <w:rPr>
          <w:rFonts w:ascii="Aptos" w:hAnsi="Aptos"/>
        </w:rPr>
        <w:t>, and differing target populations, across contributing studies). Natural-cause mortality was rated down an additional level for imprecision because its 95% confidence interval crossed the null and only three studies contributed. Because GRADE has no certainty level below “very low,” the additional downgrades did not change the final rating for any outcome.</w:t>
      </w:r>
    </w:p>
    <w:tbl>
      <w:tblPr>
        <w:tblStyle w:val="21"/>
        <w:tblW w:w="0" w:type="auto"/>
        <w:tblLook w:val="06A0" w:firstRow="1" w:lastRow="0" w:firstColumn="1" w:lastColumn="0" w:noHBand="1" w:noVBand="1"/>
      </w:tblPr>
      <w:tblGrid>
        <w:gridCol w:w="1495"/>
        <w:gridCol w:w="1495"/>
        <w:gridCol w:w="1495"/>
        <w:gridCol w:w="1495"/>
        <w:gridCol w:w="1495"/>
        <w:gridCol w:w="1495"/>
        <w:gridCol w:w="1495"/>
      </w:tblGrid>
      <w:tr w:rsidR="00FF1D7B" w:rsidRPr="008D40CE" w14:paraId="06A3FAA1" w14:textId="77777777" w:rsidTr="00D73A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6325263E" w14:textId="77777777" w:rsidR="00FF1D7B" w:rsidRPr="008D40CE" w:rsidRDefault="00000000">
            <w:pPr>
              <w:rPr>
                <w:rFonts w:ascii="Aptos" w:hAnsi="Aptos"/>
                <w:sz w:val="20"/>
                <w:szCs w:val="20"/>
              </w:rPr>
            </w:pPr>
            <w:r w:rsidRPr="008D40CE">
              <w:rPr>
                <w:rFonts w:ascii="Aptos" w:hAnsi="Aptos"/>
                <w:sz w:val="20"/>
                <w:szCs w:val="20"/>
              </w:rPr>
              <w:t>Outcome</w:t>
            </w:r>
          </w:p>
        </w:tc>
        <w:tc>
          <w:tcPr>
            <w:tcW w:w="1495" w:type="dxa"/>
          </w:tcPr>
          <w:p w14:paraId="23390D30" w14:textId="77777777" w:rsidR="00FF1D7B" w:rsidRPr="008D40CE" w:rsidRDefault="00000000">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Risk of bias</w:t>
            </w:r>
          </w:p>
        </w:tc>
        <w:tc>
          <w:tcPr>
            <w:tcW w:w="1495" w:type="dxa"/>
          </w:tcPr>
          <w:p w14:paraId="5EBBBD28" w14:textId="77777777" w:rsidR="00FF1D7B" w:rsidRPr="008D40CE" w:rsidRDefault="00000000">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Inconsistency</w:t>
            </w:r>
          </w:p>
        </w:tc>
        <w:tc>
          <w:tcPr>
            <w:tcW w:w="1495" w:type="dxa"/>
          </w:tcPr>
          <w:p w14:paraId="635495C0" w14:textId="77777777" w:rsidR="00FF1D7B" w:rsidRPr="008D40CE" w:rsidRDefault="00000000">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Indirectness</w:t>
            </w:r>
          </w:p>
        </w:tc>
        <w:tc>
          <w:tcPr>
            <w:tcW w:w="1495" w:type="dxa"/>
          </w:tcPr>
          <w:p w14:paraId="3F01C802" w14:textId="77777777" w:rsidR="00FF1D7B" w:rsidRPr="008D40CE" w:rsidRDefault="00000000">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Imprecision</w:t>
            </w:r>
          </w:p>
        </w:tc>
        <w:tc>
          <w:tcPr>
            <w:tcW w:w="1495" w:type="dxa"/>
          </w:tcPr>
          <w:p w14:paraId="4262C5B9" w14:textId="77777777" w:rsidR="00FF1D7B" w:rsidRPr="008D40CE" w:rsidRDefault="00000000">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Publication bias</w:t>
            </w:r>
          </w:p>
        </w:tc>
        <w:tc>
          <w:tcPr>
            <w:tcW w:w="1495" w:type="dxa"/>
          </w:tcPr>
          <w:p w14:paraId="6248319B" w14:textId="77777777" w:rsidR="00FF1D7B" w:rsidRPr="008D40CE" w:rsidRDefault="00000000">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Overall certainty</w:t>
            </w:r>
          </w:p>
        </w:tc>
      </w:tr>
      <w:tr w:rsidR="00FF1D7B" w:rsidRPr="008D40CE" w14:paraId="1CAAA096" w14:textId="77777777" w:rsidTr="00D73A86">
        <w:tc>
          <w:tcPr>
            <w:cnfStyle w:val="001000000000" w:firstRow="0" w:lastRow="0" w:firstColumn="1" w:lastColumn="0" w:oddVBand="0" w:evenVBand="0" w:oddHBand="0" w:evenHBand="0" w:firstRowFirstColumn="0" w:firstRowLastColumn="0" w:lastRowFirstColumn="0" w:lastRowLastColumn="0"/>
            <w:tcW w:w="1495" w:type="dxa"/>
          </w:tcPr>
          <w:p w14:paraId="5BD29481" w14:textId="77777777" w:rsidR="00FF1D7B" w:rsidRPr="008D40CE" w:rsidRDefault="00000000">
            <w:pPr>
              <w:rPr>
                <w:rFonts w:ascii="Aptos" w:hAnsi="Aptos"/>
                <w:sz w:val="20"/>
                <w:szCs w:val="20"/>
              </w:rPr>
            </w:pPr>
            <w:r w:rsidRPr="008D40CE">
              <w:rPr>
                <w:rFonts w:ascii="Aptos" w:hAnsi="Aptos"/>
                <w:sz w:val="20"/>
                <w:szCs w:val="20"/>
              </w:rPr>
              <w:t>All-cause mortality</w:t>
            </w:r>
          </w:p>
        </w:tc>
        <w:tc>
          <w:tcPr>
            <w:tcW w:w="1495" w:type="dxa"/>
          </w:tcPr>
          <w:p w14:paraId="38980489"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3AF2D649"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Very serious</w:t>
            </w:r>
          </w:p>
        </w:tc>
        <w:tc>
          <w:tcPr>
            <w:tcW w:w="1495" w:type="dxa"/>
          </w:tcPr>
          <w:p w14:paraId="1113722F"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32102960"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Not serious</w:t>
            </w:r>
          </w:p>
        </w:tc>
        <w:tc>
          <w:tcPr>
            <w:tcW w:w="1495" w:type="dxa"/>
          </w:tcPr>
          <w:p w14:paraId="31101979"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Undetected</w:t>
            </w:r>
          </w:p>
        </w:tc>
        <w:tc>
          <w:tcPr>
            <w:tcW w:w="1495" w:type="dxa"/>
          </w:tcPr>
          <w:p w14:paraId="51AE0961"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Very low</w:t>
            </w:r>
          </w:p>
        </w:tc>
      </w:tr>
      <w:tr w:rsidR="00FF1D7B" w:rsidRPr="008D40CE" w14:paraId="49D99538" w14:textId="77777777" w:rsidTr="00D73A86">
        <w:tc>
          <w:tcPr>
            <w:cnfStyle w:val="001000000000" w:firstRow="0" w:lastRow="0" w:firstColumn="1" w:lastColumn="0" w:oddVBand="0" w:evenVBand="0" w:oddHBand="0" w:evenHBand="0" w:firstRowFirstColumn="0" w:firstRowLastColumn="0" w:lastRowFirstColumn="0" w:lastRowLastColumn="0"/>
            <w:tcW w:w="1495" w:type="dxa"/>
          </w:tcPr>
          <w:p w14:paraId="58DF65DE" w14:textId="77777777" w:rsidR="00FF1D7B" w:rsidRPr="008D40CE" w:rsidRDefault="00000000">
            <w:pPr>
              <w:rPr>
                <w:rFonts w:ascii="Aptos" w:hAnsi="Aptos"/>
                <w:sz w:val="20"/>
                <w:szCs w:val="20"/>
              </w:rPr>
            </w:pPr>
            <w:r w:rsidRPr="008D40CE">
              <w:rPr>
                <w:rFonts w:ascii="Aptos" w:hAnsi="Aptos"/>
                <w:sz w:val="20"/>
                <w:szCs w:val="20"/>
              </w:rPr>
              <w:t>External-cause mortality</w:t>
            </w:r>
          </w:p>
        </w:tc>
        <w:tc>
          <w:tcPr>
            <w:tcW w:w="1495" w:type="dxa"/>
          </w:tcPr>
          <w:p w14:paraId="0D53EB84"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677ECFB6"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06F37221"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446E1CE0"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Not serious</w:t>
            </w:r>
          </w:p>
        </w:tc>
        <w:tc>
          <w:tcPr>
            <w:tcW w:w="1495" w:type="dxa"/>
          </w:tcPr>
          <w:p w14:paraId="4F56A2C1"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Not assessed separately</w:t>
            </w:r>
          </w:p>
        </w:tc>
        <w:tc>
          <w:tcPr>
            <w:tcW w:w="1495" w:type="dxa"/>
          </w:tcPr>
          <w:p w14:paraId="49AE96BC"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Very low</w:t>
            </w:r>
          </w:p>
        </w:tc>
      </w:tr>
      <w:tr w:rsidR="00FF1D7B" w:rsidRPr="008D40CE" w14:paraId="473C1057" w14:textId="77777777" w:rsidTr="00D73A86">
        <w:tc>
          <w:tcPr>
            <w:cnfStyle w:val="001000000000" w:firstRow="0" w:lastRow="0" w:firstColumn="1" w:lastColumn="0" w:oddVBand="0" w:evenVBand="0" w:oddHBand="0" w:evenHBand="0" w:firstRowFirstColumn="0" w:firstRowLastColumn="0" w:lastRowFirstColumn="0" w:lastRowLastColumn="0"/>
            <w:tcW w:w="1495" w:type="dxa"/>
          </w:tcPr>
          <w:p w14:paraId="3B3E66E7" w14:textId="77777777" w:rsidR="00FF1D7B" w:rsidRPr="008D40CE" w:rsidRDefault="00000000">
            <w:pPr>
              <w:rPr>
                <w:rFonts w:ascii="Aptos" w:hAnsi="Aptos"/>
                <w:sz w:val="20"/>
                <w:szCs w:val="20"/>
              </w:rPr>
            </w:pPr>
            <w:r w:rsidRPr="008D40CE">
              <w:rPr>
                <w:rFonts w:ascii="Aptos" w:hAnsi="Aptos"/>
                <w:sz w:val="20"/>
                <w:szCs w:val="20"/>
              </w:rPr>
              <w:t>Natural-cause mortality</w:t>
            </w:r>
          </w:p>
        </w:tc>
        <w:tc>
          <w:tcPr>
            <w:tcW w:w="1495" w:type="dxa"/>
          </w:tcPr>
          <w:p w14:paraId="63FE726C"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33789684"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34331467"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26A29414"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Serious</w:t>
            </w:r>
          </w:p>
        </w:tc>
        <w:tc>
          <w:tcPr>
            <w:tcW w:w="1495" w:type="dxa"/>
          </w:tcPr>
          <w:p w14:paraId="461782E1"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Not assessed (too few studies)</w:t>
            </w:r>
          </w:p>
        </w:tc>
        <w:tc>
          <w:tcPr>
            <w:tcW w:w="1495" w:type="dxa"/>
          </w:tcPr>
          <w:p w14:paraId="0F04D3BF" w14:textId="77777777" w:rsidR="00FF1D7B" w:rsidRPr="008D40CE" w:rsidRDefault="00000000">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8D40CE">
              <w:rPr>
                <w:rFonts w:ascii="Aptos" w:hAnsi="Aptos"/>
                <w:sz w:val="20"/>
                <w:szCs w:val="20"/>
              </w:rPr>
              <w:t>Very low</w:t>
            </w:r>
          </w:p>
        </w:tc>
      </w:tr>
    </w:tbl>
    <w:p w14:paraId="02CAFB99" w14:textId="77777777" w:rsidR="007E03B8" w:rsidRPr="00CB01A2" w:rsidRDefault="007E03B8" w:rsidP="00C13E5D">
      <w:pPr>
        <w:rPr>
          <w:rFonts w:ascii="Aptos" w:hAnsi="Aptos" w:cs="Times New Roman"/>
        </w:rPr>
      </w:pPr>
    </w:p>
    <w:sectPr w:rsidR="007E03B8" w:rsidRPr="00CB01A2" w:rsidSect="00BC640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715F" w14:textId="77777777" w:rsidR="00B63CFA" w:rsidRDefault="00B63CFA" w:rsidP="00330C1A">
      <w:pPr>
        <w:spacing w:after="0" w:line="240" w:lineRule="auto"/>
      </w:pPr>
      <w:r>
        <w:separator/>
      </w:r>
    </w:p>
  </w:endnote>
  <w:endnote w:type="continuationSeparator" w:id="0">
    <w:p w14:paraId="7C1E7DD0" w14:textId="77777777" w:rsidR="00B63CFA" w:rsidRDefault="00B63CFA" w:rsidP="0033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31E0F" w14:textId="77777777" w:rsidR="00B63CFA" w:rsidRDefault="00B63CFA" w:rsidP="00330C1A">
      <w:pPr>
        <w:spacing w:after="0" w:line="240" w:lineRule="auto"/>
      </w:pPr>
      <w:r>
        <w:separator/>
      </w:r>
    </w:p>
  </w:footnote>
  <w:footnote w:type="continuationSeparator" w:id="0">
    <w:p w14:paraId="72AA6E78" w14:textId="77777777" w:rsidR="00B63CFA" w:rsidRDefault="00B63CFA" w:rsidP="00330C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1A"/>
    <w:rsid w:val="00003FD2"/>
    <w:rsid w:val="00011C44"/>
    <w:rsid w:val="00012EBD"/>
    <w:rsid w:val="00017226"/>
    <w:rsid w:val="0002798C"/>
    <w:rsid w:val="00034317"/>
    <w:rsid w:val="00036AC2"/>
    <w:rsid w:val="00042850"/>
    <w:rsid w:val="0006088F"/>
    <w:rsid w:val="000623D4"/>
    <w:rsid w:val="00092549"/>
    <w:rsid w:val="000932E2"/>
    <w:rsid w:val="000A7EB3"/>
    <w:rsid w:val="00104B80"/>
    <w:rsid w:val="00106927"/>
    <w:rsid w:val="00124BDC"/>
    <w:rsid w:val="00133258"/>
    <w:rsid w:val="00147975"/>
    <w:rsid w:val="00153599"/>
    <w:rsid w:val="001650EA"/>
    <w:rsid w:val="00172E7B"/>
    <w:rsid w:val="00186D87"/>
    <w:rsid w:val="00191025"/>
    <w:rsid w:val="0019690F"/>
    <w:rsid w:val="001C140B"/>
    <w:rsid w:val="001C155A"/>
    <w:rsid w:val="001C7051"/>
    <w:rsid w:val="001E3A7A"/>
    <w:rsid w:val="001E4BD3"/>
    <w:rsid w:val="00214A2B"/>
    <w:rsid w:val="0023606A"/>
    <w:rsid w:val="002659C5"/>
    <w:rsid w:val="0027756E"/>
    <w:rsid w:val="00285D96"/>
    <w:rsid w:val="00287378"/>
    <w:rsid w:val="002A684F"/>
    <w:rsid w:val="002D4292"/>
    <w:rsid w:val="00307000"/>
    <w:rsid w:val="00330C1A"/>
    <w:rsid w:val="003372EC"/>
    <w:rsid w:val="00352DC6"/>
    <w:rsid w:val="0038184A"/>
    <w:rsid w:val="00391C5B"/>
    <w:rsid w:val="003A3C9B"/>
    <w:rsid w:val="003B588E"/>
    <w:rsid w:val="003E1AE8"/>
    <w:rsid w:val="003F02FF"/>
    <w:rsid w:val="003F06A5"/>
    <w:rsid w:val="003F0AEC"/>
    <w:rsid w:val="004002D6"/>
    <w:rsid w:val="00410A79"/>
    <w:rsid w:val="0042116F"/>
    <w:rsid w:val="0042267A"/>
    <w:rsid w:val="00427327"/>
    <w:rsid w:val="0043142A"/>
    <w:rsid w:val="004347CC"/>
    <w:rsid w:val="00435BE6"/>
    <w:rsid w:val="004422A9"/>
    <w:rsid w:val="00461B67"/>
    <w:rsid w:val="004A0F78"/>
    <w:rsid w:val="004B47B6"/>
    <w:rsid w:val="004B52D1"/>
    <w:rsid w:val="004B6533"/>
    <w:rsid w:val="004E6A49"/>
    <w:rsid w:val="005012DD"/>
    <w:rsid w:val="005039E6"/>
    <w:rsid w:val="00522CCC"/>
    <w:rsid w:val="00526808"/>
    <w:rsid w:val="005377AA"/>
    <w:rsid w:val="00546234"/>
    <w:rsid w:val="005469C8"/>
    <w:rsid w:val="005513A8"/>
    <w:rsid w:val="00551C1F"/>
    <w:rsid w:val="005600FA"/>
    <w:rsid w:val="0056069F"/>
    <w:rsid w:val="00566A48"/>
    <w:rsid w:val="00576751"/>
    <w:rsid w:val="00581647"/>
    <w:rsid w:val="00584FCF"/>
    <w:rsid w:val="00587BC9"/>
    <w:rsid w:val="00597C84"/>
    <w:rsid w:val="005C5275"/>
    <w:rsid w:val="005D18E1"/>
    <w:rsid w:val="005D1A11"/>
    <w:rsid w:val="005D1FD1"/>
    <w:rsid w:val="005E7035"/>
    <w:rsid w:val="005F23E4"/>
    <w:rsid w:val="005F419D"/>
    <w:rsid w:val="005F42FB"/>
    <w:rsid w:val="006175C4"/>
    <w:rsid w:val="00623E01"/>
    <w:rsid w:val="00635331"/>
    <w:rsid w:val="00644D52"/>
    <w:rsid w:val="00645582"/>
    <w:rsid w:val="0064712A"/>
    <w:rsid w:val="006535A3"/>
    <w:rsid w:val="006559FA"/>
    <w:rsid w:val="006618BA"/>
    <w:rsid w:val="00690400"/>
    <w:rsid w:val="00694297"/>
    <w:rsid w:val="006B649C"/>
    <w:rsid w:val="006C7893"/>
    <w:rsid w:val="006D32E3"/>
    <w:rsid w:val="006E0ABB"/>
    <w:rsid w:val="006E151F"/>
    <w:rsid w:val="006E4903"/>
    <w:rsid w:val="006E6E4B"/>
    <w:rsid w:val="006F55CA"/>
    <w:rsid w:val="006F62BA"/>
    <w:rsid w:val="00712C66"/>
    <w:rsid w:val="00725058"/>
    <w:rsid w:val="00730A08"/>
    <w:rsid w:val="00752671"/>
    <w:rsid w:val="00761A7B"/>
    <w:rsid w:val="00767089"/>
    <w:rsid w:val="00776BDA"/>
    <w:rsid w:val="00791101"/>
    <w:rsid w:val="00791DCC"/>
    <w:rsid w:val="007B5E9F"/>
    <w:rsid w:val="007C39F8"/>
    <w:rsid w:val="007E03B8"/>
    <w:rsid w:val="007E7A8A"/>
    <w:rsid w:val="00831547"/>
    <w:rsid w:val="008339B5"/>
    <w:rsid w:val="00857EC8"/>
    <w:rsid w:val="008703D2"/>
    <w:rsid w:val="00895A36"/>
    <w:rsid w:val="008A05DD"/>
    <w:rsid w:val="008C0650"/>
    <w:rsid w:val="008D40CE"/>
    <w:rsid w:val="008D4B67"/>
    <w:rsid w:val="008E5DCE"/>
    <w:rsid w:val="0090333D"/>
    <w:rsid w:val="00904889"/>
    <w:rsid w:val="0091229B"/>
    <w:rsid w:val="00927DD5"/>
    <w:rsid w:val="00953561"/>
    <w:rsid w:val="00961422"/>
    <w:rsid w:val="009664F5"/>
    <w:rsid w:val="00966D82"/>
    <w:rsid w:val="00966E91"/>
    <w:rsid w:val="009A14BA"/>
    <w:rsid w:val="009D2F6B"/>
    <w:rsid w:val="009D60DC"/>
    <w:rsid w:val="00A36FD8"/>
    <w:rsid w:val="00A537F3"/>
    <w:rsid w:val="00A53A6B"/>
    <w:rsid w:val="00A54A76"/>
    <w:rsid w:val="00A569D0"/>
    <w:rsid w:val="00A60C7A"/>
    <w:rsid w:val="00A87467"/>
    <w:rsid w:val="00A94CDB"/>
    <w:rsid w:val="00AB0C4F"/>
    <w:rsid w:val="00AE3D54"/>
    <w:rsid w:val="00AF3BD3"/>
    <w:rsid w:val="00B0536D"/>
    <w:rsid w:val="00B128EA"/>
    <w:rsid w:val="00B402AE"/>
    <w:rsid w:val="00B420C8"/>
    <w:rsid w:val="00B47DC9"/>
    <w:rsid w:val="00B63CFA"/>
    <w:rsid w:val="00B63EC8"/>
    <w:rsid w:val="00B82BA1"/>
    <w:rsid w:val="00B834FC"/>
    <w:rsid w:val="00B858B8"/>
    <w:rsid w:val="00B92DEC"/>
    <w:rsid w:val="00BA7CC0"/>
    <w:rsid w:val="00BB188E"/>
    <w:rsid w:val="00BB3A3D"/>
    <w:rsid w:val="00BC6404"/>
    <w:rsid w:val="00BF6912"/>
    <w:rsid w:val="00C13E5D"/>
    <w:rsid w:val="00C31703"/>
    <w:rsid w:val="00C473C8"/>
    <w:rsid w:val="00C57B6B"/>
    <w:rsid w:val="00C606D5"/>
    <w:rsid w:val="00C63B29"/>
    <w:rsid w:val="00C805A2"/>
    <w:rsid w:val="00C80A9F"/>
    <w:rsid w:val="00CA34FD"/>
    <w:rsid w:val="00CA76FC"/>
    <w:rsid w:val="00CB01A2"/>
    <w:rsid w:val="00CC1C7B"/>
    <w:rsid w:val="00CD0128"/>
    <w:rsid w:val="00CD175F"/>
    <w:rsid w:val="00CF44EB"/>
    <w:rsid w:val="00D100CB"/>
    <w:rsid w:val="00D2115B"/>
    <w:rsid w:val="00D36F0F"/>
    <w:rsid w:val="00D446C2"/>
    <w:rsid w:val="00D5731A"/>
    <w:rsid w:val="00D6534D"/>
    <w:rsid w:val="00D72B64"/>
    <w:rsid w:val="00D73A86"/>
    <w:rsid w:val="00D810F0"/>
    <w:rsid w:val="00D853E2"/>
    <w:rsid w:val="00DB3F4E"/>
    <w:rsid w:val="00DB519C"/>
    <w:rsid w:val="00DC6670"/>
    <w:rsid w:val="00DE0E28"/>
    <w:rsid w:val="00E045D4"/>
    <w:rsid w:val="00E06639"/>
    <w:rsid w:val="00E108CE"/>
    <w:rsid w:val="00E138F3"/>
    <w:rsid w:val="00E2633C"/>
    <w:rsid w:val="00E43FFE"/>
    <w:rsid w:val="00E44B52"/>
    <w:rsid w:val="00E56979"/>
    <w:rsid w:val="00E669DC"/>
    <w:rsid w:val="00E92913"/>
    <w:rsid w:val="00EA342F"/>
    <w:rsid w:val="00EA51BF"/>
    <w:rsid w:val="00EB443E"/>
    <w:rsid w:val="00EC19C0"/>
    <w:rsid w:val="00EC3165"/>
    <w:rsid w:val="00EC6A45"/>
    <w:rsid w:val="00ED6143"/>
    <w:rsid w:val="00EF730D"/>
    <w:rsid w:val="00F214B5"/>
    <w:rsid w:val="00F30EC2"/>
    <w:rsid w:val="00F30FC9"/>
    <w:rsid w:val="00F31F92"/>
    <w:rsid w:val="00F3557E"/>
    <w:rsid w:val="00F436EC"/>
    <w:rsid w:val="00F46AD2"/>
    <w:rsid w:val="00F567D9"/>
    <w:rsid w:val="00F67CCF"/>
    <w:rsid w:val="00F81CD7"/>
    <w:rsid w:val="00FB68CD"/>
    <w:rsid w:val="00FC394C"/>
    <w:rsid w:val="00FD115C"/>
    <w:rsid w:val="00FF1D7B"/>
    <w:rsid w:val="00FF39C6"/>
    <w:rsid w:val="00FF54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58402"/>
  <w15:chartTrackingRefBased/>
  <w15:docId w15:val="{6BB7FA61-4BCD-417C-A782-51F1EE00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30C1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30C1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30C1A"/>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330C1A"/>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330C1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0C1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30C1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0C1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30C1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30C1A"/>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330C1A"/>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330C1A"/>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330C1A"/>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330C1A"/>
    <w:rPr>
      <w:rFonts w:eastAsiaTheme="majorEastAsia" w:cstheme="majorBidi"/>
      <w:color w:val="2F5496" w:themeColor="accent1" w:themeShade="BF"/>
    </w:rPr>
  </w:style>
  <w:style w:type="character" w:customStyle="1" w:styleId="60">
    <w:name w:val="標題 6 字元"/>
    <w:basedOn w:val="a0"/>
    <w:link w:val="6"/>
    <w:uiPriority w:val="9"/>
    <w:semiHidden/>
    <w:rsid w:val="00330C1A"/>
    <w:rPr>
      <w:rFonts w:eastAsiaTheme="majorEastAsia" w:cstheme="majorBidi"/>
      <w:color w:val="595959" w:themeColor="text1" w:themeTint="A6"/>
    </w:rPr>
  </w:style>
  <w:style w:type="character" w:customStyle="1" w:styleId="70">
    <w:name w:val="標題 7 字元"/>
    <w:basedOn w:val="a0"/>
    <w:link w:val="7"/>
    <w:uiPriority w:val="9"/>
    <w:semiHidden/>
    <w:rsid w:val="00330C1A"/>
    <w:rPr>
      <w:rFonts w:eastAsiaTheme="majorEastAsia" w:cstheme="majorBidi"/>
      <w:color w:val="595959" w:themeColor="text1" w:themeTint="A6"/>
    </w:rPr>
  </w:style>
  <w:style w:type="character" w:customStyle="1" w:styleId="80">
    <w:name w:val="標題 8 字元"/>
    <w:basedOn w:val="a0"/>
    <w:link w:val="8"/>
    <w:uiPriority w:val="9"/>
    <w:semiHidden/>
    <w:rsid w:val="00330C1A"/>
    <w:rPr>
      <w:rFonts w:eastAsiaTheme="majorEastAsia" w:cstheme="majorBidi"/>
      <w:color w:val="272727" w:themeColor="text1" w:themeTint="D8"/>
    </w:rPr>
  </w:style>
  <w:style w:type="character" w:customStyle="1" w:styleId="90">
    <w:name w:val="標題 9 字元"/>
    <w:basedOn w:val="a0"/>
    <w:link w:val="9"/>
    <w:uiPriority w:val="9"/>
    <w:semiHidden/>
    <w:rsid w:val="00330C1A"/>
    <w:rPr>
      <w:rFonts w:eastAsiaTheme="majorEastAsia" w:cstheme="majorBidi"/>
      <w:color w:val="272727" w:themeColor="text1" w:themeTint="D8"/>
    </w:rPr>
  </w:style>
  <w:style w:type="paragraph" w:styleId="a3">
    <w:name w:val="Title"/>
    <w:basedOn w:val="a"/>
    <w:next w:val="a"/>
    <w:link w:val="a4"/>
    <w:uiPriority w:val="10"/>
    <w:qFormat/>
    <w:rsid w:val="00330C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30C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0C1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30C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0C1A"/>
    <w:pPr>
      <w:spacing w:before="160"/>
      <w:jc w:val="center"/>
    </w:pPr>
    <w:rPr>
      <w:i/>
      <w:iCs/>
      <w:color w:val="404040" w:themeColor="text1" w:themeTint="BF"/>
    </w:rPr>
  </w:style>
  <w:style w:type="character" w:customStyle="1" w:styleId="a8">
    <w:name w:val="引文 字元"/>
    <w:basedOn w:val="a0"/>
    <w:link w:val="a7"/>
    <w:uiPriority w:val="29"/>
    <w:rsid w:val="00330C1A"/>
    <w:rPr>
      <w:i/>
      <w:iCs/>
      <w:color w:val="404040" w:themeColor="text1" w:themeTint="BF"/>
    </w:rPr>
  </w:style>
  <w:style w:type="paragraph" w:styleId="a9">
    <w:name w:val="List Paragraph"/>
    <w:basedOn w:val="a"/>
    <w:uiPriority w:val="34"/>
    <w:qFormat/>
    <w:rsid w:val="00330C1A"/>
    <w:pPr>
      <w:ind w:left="720"/>
      <w:contextualSpacing/>
    </w:pPr>
  </w:style>
  <w:style w:type="character" w:styleId="aa">
    <w:name w:val="Intense Emphasis"/>
    <w:basedOn w:val="a0"/>
    <w:uiPriority w:val="21"/>
    <w:qFormat/>
    <w:rsid w:val="00330C1A"/>
    <w:rPr>
      <w:i/>
      <w:iCs/>
      <w:color w:val="2F5496" w:themeColor="accent1" w:themeShade="BF"/>
    </w:rPr>
  </w:style>
  <w:style w:type="paragraph" w:styleId="ab">
    <w:name w:val="Intense Quote"/>
    <w:basedOn w:val="a"/>
    <w:next w:val="a"/>
    <w:link w:val="ac"/>
    <w:uiPriority w:val="30"/>
    <w:qFormat/>
    <w:rsid w:val="00330C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330C1A"/>
    <w:rPr>
      <w:i/>
      <w:iCs/>
      <w:color w:val="2F5496" w:themeColor="accent1" w:themeShade="BF"/>
    </w:rPr>
  </w:style>
  <w:style w:type="character" w:styleId="ad">
    <w:name w:val="Intense Reference"/>
    <w:basedOn w:val="a0"/>
    <w:uiPriority w:val="32"/>
    <w:qFormat/>
    <w:rsid w:val="00330C1A"/>
    <w:rPr>
      <w:b/>
      <w:bCs/>
      <w:smallCaps/>
      <w:color w:val="2F5496" w:themeColor="accent1" w:themeShade="BF"/>
      <w:spacing w:val="5"/>
    </w:rPr>
  </w:style>
  <w:style w:type="paragraph" w:styleId="ae">
    <w:name w:val="header"/>
    <w:basedOn w:val="a"/>
    <w:link w:val="af"/>
    <w:uiPriority w:val="99"/>
    <w:unhideWhenUsed/>
    <w:rsid w:val="00330C1A"/>
    <w:pPr>
      <w:tabs>
        <w:tab w:val="center" w:pos="4153"/>
        <w:tab w:val="right" w:pos="8306"/>
      </w:tabs>
      <w:snapToGrid w:val="0"/>
    </w:pPr>
    <w:rPr>
      <w:sz w:val="20"/>
      <w:szCs w:val="20"/>
    </w:rPr>
  </w:style>
  <w:style w:type="character" w:customStyle="1" w:styleId="af">
    <w:name w:val="頁首 字元"/>
    <w:basedOn w:val="a0"/>
    <w:link w:val="ae"/>
    <w:uiPriority w:val="99"/>
    <w:rsid w:val="00330C1A"/>
    <w:rPr>
      <w:sz w:val="20"/>
      <w:szCs w:val="20"/>
    </w:rPr>
  </w:style>
  <w:style w:type="paragraph" w:styleId="af0">
    <w:name w:val="footer"/>
    <w:basedOn w:val="a"/>
    <w:link w:val="af1"/>
    <w:uiPriority w:val="99"/>
    <w:unhideWhenUsed/>
    <w:rsid w:val="00330C1A"/>
    <w:pPr>
      <w:tabs>
        <w:tab w:val="center" w:pos="4153"/>
        <w:tab w:val="right" w:pos="8306"/>
      </w:tabs>
      <w:snapToGrid w:val="0"/>
    </w:pPr>
    <w:rPr>
      <w:sz w:val="20"/>
      <w:szCs w:val="20"/>
    </w:rPr>
  </w:style>
  <w:style w:type="character" w:customStyle="1" w:styleId="af1">
    <w:name w:val="頁尾 字元"/>
    <w:basedOn w:val="a0"/>
    <w:link w:val="af0"/>
    <w:uiPriority w:val="99"/>
    <w:rsid w:val="00330C1A"/>
    <w:rPr>
      <w:sz w:val="20"/>
      <w:szCs w:val="20"/>
    </w:rPr>
  </w:style>
  <w:style w:type="paragraph" w:customStyle="1" w:styleId="Default">
    <w:name w:val="Default"/>
    <w:rsid w:val="00330C1A"/>
    <w:pPr>
      <w:widowControl w:val="0"/>
      <w:autoSpaceDE w:val="0"/>
      <w:autoSpaceDN w:val="0"/>
      <w:adjustRightInd w:val="0"/>
      <w:spacing w:after="0" w:line="240" w:lineRule="auto"/>
    </w:pPr>
    <w:rPr>
      <w:rFonts w:ascii="Calibri" w:hAnsi="Calibri" w:cs="Calibri"/>
      <w:color w:val="000000"/>
      <w:kern w:val="0"/>
      <w:lang w:val="en-CA" w:eastAsia="en-CA"/>
      <w14:ligatures w14:val="none"/>
    </w:rPr>
  </w:style>
  <w:style w:type="paragraph" w:styleId="af2">
    <w:name w:val="No Spacing"/>
    <w:uiPriority w:val="1"/>
    <w:qFormat/>
    <w:rsid w:val="00B128EA"/>
    <w:pPr>
      <w:widowControl w:val="0"/>
      <w:spacing w:after="0" w:line="240" w:lineRule="auto"/>
    </w:pPr>
  </w:style>
  <w:style w:type="paragraph" w:styleId="af3">
    <w:name w:val="Bibliography"/>
    <w:basedOn w:val="a"/>
    <w:next w:val="a"/>
    <w:uiPriority w:val="37"/>
    <w:unhideWhenUsed/>
    <w:rsid w:val="00C13E5D"/>
    <w:pPr>
      <w:tabs>
        <w:tab w:val="left" w:pos="384"/>
      </w:tabs>
      <w:spacing w:after="240" w:line="240" w:lineRule="auto"/>
      <w:ind w:left="384" w:hanging="384"/>
    </w:pPr>
  </w:style>
  <w:style w:type="table" w:styleId="21">
    <w:name w:val="List Table 2"/>
    <w:basedOn w:val="a1"/>
    <w:uiPriority w:val="47"/>
    <w:rsid w:val="00FF542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f4">
    <w:name w:val="Table Grid"/>
    <w:basedOn w:val="a1"/>
    <w:uiPriority w:val="39"/>
    <w:rsid w:val="00870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91EF7-0AE7-43EE-AC76-216FAAC22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1144</TotalTime>
  <Pages>29</Pages>
  <Words>8046</Words>
  <Characters>45864</Characters>
  <Application>Microsoft Office Word</Application>
  <DocSecurity>0</DocSecurity>
  <Lines>382</Lines>
  <Paragraphs>107</Paragraphs>
  <ScaleCrop>false</ScaleCrop>
  <Company/>
  <LinksUpToDate>false</LinksUpToDate>
  <CharactersWithSpaces>53803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Chang</dc:creator>
  <cp:keywords/>
  <dc:description/>
  <cp:lastModifiedBy>Yu Chang</cp:lastModifiedBy>
  <cp:revision>192</cp:revision>
  <cp:lastPrinted>2026-08-23T11:15:00Z</cp:lastPrinted>
  <dcterms:created xsi:type="dcterms:W3CDTF">2025-11-21T14:41:00Z</dcterms:created>
  <dcterms:modified xsi:type="dcterms:W3CDTF">2026-08-23T14:25:00Z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zotero-version="8.0.4"&gt;&lt;session id="vHwAZKXX"/&gt;&lt;style id="http://www.zotero.org/styles/american-medical-association" hasBibliography="1" bibliographyStyleHasBeenSet="1"/&gt;&lt;prefs&gt;&lt;pref name="fieldType" value="Field"/&gt;&lt;pref name="autom</vt:lpwstr>
  </property>
  <property fmtid="{D5CDD505-2E9C-101B-9397-08002B2CF9AE}" pid="3" name="ZOTERO_PREF_2">
    <vt:lpwstr>aticJournalAbbreviations" value="true"/&gt;&lt;/prefs&gt;&lt;/data&gt;</vt:lpwstr>
  </property>
</Properties>
</file>