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6518C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3309"/>
      <w:bookmarkStart w:id="1" w:name="_Toc19604"/>
      <w:bookmarkStart w:id="2" w:name="_Toc1457"/>
      <w:r>
        <w:rPr>
          <w:rFonts w:ascii="Times New Roman" w:hAnsi="Times New Roman" w:cs="Times New Roman"/>
          <w:sz w:val="32"/>
          <w:szCs w:val="32"/>
        </w:rPr>
        <w:t>Supporting Information</w:t>
      </w:r>
      <w:bookmarkEnd w:id="0"/>
      <w:bookmarkEnd w:id="1"/>
      <w:bookmarkEnd w:id="2"/>
    </w:p>
    <w:p w14:paraId="30D41AB7">
      <w:pPr>
        <w:spacing w:line="360" w:lineRule="auto"/>
        <w:rPr>
          <w:rFonts w:ascii="Times New Roman" w:hAnsi="Times New Roman"/>
          <w:b/>
          <w:bCs/>
          <w:sz w:val="24"/>
          <w:highlight w:val="none"/>
        </w:rPr>
      </w:pPr>
      <w:r>
        <w:rPr>
          <w:rFonts w:ascii="Times New Roman" w:hAnsi="Times New Roman"/>
          <w:b/>
          <w:bCs/>
          <w:sz w:val="24"/>
          <w:highlight w:val="none"/>
        </w:rPr>
        <w:t>Trilobatin combats copper overload-</w:t>
      </w:r>
      <w:r>
        <w:rPr>
          <w:rFonts w:hint="eastAsia" w:ascii="Times New Roman" w:hAnsi="Times New Roman"/>
          <w:b/>
          <w:bCs/>
          <w:sz w:val="24"/>
          <w:highlight w:val="none"/>
          <w:lang w:val="en-US" w:eastAsia="zh-CN"/>
        </w:rPr>
        <w:t>induced</w:t>
      </w:r>
      <w:r>
        <w:rPr>
          <w:rFonts w:ascii="Times New Roman" w:hAnsi="Times New Roman"/>
          <w:b/>
          <w:bCs/>
          <w:sz w:val="24"/>
          <w:highlight w:val="none"/>
        </w:rPr>
        <w:t xml:space="preserve"> cognitive impairment by blocking FDX1-dependent cuproptosis and restoring mitochondrial </w:t>
      </w:r>
      <w:r>
        <w:rPr>
          <w:rFonts w:hint="eastAsia" w:ascii="Times New Roman" w:hAnsi="Times New Roman"/>
          <w:b/>
          <w:bCs/>
          <w:sz w:val="24"/>
          <w:highlight w:val="none"/>
        </w:rPr>
        <w:t>dynamics</w:t>
      </w:r>
    </w:p>
    <w:p w14:paraId="16E00138">
      <w:pPr>
        <w:spacing w:line="360" w:lineRule="auto"/>
        <w:rPr>
          <w:rFonts w:hint="default" w:ascii="Times New Roman" w:hAnsi="Times New Roman" w:eastAsia="宋体"/>
          <w:sz w:val="24"/>
          <w:lang w:val="en-US" w:eastAsia="zh-CN"/>
        </w:rPr>
      </w:pPr>
      <w:bookmarkStart w:id="3" w:name="OLE_LINK29"/>
      <w:r>
        <w:rPr>
          <w:rFonts w:hint="eastAsia" w:ascii="Times New Roman" w:hAnsi="Times New Roman"/>
          <w:sz w:val="24"/>
          <w:highlight w:val="none"/>
          <w:lang w:val="en-US" w:eastAsia="zh-CN"/>
        </w:rPr>
        <w:t>Guozhen Lan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>†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Wang Ran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>†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Zhishu Yang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superscript"/>
        </w:rPr>
        <w:t>†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Fangqin Hou</w:t>
      </w:r>
      <w:r>
        <w:rPr>
          <w:rFonts w:hint="eastAsia" w:ascii="Times New Roman" w:hAnsi="Times New Roman"/>
          <w:sz w:val="24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Wenfang Zhang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Dongjing Liu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Nana Chen</w:t>
      </w:r>
      <w:r>
        <w:rPr>
          <w:rFonts w:ascii="Times New Roman" w:hAnsi="Times New Roman" w:cs="Times New Roman"/>
          <w:sz w:val="24"/>
          <w:szCs w:val="24"/>
          <w:highlight w:val="none"/>
          <w:vertAlign w:val="superscript"/>
        </w:rPr>
        <w:t>1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, Haibo Li</w:t>
      </w:r>
      <w:r>
        <w:rPr>
          <w:rFonts w:hint="eastAsia" w:ascii="Times New Roman" w:hAnsi="Times New Roman"/>
          <w:sz w:val="24"/>
          <w:highlight w:val="none"/>
          <w:vertAlign w:val="superscript"/>
          <w:lang w:val="en-US" w:eastAsia="zh-CN"/>
        </w:rPr>
        <w:t>2</w:t>
      </w:r>
      <w:bookmarkStart w:id="8" w:name="_GoBack"/>
      <w:bookmarkEnd w:id="8"/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highlight w:val="none"/>
        </w:rPr>
        <w:t>Jianmei Ga</w:t>
      </w:r>
      <w:r>
        <w:rPr>
          <w:rFonts w:ascii="Times New Roman" w:hAnsi="Times New Roman"/>
          <w:sz w:val="24"/>
        </w:rPr>
        <w:t>o</w:t>
      </w:r>
      <w:bookmarkEnd w:id="3"/>
      <w:r>
        <w:rPr>
          <w:rFonts w:ascii="Times New Roman" w:hAnsi="Times New Roman"/>
          <w:sz w:val="24"/>
          <w:vertAlign w:val="superscript"/>
        </w:rPr>
        <w:t>1</w:t>
      </w:r>
      <w:r>
        <w:rPr>
          <w:rFonts w:hint="eastAsia" w:ascii="Times New Roman" w:hAnsi="Times New Roman"/>
          <w:sz w:val="24"/>
          <w:vertAlign w:val="baseline"/>
          <w:lang w:val="en-US" w:eastAsia="zh-CN"/>
        </w:rPr>
        <w:t>, Guohui Lu</w:t>
      </w: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3*</w:t>
      </w:r>
      <w:r>
        <w:rPr>
          <w:rFonts w:hint="eastAsia" w:ascii="Times New Roman" w:hAnsi="Times New Roman"/>
          <w:sz w:val="24"/>
          <w:vertAlign w:val="baseline"/>
          <w:lang w:val="en-US" w:eastAsia="zh-CN"/>
        </w:rPr>
        <w:t>, Yu Wei</w:t>
      </w: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4*</w:t>
      </w:r>
    </w:p>
    <w:p w14:paraId="5F4BC023">
      <w:pPr>
        <w:spacing w:line="480" w:lineRule="auto"/>
        <w:jc w:val="left"/>
        <w:rPr>
          <w:rFonts w:hint="eastAsia"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 w:eastAsia="等线" w:cs="Times New Roman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等线" w:cs="Times New Roman"/>
          <w:sz w:val="24"/>
          <w:szCs w:val="24"/>
        </w:rPr>
        <w:t>Key Laboratory of Basic Pharmacology of Ministry of Education and School of Pharmacy, Zunyi Medical University, Zunyi, Guizhou, China</w:t>
      </w:r>
      <w:bookmarkStart w:id="4" w:name="_Hlk208394341"/>
    </w:p>
    <w:bookmarkEnd w:id="4"/>
    <w:p w14:paraId="43AD14AF">
      <w:pPr>
        <w:spacing w:line="360" w:lineRule="auto"/>
        <w:rPr>
          <w:rFonts w:hint="eastAsia" w:ascii="Times New Roman" w:hAnsi="Times New Roman"/>
          <w:sz w:val="24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/>
          <w:sz w:val="24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/>
          <w:sz w:val="24"/>
          <w:highlight w:val="none"/>
          <w:vertAlign w:val="baseline"/>
          <w:lang w:val="en-US" w:eastAsia="zh-CN"/>
        </w:rPr>
        <w:t>School of Chinese Medicine, Liaoning University of Traditional Chinese Medicine， Shenyang, Liaoning 110847, China</w:t>
      </w:r>
    </w:p>
    <w:p w14:paraId="0F979138">
      <w:pPr>
        <w:spacing w:line="360" w:lineRule="auto"/>
        <w:rPr>
          <w:rFonts w:hint="default" w:ascii="Times New Roman" w:hAnsi="Times New Roman"/>
          <w:sz w:val="24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/>
          <w:sz w:val="24"/>
          <w:highlight w:val="none"/>
        </w:rPr>
        <w:t>School of Rehabilitation Medicine</w:t>
      </w:r>
      <w:r>
        <w:rPr>
          <w:rFonts w:ascii="Times New Roman" w:hAnsi="Times New Roman"/>
          <w:sz w:val="24"/>
          <w:highlight w:val="none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 xml:space="preserve">Qilu </w:t>
      </w:r>
      <w:r>
        <w:rPr>
          <w:rFonts w:hint="eastAsia" w:ascii="Times New Roman" w:hAnsi="Times New Roman" w:eastAsia="等线" w:cs="Times New Roman"/>
          <w:sz w:val="24"/>
          <w:szCs w:val="24"/>
        </w:rPr>
        <w:t>Medical University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  <w:lang w:val="en-US" w:eastAsia="zh-CN"/>
        </w:rPr>
        <w:t>Zibo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  <w:lang w:val="en-US" w:eastAsia="zh-CN"/>
        </w:rPr>
        <w:t>Shandong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  <w:lang w:val="en-US" w:eastAsia="zh-CN"/>
        </w:rPr>
        <w:t>255300</w:t>
      </w:r>
      <w:r>
        <w:rPr>
          <w:rFonts w:ascii="Times New Roman" w:hAnsi="Times New Roman"/>
          <w:sz w:val="24"/>
        </w:rPr>
        <w:t>, China</w:t>
      </w:r>
    </w:p>
    <w:p w14:paraId="24153AFE">
      <w:pPr>
        <w:spacing w:line="36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  <w:lang w:val="en-US" w:eastAsia="zh-CN"/>
        </w:rPr>
        <w:t>4</w:t>
      </w:r>
      <w:r>
        <w:rPr>
          <w:rFonts w:ascii="Times New Roman" w:hAnsi="Times New Roman"/>
          <w:sz w:val="24"/>
        </w:rPr>
        <w:t>Department of Pharmacy, The Affiliated Hospital of Zunyi Medical University, Zunyi, Guizhou 563003, China</w:t>
      </w:r>
    </w:p>
    <w:p w14:paraId="4B6302DF">
      <w:r>
        <w:rPr>
          <w:rFonts w:hint="eastAsia" w:ascii="Times New Roman" w:hAnsi="Times New Roman" w:eastAsia="等线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eastAsia="等线" w:cs="Times New Roman"/>
          <w:sz w:val="24"/>
          <w:szCs w:val="24"/>
        </w:rPr>
        <w:t>These authors contributed equally to this work</w:t>
      </w:r>
      <w:r>
        <w:rPr>
          <w:rFonts w:hint="eastAsia" w:ascii="Times New Roman" w:hAnsi="Times New Roman" w:eastAsia="等线" w:cs="Times New Roman"/>
          <w:sz w:val="24"/>
          <w:szCs w:val="24"/>
        </w:rPr>
        <w:t>.</w:t>
      </w:r>
    </w:p>
    <w:p w14:paraId="4E944273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/>
          <w:sz w:val="24"/>
        </w:rPr>
        <w:t xml:space="preserve">Corresponding author: Prof. </w:t>
      </w:r>
      <w:r>
        <w:rPr>
          <w:rFonts w:hint="eastAsia" w:ascii="Times New Roman" w:hAnsi="Times New Roman"/>
          <w:sz w:val="24"/>
          <w:vertAlign w:val="baseline"/>
          <w:lang w:val="en-US" w:eastAsia="zh-CN"/>
        </w:rPr>
        <w:t>Guohui Lu</w:t>
      </w:r>
      <w:r>
        <w:rPr>
          <w:rFonts w:hint="eastAsia" w:ascii="Times New Roman" w:hAnsi="Times New Roman"/>
          <w:sz w:val="24"/>
          <w:lang w:val="en-US" w:eastAsia="zh-CN"/>
        </w:rPr>
        <w:t xml:space="preserve">, </w:t>
      </w:r>
      <w:r>
        <w:rPr>
          <w:rFonts w:ascii="Times New Roman" w:hAnsi="Times New Roman"/>
          <w:sz w:val="24"/>
        </w:rPr>
        <w:t xml:space="preserve">Prof. </w:t>
      </w:r>
      <w:r>
        <w:rPr>
          <w:rFonts w:hint="eastAsia" w:ascii="Times New Roman" w:hAnsi="Times New Roman"/>
          <w:sz w:val="24"/>
          <w:lang w:val="en-US" w:eastAsia="zh-CN"/>
        </w:rPr>
        <w:t>Yu Wei</w:t>
      </w:r>
      <w:r>
        <w:rPr>
          <w:rFonts w:ascii="Times New Roman" w:hAnsi="Times New Roman"/>
          <w:sz w:val="24"/>
        </w:rPr>
        <w:t>.</w:t>
      </w:r>
    </w:p>
    <w:p w14:paraId="59ED9FB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 Xuefu West Road, Zunyi City, Guizhou Province, 563000, P. R. China</w:t>
      </w:r>
    </w:p>
    <w:p w14:paraId="110829B9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Tel: +86-851-286-423-03</w:t>
      </w:r>
    </w:p>
    <w:p w14:paraId="7713F0FC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Fax: +86-851-286-423-03 </w:t>
      </w:r>
    </w:p>
    <w:p w14:paraId="32D0FD57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mail: </w:t>
      </w:r>
      <w:r>
        <w:rPr>
          <w:rStyle w:val="24"/>
          <w:rFonts w:hint="eastAsia" w:ascii="Times New Roman" w:hAnsi="Times New Roman"/>
          <w:sz w:val="24"/>
        </w:rPr>
        <w:t>690273268@qq.com</w:t>
      </w:r>
    </w:p>
    <w:p w14:paraId="4AAB7106">
      <w:pPr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  <w:bookmarkStart w:id="5" w:name="_Toc207545918"/>
      <w:bookmarkStart w:id="6" w:name="_Toc29793"/>
    </w:p>
    <w:bookmarkEnd w:id="5"/>
    <w:bookmarkEnd w:id="6"/>
    <w:p w14:paraId="78A27DD0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Toc207545919"/>
      <w:r>
        <w:rPr>
          <w:rFonts w:ascii="Times New Roman" w:hAnsi="Times New Roman" w:cs="Times New Roman"/>
          <w:b/>
          <w:bCs/>
          <w:sz w:val="24"/>
          <w:szCs w:val="24"/>
        </w:rPr>
        <w:t>Supporting Results</w:t>
      </w:r>
      <w:bookmarkEnd w:id="7"/>
    </w:p>
    <w:p w14:paraId="0CC199CA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271135" cy="5152390"/>
            <wp:effectExtent l="0" t="0" r="5715" b="10160"/>
            <wp:docPr id="2" name="图片 2" descr="细胞活力+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细胞活力+图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58C5B">
      <w:pPr>
        <w:spacing w:line="480" w:lineRule="auto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Figure S1. </w:t>
      </w:r>
      <w:r>
        <w:rPr>
          <w:rFonts w:hint="eastAsia" w:ascii="Times New Roman" w:hAnsi="Times New Roman"/>
          <w:b/>
          <w:bCs/>
          <w:sz w:val="24"/>
        </w:rPr>
        <w:t>FDX1 Mediates the Protective Effects of Trilobatin Against CuSO</w:t>
      </w:r>
      <w:r>
        <w:rPr>
          <w:rFonts w:hint="eastAsia" w:ascii="Times New Roman" w:hAnsi="Times New Roman"/>
          <w:b/>
          <w:bCs/>
          <w:sz w:val="24"/>
          <w:vertAlign w:val="subscript"/>
        </w:rPr>
        <w:t>4</w:t>
      </w:r>
      <w:r>
        <w:rPr>
          <w:rFonts w:hint="eastAsia" w:ascii="Times New Roman" w:hAnsi="Times New Roman"/>
          <w:b/>
          <w:bCs/>
          <w:sz w:val="24"/>
        </w:rPr>
        <w:t>-Induced Toxicity in HT22 Cells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(A)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The effect of different CuSO4 concentration treatments for 24 hours on the viability of HT22 cells (n = 6).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(B)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The effect of different concentrations of TLB on the viability of HT22 cells (n = 6).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(C)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Morphology of cardiomyocytes was observed using a reverse-phase microscope (magnification: 200 times; scale bar = 100 μm). Data are expressed as mean ± SEM.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**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P &lt; 0.01 vs. Control group;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##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P &lt; 0.01 vs. CuSO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bscript"/>
        </w:rPr>
        <w:t>4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group.</w:t>
      </w:r>
    </w:p>
    <w:p w14:paraId="7356852D">
      <w:pPr>
        <w:spacing w:line="480" w:lineRule="auto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3986530" cy="4133215"/>
            <wp:effectExtent l="0" t="0" r="13970" b="635"/>
            <wp:docPr id="19" name="图片 19" descr="siFDX1 蛋白+条带 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iFDX1 蛋白+条带 组合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0BC40">
      <w:pPr>
        <w:spacing w:line="480" w:lineRule="auto"/>
        <w:jc w:val="left"/>
        <w:rPr>
          <w:rFonts w:hint="eastAsia" w:ascii="Times New Roman" w:hAnsi="Times New Roman" w:eastAsia="宋体"/>
          <w:b/>
          <w:bCs/>
          <w:sz w:val="24"/>
          <w:szCs w:val="21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Figure S2. </w:t>
      </w:r>
      <w:r>
        <w:rPr>
          <w:rFonts w:hint="eastAsia" w:ascii="Times New Roman" w:hAnsi="Times New Roman"/>
          <w:b/>
          <w:bCs/>
          <w:sz w:val="24"/>
        </w:rPr>
        <w:t>FDX1 Mediates the Protective Effects of Trilobatin Against CuSO</w:t>
      </w:r>
      <w:r>
        <w:rPr>
          <w:rFonts w:hint="eastAsia" w:ascii="Times New Roman" w:hAnsi="Times New Roman"/>
          <w:b/>
          <w:bCs/>
          <w:sz w:val="24"/>
          <w:vertAlign w:val="subscript"/>
        </w:rPr>
        <w:t>4</w:t>
      </w:r>
      <w:r>
        <w:rPr>
          <w:rFonts w:hint="eastAsia" w:ascii="Times New Roman" w:hAnsi="Times New Roman"/>
          <w:b/>
          <w:bCs/>
          <w:sz w:val="24"/>
        </w:rPr>
        <w:t>-Induced Toxicity in HT22 Cells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. (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A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Representative immunoblot of FDX1 protein expression.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(B)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Quantification of FDX1 protein expression (n = 6). Data are expressed as mean ± SEM. 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</w:rPr>
        <w:t>**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  <w:t>P &lt; 0.01 vs. siNC group.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br w:type="page"/>
      </w:r>
    </w:p>
    <w:p w14:paraId="450F5137">
      <w:pPr>
        <w:spacing w:line="360" w:lineRule="auto"/>
        <w:jc w:val="both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Uncropped raw Western blot images</w:t>
      </w:r>
    </w:p>
    <w:p w14:paraId="045FB29E">
      <w:pPr>
        <w:spacing w:line="480" w:lineRule="auto"/>
        <w:jc w:val="left"/>
        <w:outlineLvl w:val="0"/>
        <w:rPr>
          <w:rFonts w:hint="eastAsia" w:ascii="Times New Roman" w:hAnsi="Times New Roman" w:eastAsia="宋体"/>
          <w:b/>
          <w:bCs/>
          <w:sz w:val="24"/>
          <w:szCs w:val="21"/>
        </w:rPr>
      </w:pPr>
      <w:r>
        <w:rPr>
          <w:rFonts w:hint="eastAsia" w:ascii="Times New Roman" w:hAnsi="Times New Roman"/>
          <w:b w:val="0"/>
          <w:bCs w:val="0"/>
          <w:i w:val="0"/>
          <w:iCs w:val="0"/>
          <w:color w:val="000000"/>
          <w:kern w:val="0"/>
          <w:sz w:val="24"/>
          <w:lang w:bidi="ar"/>
        </w:rPr>
        <w:t>Full-length unprocessed digital chemiluminescence scans of all western blot bands displayed in supplementary figures, with molecular weight markers annotated for reference</w:t>
      </w:r>
    </w:p>
    <w:p w14:paraId="3DCAE254">
      <w:pPr>
        <w:spacing w:line="400" w:lineRule="exact"/>
        <w:rPr>
          <w:rFonts w:ascii="Times New Roman" w:hAnsi="Times New Roman" w:eastAsia="宋体"/>
          <w:b/>
          <w:bCs/>
          <w:sz w:val="24"/>
          <w:szCs w:val="21"/>
        </w:rPr>
      </w:pPr>
      <w:r>
        <w:rPr>
          <w:rFonts w:hint="eastAsia" w:ascii="Times New Roman" w:hAnsi="Times New Roman" w:eastAsia="宋体"/>
          <w:b/>
          <w:bCs/>
          <w:sz w:val="24"/>
          <w:szCs w:val="21"/>
        </w:rPr>
        <w:t>FDX1（19 kDa, n=6）</w:t>
      </w:r>
    </w:p>
    <w:p w14:paraId="791D649C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-actin（42 kDa）</w:t>
      </w:r>
    </w:p>
    <w:p w14:paraId="1317D413">
      <w:pPr>
        <w:rPr>
          <w:rFonts w:ascii="Times New Roman" w:hAnsi="Times New Roman" w:eastAsia="宋体" w:cs="Times New Roman"/>
          <w:b/>
          <w:bCs/>
          <w:sz w:val="24"/>
        </w:rPr>
      </w:pPr>
      <w:r>
        <w:drawing>
          <wp:inline distT="0" distB="0" distL="114300" distR="114300">
            <wp:extent cx="6008370" cy="5829935"/>
            <wp:effectExtent l="0" t="0" r="1143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582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sz w:val="24"/>
        </w:rPr>
        <w:br w:type="page"/>
      </w:r>
    </w:p>
    <w:p w14:paraId="78E8C3E1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SLC31A1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ascii="Times New Roman" w:hAnsi="Times New Roman" w:eastAsia="宋体" w:cs="Times New Roman"/>
          <w:b/>
          <w:bCs/>
          <w:sz w:val="24"/>
        </w:rPr>
        <w:t>35 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14AF94F0">
      <w:pPr>
        <w:spacing w:line="400" w:lineRule="exact"/>
        <w:rPr>
          <w:rFonts w:ascii="Times New Roman" w:hAnsi="Times New Roman" w:eastAsia="宋体"/>
          <w:b/>
          <w:bCs/>
          <w:sz w:val="24"/>
          <w:szCs w:val="21"/>
        </w:rPr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-actin（42 kDa）</w:t>
      </w:r>
    </w:p>
    <w:p w14:paraId="3AEAF629">
      <w:pPr>
        <w:rPr>
          <w:rFonts w:hint="eastAsia"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drawing>
          <wp:inline distT="0" distB="0" distL="0" distR="0">
            <wp:extent cx="5930900" cy="5496560"/>
            <wp:effectExtent l="0" t="0" r="12700" b="8890"/>
            <wp:docPr id="10481085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0853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br w:type="page"/>
      </w:r>
    </w:p>
    <w:p w14:paraId="2C48A83D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t>ATP7B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</w:rPr>
        <w:t>150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 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7A6B0253">
      <w:pPr>
        <w:spacing w:line="400" w:lineRule="exact"/>
        <w:rPr>
          <w:rFonts w:ascii="Times New Roman" w:hAnsi="Times New Roman" w:eastAsia="宋体"/>
          <w:b/>
          <w:bCs/>
          <w:sz w:val="24"/>
          <w:szCs w:val="21"/>
        </w:rPr>
      </w:pPr>
      <w:r>
        <w:rPr>
          <w:rFonts w:hint="eastAsia" w:ascii="Times New Roman" w:hAnsi="Times New Roman" w:eastAsia="宋体"/>
          <w:b/>
          <w:bCs/>
          <w:sz w:val="24"/>
          <w:szCs w:val="21"/>
        </w:rPr>
        <w:t>（42 kDa）</w:t>
      </w:r>
    </w:p>
    <w:p w14:paraId="1106612E">
      <w:pPr>
        <w:jc w:val="left"/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drawing>
          <wp:inline distT="0" distB="0" distL="0" distR="0">
            <wp:extent cx="5923280" cy="5345430"/>
            <wp:effectExtent l="0" t="0" r="1270" b="7620"/>
            <wp:docPr id="5922237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223729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3280" cy="534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br w:type="page"/>
      </w:r>
    </w:p>
    <w:p w14:paraId="2DD84D54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DLD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56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 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7EDA3ED0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-actin（42 kDa）</w:t>
      </w:r>
    </w:p>
    <w:p w14:paraId="00C0F39F">
      <w:r>
        <w:drawing>
          <wp:inline distT="0" distB="0" distL="114300" distR="114300">
            <wp:extent cx="6256655" cy="5166995"/>
            <wp:effectExtent l="0" t="0" r="10795" b="1460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6655" cy="516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7DDCE14F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LIAS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42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3EE99B94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tubulin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50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4939CC96">
      <w:r>
        <w:drawing>
          <wp:inline distT="0" distB="0" distL="114300" distR="114300">
            <wp:extent cx="6278245" cy="5245735"/>
            <wp:effectExtent l="0" t="0" r="8255" b="1206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8245" cy="52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A0FBB4B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PDHA1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43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75A46FB4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tubulin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50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70D46674">
      <w:r>
        <w:drawing>
          <wp:inline distT="0" distB="0" distL="114300" distR="114300">
            <wp:extent cx="6315075" cy="4838065"/>
            <wp:effectExtent l="0" t="0" r="9525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483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1DBACB7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PDHB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35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493991E9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actin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42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1DE13358">
      <w:pP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</w:pPr>
      <w:r>
        <w:drawing>
          <wp:inline distT="0" distB="0" distL="114300" distR="114300">
            <wp:extent cx="6406515" cy="5683250"/>
            <wp:effectExtent l="0" t="0" r="13335" b="1270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6515" cy="568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br w:type="page"/>
      </w:r>
    </w:p>
    <w:p w14:paraId="1B2D0D16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DLAT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69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1AFE0479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actin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42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5F427137">
      <w:r>
        <w:drawing>
          <wp:inline distT="0" distB="0" distL="114300" distR="114300">
            <wp:extent cx="6343015" cy="5767705"/>
            <wp:effectExtent l="0" t="0" r="63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3015" cy="576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F17F919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MTF1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81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609D48E3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actin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42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28F2F308">
      <w:r>
        <w:drawing>
          <wp:inline distT="0" distB="0" distL="114300" distR="114300">
            <wp:extent cx="6351905" cy="5642610"/>
            <wp:effectExtent l="0" t="0" r="10795" b="152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rcRect t="1469"/>
                    <a:stretch>
                      <a:fillRect/>
                    </a:stretch>
                  </pic:blipFill>
                  <pic:spPr>
                    <a:xfrm>
                      <a:off x="0" y="0"/>
                      <a:ext cx="6351905" cy="564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A436792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GLS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73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10951F28">
      <w:pPr>
        <w:spacing w:line="400" w:lineRule="exact"/>
      </w:pPr>
      <w:r>
        <w:rPr>
          <w:rFonts w:ascii="Times New Roman" w:hAnsi="Times New Roman" w:eastAsia="宋体" w:cs="Times New Roman"/>
          <w:b/>
          <w:bCs/>
          <w:sz w:val="24"/>
          <w:szCs w:val="21"/>
        </w:rPr>
        <w:t>β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-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actin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42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58F41487">
      <w:r>
        <w:drawing>
          <wp:inline distT="0" distB="0" distL="114300" distR="114300">
            <wp:extent cx="6292850" cy="5702300"/>
            <wp:effectExtent l="0" t="0" r="12700" b="1270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2BD9535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CDKN2A/p14ARF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17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482D4504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GAPDH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48BE03A3">
      <w:r>
        <w:drawing>
          <wp:inline distT="0" distB="0" distL="114300" distR="114300">
            <wp:extent cx="6309360" cy="5614670"/>
            <wp:effectExtent l="0" t="0" r="15240" b="508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7A762739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MFN1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84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33AE70BA">
      <w:pPr>
        <w:spacing w:line="400" w:lineRule="exact"/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VDAC1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60A12E89">
      <w:pPr>
        <w:rPr>
          <w:rFonts w:hint="eastAsia"/>
        </w:rPr>
      </w:pPr>
      <w:r>
        <w:drawing>
          <wp:inline distT="0" distB="0" distL="114300" distR="114300">
            <wp:extent cx="6406515" cy="5545455"/>
            <wp:effectExtent l="0" t="0" r="13335" b="1714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651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 w:type="page"/>
      </w:r>
    </w:p>
    <w:p w14:paraId="459042E2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MFN2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80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3D304C59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VDAC1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269C6656">
      <w:pP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</w:pPr>
      <w:r>
        <w:drawing>
          <wp:inline distT="0" distB="0" distL="114300" distR="114300">
            <wp:extent cx="6308090" cy="5117465"/>
            <wp:effectExtent l="0" t="0" r="16510" b="698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8090" cy="511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br w:type="page"/>
      </w:r>
    </w:p>
    <w:p w14:paraId="77C0901D">
      <w:pPr>
        <w:spacing w:line="400" w:lineRule="exact"/>
        <w:rPr>
          <w:rFonts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OPA1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100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0697ECEC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VDAC1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2BB2F9AC">
      <w:r>
        <w:drawing>
          <wp:inline distT="0" distB="0" distL="114300" distR="114300">
            <wp:extent cx="6333490" cy="5456555"/>
            <wp:effectExtent l="0" t="0" r="10160" b="1079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3490" cy="545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D8CBC1D">
      <w:pPr>
        <w:spacing w:line="400" w:lineRule="exact"/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p-DRP1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83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  <w:r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DRP1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82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19B6A812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VDAC1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3EA446D8">
      <w:r>
        <w:drawing>
          <wp:inline distT="0" distB="0" distL="114300" distR="114300">
            <wp:extent cx="6463665" cy="7330440"/>
            <wp:effectExtent l="0" t="0" r="13335" b="381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63665" cy="733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F9DF3BD">
      <w:pPr>
        <w:spacing w:line="400" w:lineRule="exact"/>
        <w:rPr>
          <w:rFonts w:hint="eastAsia" w:ascii="Times New Roman" w:hAnsi="Times New Roman" w:eastAsia="宋体" w:cs="宋体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FIS1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17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3F4A9A96">
      <w:pPr>
        <w:spacing w:line="400" w:lineRule="exact"/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VDAC1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36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7191B36E">
      <w:r>
        <w:drawing>
          <wp:inline distT="0" distB="0" distL="114300" distR="114300">
            <wp:extent cx="6377305" cy="5749925"/>
            <wp:effectExtent l="0" t="0" r="4445" b="317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77305" cy="57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12FDBCE">
      <w:pPr>
        <w:spacing w:line="400" w:lineRule="exact"/>
        <w:rPr>
          <w:rFonts w:hint="eastAsia" w:ascii="Times New Roman" w:hAnsi="Times New Roman" w:eastAsia="宋体" w:cs="宋体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PINK1</w:t>
      </w:r>
      <w:r>
        <w:rPr>
          <w:rFonts w:hint="eastAsia" w:ascii="Times New Roman" w:hAnsi="Times New Roman" w:eastAsia="宋体" w:cs="宋体"/>
          <w:b/>
          <w:bCs/>
          <w:sz w:val="24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65 </w:t>
      </w:r>
      <w:r>
        <w:rPr>
          <w:rFonts w:ascii="Times New Roman" w:hAnsi="Times New Roman" w:eastAsia="宋体" w:cs="Times New Roman"/>
          <w:b/>
          <w:bCs/>
          <w:sz w:val="24"/>
        </w:rPr>
        <w:t>kDa, n=6</w:t>
      </w:r>
      <w:r>
        <w:rPr>
          <w:rFonts w:hint="eastAsia" w:ascii="Times New Roman" w:hAnsi="Times New Roman" w:eastAsia="宋体" w:cs="宋体"/>
          <w:b/>
          <w:bCs/>
          <w:sz w:val="24"/>
        </w:rPr>
        <w:t>）</w:t>
      </w:r>
    </w:p>
    <w:p w14:paraId="0BCB1605">
      <w:pPr>
        <w:spacing w:line="400" w:lineRule="exact"/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1"/>
          <w:lang w:val="en-US" w:eastAsia="zh-CN"/>
        </w:rPr>
        <w:t>β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-actin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>（</w:t>
      </w:r>
      <w:r>
        <w:rPr>
          <w:rFonts w:hint="eastAsia" w:ascii="Times New Roman" w:hAnsi="Times New Roman" w:eastAsia="宋体"/>
          <w:b/>
          <w:bCs/>
          <w:sz w:val="24"/>
          <w:szCs w:val="21"/>
          <w:lang w:val="en-US" w:eastAsia="zh-CN"/>
        </w:rPr>
        <w:t>42</w:t>
      </w:r>
      <w:r>
        <w:rPr>
          <w:rFonts w:hint="eastAsia" w:ascii="Times New Roman" w:hAnsi="Times New Roman" w:eastAsia="宋体"/>
          <w:b/>
          <w:bCs/>
          <w:sz w:val="24"/>
          <w:szCs w:val="21"/>
        </w:rPr>
        <w:t xml:space="preserve"> kDa）</w:t>
      </w:r>
    </w:p>
    <w:p w14:paraId="3489BB1F">
      <w:pPr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drawing>
          <wp:inline distT="0" distB="0" distL="114300" distR="114300">
            <wp:extent cx="6346190" cy="4701540"/>
            <wp:effectExtent l="0" t="0" r="16510" b="381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468C5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7F39B0">
                          <w:pPr>
                            <w:pStyle w:val="1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7F39B0">
                    <w:pPr>
                      <w:pStyle w:val="1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C58918"/>
    <w:multiLevelType w:val="singleLevel"/>
    <w:tmpl w:val="A2C58918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sfxarwayxsf2keredpv5vdm225r0vvd2a0v&quot;&gt;My EndNote Library&lt;record-ids&gt;&lt;item&gt;44&lt;/item&gt;&lt;item&gt;45&lt;/item&gt;&lt;item&gt;46&lt;/item&gt;&lt;item&gt;48&lt;/item&gt;&lt;item&gt;49&lt;/item&gt;&lt;item&gt;50&lt;/item&gt;&lt;item&gt;51&lt;/item&gt;&lt;item&gt;56&lt;/item&gt;&lt;item&gt;58&lt;/item&gt;&lt;item&gt;59&lt;/item&gt;&lt;item&gt;60&lt;/item&gt;&lt;item&gt;61&lt;/item&gt;&lt;item&gt;62&lt;/item&gt;&lt;item&gt;63&lt;/item&gt;&lt;item&gt;64&lt;/item&gt;&lt;/record-ids&gt;&lt;/item&gt;&lt;/Libraries&gt;"/>
    <w:docVar w:name="EN.UseJSCitationFormat" w:val="False"/>
  </w:docVars>
  <w:rsids>
    <w:rsidRoot w:val="008F0FBC"/>
    <w:rsid w:val="00015D97"/>
    <w:rsid w:val="00017697"/>
    <w:rsid w:val="0006090F"/>
    <w:rsid w:val="00074250"/>
    <w:rsid w:val="0009012E"/>
    <w:rsid w:val="000E57FD"/>
    <w:rsid w:val="000E7ADC"/>
    <w:rsid w:val="000F7991"/>
    <w:rsid w:val="00101EA8"/>
    <w:rsid w:val="001612CE"/>
    <w:rsid w:val="001A76A7"/>
    <w:rsid w:val="001B5FCB"/>
    <w:rsid w:val="001C46A5"/>
    <w:rsid w:val="001E5632"/>
    <w:rsid w:val="00211C55"/>
    <w:rsid w:val="00236DAA"/>
    <w:rsid w:val="002B3FD7"/>
    <w:rsid w:val="002C7F15"/>
    <w:rsid w:val="003157B0"/>
    <w:rsid w:val="003368F0"/>
    <w:rsid w:val="003A0A5D"/>
    <w:rsid w:val="004213BC"/>
    <w:rsid w:val="00441031"/>
    <w:rsid w:val="004448F9"/>
    <w:rsid w:val="004B3BCF"/>
    <w:rsid w:val="004B5971"/>
    <w:rsid w:val="004F0C43"/>
    <w:rsid w:val="00507F8D"/>
    <w:rsid w:val="00593A29"/>
    <w:rsid w:val="005F36A8"/>
    <w:rsid w:val="00644BD2"/>
    <w:rsid w:val="00666771"/>
    <w:rsid w:val="00673A15"/>
    <w:rsid w:val="006A14D7"/>
    <w:rsid w:val="006E33A7"/>
    <w:rsid w:val="00705629"/>
    <w:rsid w:val="007110B0"/>
    <w:rsid w:val="0071598B"/>
    <w:rsid w:val="0072169C"/>
    <w:rsid w:val="007251DA"/>
    <w:rsid w:val="007A6091"/>
    <w:rsid w:val="007B417F"/>
    <w:rsid w:val="007C4363"/>
    <w:rsid w:val="007D0CCE"/>
    <w:rsid w:val="007D5542"/>
    <w:rsid w:val="007F64CF"/>
    <w:rsid w:val="00802280"/>
    <w:rsid w:val="00820D9C"/>
    <w:rsid w:val="00821662"/>
    <w:rsid w:val="0083226A"/>
    <w:rsid w:val="00863944"/>
    <w:rsid w:val="00893073"/>
    <w:rsid w:val="008934DD"/>
    <w:rsid w:val="008C26F5"/>
    <w:rsid w:val="008E5FA2"/>
    <w:rsid w:val="008F0FBC"/>
    <w:rsid w:val="00914401"/>
    <w:rsid w:val="00954574"/>
    <w:rsid w:val="00983E27"/>
    <w:rsid w:val="00A03000"/>
    <w:rsid w:val="00A16EA8"/>
    <w:rsid w:val="00A47128"/>
    <w:rsid w:val="00B55A3E"/>
    <w:rsid w:val="00B77411"/>
    <w:rsid w:val="00BE4074"/>
    <w:rsid w:val="00C07944"/>
    <w:rsid w:val="00C26ABF"/>
    <w:rsid w:val="00C31560"/>
    <w:rsid w:val="00C33A01"/>
    <w:rsid w:val="00CA6D2C"/>
    <w:rsid w:val="00D0256D"/>
    <w:rsid w:val="00D13A79"/>
    <w:rsid w:val="00D20A54"/>
    <w:rsid w:val="00D91553"/>
    <w:rsid w:val="00DB2976"/>
    <w:rsid w:val="00DB3E8C"/>
    <w:rsid w:val="00E26064"/>
    <w:rsid w:val="00E2668B"/>
    <w:rsid w:val="00E9284A"/>
    <w:rsid w:val="00ED47F6"/>
    <w:rsid w:val="00F45F62"/>
    <w:rsid w:val="00F65D6F"/>
    <w:rsid w:val="00F96245"/>
    <w:rsid w:val="00FA4D9A"/>
    <w:rsid w:val="00FA62F8"/>
    <w:rsid w:val="00FB6806"/>
    <w:rsid w:val="00FC47B8"/>
    <w:rsid w:val="01820AA5"/>
    <w:rsid w:val="01C75589"/>
    <w:rsid w:val="051931EE"/>
    <w:rsid w:val="079E5C2C"/>
    <w:rsid w:val="0869456A"/>
    <w:rsid w:val="09656ADE"/>
    <w:rsid w:val="0A5847B8"/>
    <w:rsid w:val="0AA25A34"/>
    <w:rsid w:val="0B2C51DE"/>
    <w:rsid w:val="0B5A4560"/>
    <w:rsid w:val="0CA939A0"/>
    <w:rsid w:val="0CF31BCF"/>
    <w:rsid w:val="0CF84031"/>
    <w:rsid w:val="0D473BB5"/>
    <w:rsid w:val="0D991370"/>
    <w:rsid w:val="0EFB060C"/>
    <w:rsid w:val="0F707EAE"/>
    <w:rsid w:val="0FE83511"/>
    <w:rsid w:val="10962649"/>
    <w:rsid w:val="10E20B40"/>
    <w:rsid w:val="112847B9"/>
    <w:rsid w:val="12D76496"/>
    <w:rsid w:val="13614AD6"/>
    <w:rsid w:val="139B74C4"/>
    <w:rsid w:val="13CC13DB"/>
    <w:rsid w:val="14276D14"/>
    <w:rsid w:val="14524026"/>
    <w:rsid w:val="14706918"/>
    <w:rsid w:val="14AD2A04"/>
    <w:rsid w:val="15021AF0"/>
    <w:rsid w:val="154D0C92"/>
    <w:rsid w:val="16D00C0D"/>
    <w:rsid w:val="16EF2001"/>
    <w:rsid w:val="176A78D9"/>
    <w:rsid w:val="178169D1"/>
    <w:rsid w:val="18BA4890"/>
    <w:rsid w:val="19704F4F"/>
    <w:rsid w:val="19EA3964"/>
    <w:rsid w:val="1C2269D4"/>
    <w:rsid w:val="1D290C00"/>
    <w:rsid w:val="1EE67301"/>
    <w:rsid w:val="1FA11E8E"/>
    <w:rsid w:val="1FA8438A"/>
    <w:rsid w:val="21E77173"/>
    <w:rsid w:val="220A4192"/>
    <w:rsid w:val="232F1998"/>
    <w:rsid w:val="23B14E2C"/>
    <w:rsid w:val="23FF75FB"/>
    <w:rsid w:val="241237D2"/>
    <w:rsid w:val="248D2E59"/>
    <w:rsid w:val="259049AF"/>
    <w:rsid w:val="27DF1C1D"/>
    <w:rsid w:val="296B5579"/>
    <w:rsid w:val="2A1D1BAF"/>
    <w:rsid w:val="2A735B55"/>
    <w:rsid w:val="2BE83A2C"/>
    <w:rsid w:val="2C1C4C45"/>
    <w:rsid w:val="2D3F1647"/>
    <w:rsid w:val="2DEF03CA"/>
    <w:rsid w:val="2F260132"/>
    <w:rsid w:val="2F2B0331"/>
    <w:rsid w:val="2FF344B8"/>
    <w:rsid w:val="3005657E"/>
    <w:rsid w:val="32EC51EE"/>
    <w:rsid w:val="33557288"/>
    <w:rsid w:val="35B13C12"/>
    <w:rsid w:val="35F745D6"/>
    <w:rsid w:val="361F74EC"/>
    <w:rsid w:val="38FA5C99"/>
    <w:rsid w:val="390C0398"/>
    <w:rsid w:val="391800FD"/>
    <w:rsid w:val="3A126D25"/>
    <w:rsid w:val="3BCC56A6"/>
    <w:rsid w:val="3C7F33E6"/>
    <w:rsid w:val="3C850B8E"/>
    <w:rsid w:val="3C90104E"/>
    <w:rsid w:val="3C9475D8"/>
    <w:rsid w:val="3DDE693D"/>
    <w:rsid w:val="3EA32EE3"/>
    <w:rsid w:val="3F6119D0"/>
    <w:rsid w:val="3F762A0F"/>
    <w:rsid w:val="402661E4"/>
    <w:rsid w:val="407A208B"/>
    <w:rsid w:val="40AA2DA8"/>
    <w:rsid w:val="414133C7"/>
    <w:rsid w:val="41601281"/>
    <w:rsid w:val="428C42F8"/>
    <w:rsid w:val="42B840A4"/>
    <w:rsid w:val="4338369B"/>
    <w:rsid w:val="43DE6DD5"/>
    <w:rsid w:val="46775164"/>
    <w:rsid w:val="46B81B60"/>
    <w:rsid w:val="475F260C"/>
    <w:rsid w:val="47F06E9B"/>
    <w:rsid w:val="48DB6A3C"/>
    <w:rsid w:val="4967002C"/>
    <w:rsid w:val="4D096C71"/>
    <w:rsid w:val="4D880661"/>
    <w:rsid w:val="4E4848FF"/>
    <w:rsid w:val="50395ABF"/>
    <w:rsid w:val="51645C00"/>
    <w:rsid w:val="51BD44CE"/>
    <w:rsid w:val="51DE62E2"/>
    <w:rsid w:val="524D6D93"/>
    <w:rsid w:val="530B56F8"/>
    <w:rsid w:val="53F57F4F"/>
    <w:rsid w:val="545C7FCE"/>
    <w:rsid w:val="54A159E1"/>
    <w:rsid w:val="55324FD5"/>
    <w:rsid w:val="55564A1D"/>
    <w:rsid w:val="55B24446"/>
    <w:rsid w:val="564143AA"/>
    <w:rsid w:val="570D1A54"/>
    <w:rsid w:val="57E253C4"/>
    <w:rsid w:val="58A65B3A"/>
    <w:rsid w:val="59D979CB"/>
    <w:rsid w:val="5A1D3D5C"/>
    <w:rsid w:val="5CAC45E9"/>
    <w:rsid w:val="5D277664"/>
    <w:rsid w:val="5DF00325"/>
    <w:rsid w:val="5E8D473D"/>
    <w:rsid w:val="5EEA16B5"/>
    <w:rsid w:val="5F7563E8"/>
    <w:rsid w:val="602F47E9"/>
    <w:rsid w:val="606B791D"/>
    <w:rsid w:val="60BB6DAA"/>
    <w:rsid w:val="617C1446"/>
    <w:rsid w:val="627C183B"/>
    <w:rsid w:val="62B27DE7"/>
    <w:rsid w:val="62B372FA"/>
    <w:rsid w:val="634D1683"/>
    <w:rsid w:val="636632B4"/>
    <w:rsid w:val="63B079EF"/>
    <w:rsid w:val="63D96EFF"/>
    <w:rsid w:val="640970FF"/>
    <w:rsid w:val="65A57E9E"/>
    <w:rsid w:val="66546D57"/>
    <w:rsid w:val="68437083"/>
    <w:rsid w:val="68637725"/>
    <w:rsid w:val="68DE2707"/>
    <w:rsid w:val="695F4299"/>
    <w:rsid w:val="698F00A6"/>
    <w:rsid w:val="6A590DE0"/>
    <w:rsid w:val="6A6D6639"/>
    <w:rsid w:val="6A841E11"/>
    <w:rsid w:val="6A927E4E"/>
    <w:rsid w:val="6ADF0BB9"/>
    <w:rsid w:val="6CCB5899"/>
    <w:rsid w:val="6CD26C28"/>
    <w:rsid w:val="6EB37C24"/>
    <w:rsid w:val="6F082DD5"/>
    <w:rsid w:val="6F7B35A7"/>
    <w:rsid w:val="70793012"/>
    <w:rsid w:val="70DA60AB"/>
    <w:rsid w:val="711054D3"/>
    <w:rsid w:val="7306587D"/>
    <w:rsid w:val="73247AB1"/>
    <w:rsid w:val="7393362B"/>
    <w:rsid w:val="74C7145C"/>
    <w:rsid w:val="74FC0CE6"/>
    <w:rsid w:val="75134281"/>
    <w:rsid w:val="75261004"/>
    <w:rsid w:val="759058D2"/>
    <w:rsid w:val="759F19E6"/>
    <w:rsid w:val="761A576C"/>
    <w:rsid w:val="762A3631"/>
    <w:rsid w:val="76F41BEA"/>
    <w:rsid w:val="78527D56"/>
    <w:rsid w:val="7B4D0916"/>
    <w:rsid w:val="7B560A24"/>
    <w:rsid w:val="7CCE5C9B"/>
    <w:rsid w:val="7E01736D"/>
    <w:rsid w:val="7EBF76B4"/>
    <w:rsid w:val="7FBF128D"/>
    <w:rsid w:val="7FE9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4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tabs>
        <w:tab w:val="right" w:leader="dot" w:pos="8306"/>
      </w:tabs>
    </w:pPr>
    <w:rPr>
      <w:rFonts w:ascii="Times New Roman" w:hAnsi="Times New Roman" w:cs="Times New Roman"/>
      <w:b/>
      <w:sz w:val="24"/>
      <w:szCs w:val="24"/>
    </w:rPr>
  </w:style>
  <w:style w:type="paragraph" w:styleId="15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7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55"/>
    <w:semiHidden/>
    <w:unhideWhenUsed/>
    <w:qFormat/>
    <w:uiPriority w:val="99"/>
    <w:rPr>
      <w:b/>
      <w:bCs/>
    </w:rPr>
  </w:style>
  <w:style w:type="character" w:styleId="21">
    <w:name w:val="Strong"/>
    <w:basedOn w:val="20"/>
    <w:qFormat/>
    <w:uiPriority w:val="22"/>
    <w:rPr>
      <w:b/>
    </w:rPr>
  </w:style>
  <w:style w:type="character" w:styleId="22">
    <w:name w:val="Emphasis"/>
    <w:basedOn w:val="20"/>
    <w:qFormat/>
    <w:uiPriority w:val="20"/>
    <w:rPr>
      <w:i/>
    </w:rPr>
  </w:style>
  <w:style w:type="character" w:styleId="23">
    <w:name w:val="line number"/>
    <w:basedOn w:val="20"/>
    <w:semiHidden/>
    <w:unhideWhenUsed/>
    <w:qFormat/>
    <w:uiPriority w:val="99"/>
  </w:style>
  <w:style w:type="character" w:styleId="24">
    <w:name w:val="Hyperlink"/>
    <w:basedOn w:val="20"/>
    <w:autoRedefine/>
    <w:qFormat/>
    <w:uiPriority w:val="99"/>
    <w:rPr>
      <w:color w:val="0000FF"/>
      <w:u w:val="single"/>
    </w:rPr>
  </w:style>
  <w:style w:type="character" w:styleId="25">
    <w:name w:val="HTML Code"/>
    <w:basedOn w:val="20"/>
    <w:semiHidden/>
    <w:unhideWhenUsed/>
    <w:qFormat/>
    <w:uiPriority w:val="99"/>
    <w:rPr>
      <w:rFonts w:ascii="Courier New" w:hAnsi="Courier New"/>
      <w:sz w:val="20"/>
    </w:rPr>
  </w:style>
  <w:style w:type="character" w:styleId="26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7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8">
    <w:name w:val="标题 2 字符"/>
    <w:basedOn w:val="20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9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0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1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2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3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20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3">
    <w:name w:val="明显引用 字符"/>
    <w:basedOn w:val="20"/>
    <w:link w:val="42"/>
    <w:qFormat/>
    <w:uiPriority w:val="30"/>
    <w:rPr>
      <w:i/>
      <w:iCs/>
      <w:color w:val="104862" w:themeColor="accent1" w:themeShade="BF"/>
    </w:rPr>
  </w:style>
  <w:style w:type="character" w:customStyle="1" w:styleId="44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5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页眉 字符"/>
    <w:basedOn w:val="20"/>
    <w:link w:val="13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2"/>
    <w:qFormat/>
    <w:uiPriority w:val="99"/>
    <w:rPr>
      <w:sz w:val="18"/>
      <w:szCs w:val="18"/>
    </w:rPr>
  </w:style>
  <w:style w:type="paragraph" w:customStyle="1" w:styleId="48">
    <w:name w:val="EndNote Bibliography Title"/>
    <w:basedOn w:val="1"/>
    <w:link w:val="49"/>
    <w:qFormat/>
    <w:uiPriority w:val="0"/>
    <w:pPr>
      <w:jc w:val="center"/>
    </w:pPr>
    <w:rPr>
      <w:rFonts w:ascii="Times New Roman" w:hAnsi="Times New Roman" w:eastAsia="等线" w:cs="Times New Roman"/>
      <w:sz w:val="22"/>
    </w:rPr>
  </w:style>
  <w:style w:type="character" w:customStyle="1" w:styleId="49">
    <w:name w:val="EndNote Bibliography Title 字符"/>
    <w:basedOn w:val="20"/>
    <w:link w:val="48"/>
    <w:qFormat/>
    <w:uiPriority w:val="0"/>
    <w:rPr>
      <w:rFonts w:eastAsia="等线"/>
      <w:kern w:val="2"/>
      <w:sz w:val="22"/>
      <w:szCs w:val="22"/>
    </w:rPr>
  </w:style>
  <w:style w:type="paragraph" w:customStyle="1" w:styleId="50">
    <w:name w:val="EndNote Bibliography"/>
    <w:basedOn w:val="1"/>
    <w:link w:val="51"/>
    <w:qFormat/>
    <w:uiPriority w:val="0"/>
    <w:pPr>
      <w:spacing w:line="480" w:lineRule="auto"/>
      <w:jc w:val="left"/>
    </w:pPr>
    <w:rPr>
      <w:rFonts w:ascii="Times New Roman" w:hAnsi="Times New Roman" w:eastAsia="等线" w:cs="Times New Roman"/>
      <w:sz w:val="22"/>
    </w:rPr>
  </w:style>
  <w:style w:type="character" w:customStyle="1" w:styleId="51">
    <w:name w:val="EndNote Bibliography 字符"/>
    <w:basedOn w:val="20"/>
    <w:link w:val="50"/>
    <w:qFormat/>
    <w:uiPriority w:val="0"/>
    <w:rPr>
      <w:rFonts w:eastAsia="等线"/>
      <w:kern w:val="2"/>
      <w:sz w:val="22"/>
      <w:szCs w:val="22"/>
    </w:rPr>
  </w:style>
  <w:style w:type="paragraph" w:customStyle="1" w:styleId="5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4">
    <w:name w:val="批注文字 字符"/>
    <w:basedOn w:val="20"/>
    <w:link w:val="1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55">
    <w:name w:val="批注主题 字符"/>
    <w:basedOn w:val="54"/>
    <w:link w:val="1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486</Words>
  <Characters>2247</Characters>
  <Lines>281</Lines>
  <Paragraphs>79</Paragraphs>
  <TotalTime>0</TotalTime>
  <ScaleCrop>false</ScaleCrop>
  <LinksUpToDate>false</LinksUpToDate>
  <CharactersWithSpaces>2569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2025-09-10T05:24:00Z</dcterms:created>
  <dc:creator>杨 易</dc:creator>
  <cp:lastModifiedBy>ranwang</cp:lastModifiedBy>
  <dcterms:modified xsi:type="dcterms:W3CDTF">2026-08-23T14:54:44Z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eyJoZGlkIjoiYjUyYzllZjUyZTU3ZDAyMmY1NTNjMmFhZWNjZjY2YjAiLCJ1c2VySWQiOiI2NzEzNzEwNTkifQ==</vt:lpwstr>
  </property>
  <property fmtid="{D5CDD505-2E9C-101B-9397-08002B2CF9AE}" pid="3" name="KSOProductBuildVer">
    <vt:lpwstr>2052-12.1.0.28022</vt:lpwstr>
  </property>
  <property fmtid="{D5CDD505-2E9C-101B-9397-08002B2CF9AE}" pid="4" name="ICV">
    <vt:lpwstr>F6FFFFA72BD448B4823772DA1077A05D_13</vt:lpwstr>
  </property>
</Properties>
</file>