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241D" w14:textId="77777777" w:rsidR="00C371B9" w:rsidRPr="00C371B9" w:rsidRDefault="00C371B9" w:rsidP="00C371B9">
      <w:pPr>
        <w:keepNext/>
        <w:keepLines/>
        <w:spacing w:before="40" w:after="0"/>
        <w:outlineLvl w:val="1"/>
        <w:rPr>
          <w:rFonts w:ascii="Cambria" w:eastAsia="Times New Roman" w:hAnsi="Cambria" w:cs="Times New Roman"/>
          <w:b/>
          <w:noProof/>
          <w:sz w:val="28"/>
          <w:szCs w:val="26"/>
        </w:rPr>
      </w:pPr>
      <w:r w:rsidRPr="00C371B9">
        <w:rPr>
          <w:rFonts w:ascii="Cambria" w:eastAsia="Times New Roman" w:hAnsi="Cambria" w:cs="Times New Roman"/>
          <w:b/>
          <w:noProof/>
          <w:sz w:val="28"/>
          <w:szCs w:val="26"/>
        </w:rPr>
        <w:t>Gender inequality in each speciality</w:t>
      </w:r>
    </w:p>
    <w:p w14:paraId="4E04FE72" w14:textId="76B868D6" w:rsidR="00C371B9" w:rsidRPr="00C371B9" w:rsidRDefault="00C371B9">
      <w:pPr>
        <w:rPr>
          <w:rFonts w:ascii="Cambria" w:hAnsi="Cambria"/>
        </w:rPr>
      </w:pPr>
    </w:p>
    <w:p w14:paraId="5345F6A5" w14:textId="77777777" w:rsidR="00C371B9" w:rsidRPr="00C371B9" w:rsidRDefault="00C371B9" w:rsidP="00C371B9">
      <w:pPr>
        <w:pStyle w:val="Heading3"/>
        <w:spacing w:line="480" w:lineRule="auto"/>
        <w:rPr>
          <w:lang w:val="en-US"/>
        </w:rPr>
      </w:pPr>
      <w:r w:rsidRPr="00C371B9">
        <w:rPr>
          <w:lang w:val="en-US"/>
        </w:rPr>
        <w:t>Corresponding-author percentage</w:t>
      </w:r>
    </w:p>
    <w:p w14:paraId="1E9F7249" w14:textId="047FDCEC" w:rsidR="00C371B9" w:rsidRPr="00C371B9" w:rsidRDefault="00C371B9" w:rsidP="00C371B9">
      <w:pPr>
        <w:spacing w:line="480" w:lineRule="auto"/>
        <w:rPr>
          <w:rFonts w:ascii="Cambria" w:hAnsi="Cambria"/>
        </w:rPr>
      </w:pPr>
      <w:r w:rsidRPr="00C371B9">
        <w:rPr>
          <w:rFonts w:ascii="Cambria" w:hAnsi="Cambria"/>
        </w:rPr>
        <w:t xml:space="preserve">Dental materials and </w:t>
      </w:r>
      <w:proofErr w:type="spellStart"/>
      <w:r w:rsidRPr="00C371B9">
        <w:rPr>
          <w:rFonts w:ascii="Cambria" w:hAnsi="Cambria"/>
        </w:rPr>
        <w:t>COH</w:t>
      </w:r>
      <w:proofErr w:type="spellEnd"/>
      <w:r w:rsidRPr="00C371B9">
        <w:rPr>
          <w:rFonts w:ascii="Cambria" w:hAnsi="Cambria"/>
        </w:rPr>
        <w:t xml:space="preserve"> had the highest </w:t>
      </w:r>
      <w:proofErr w:type="spellStart"/>
      <w:r w:rsidRPr="00C371B9">
        <w:rPr>
          <w:rFonts w:ascii="Cambria" w:hAnsi="Cambria"/>
        </w:rPr>
        <w:t>MtoW</w:t>
      </w:r>
      <w:proofErr w:type="spellEnd"/>
      <w:r w:rsidRPr="00C371B9">
        <w:rPr>
          <w:rFonts w:ascii="Cambria" w:hAnsi="Cambria"/>
        </w:rPr>
        <w:t xml:space="preserve"> ratio (both 1.13), while radiology and restorative dentistry had the lowest (both 0). Community oral health showed the highest median of corresponding-author paper percentage (35 (</w:t>
      </w:r>
      <w:proofErr w:type="spellStart"/>
      <w:r w:rsidRPr="00C371B9">
        <w:rPr>
          <w:rFonts w:ascii="Cambria" w:hAnsi="Cambria"/>
        </w:rPr>
        <w:t>IQR</w:t>
      </w:r>
      <w:proofErr w:type="spellEnd"/>
      <w:r w:rsidRPr="00C371B9">
        <w:rPr>
          <w:rFonts w:ascii="Cambria" w:hAnsi="Cambria"/>
        </w:rPr>
        <w:t>=37.7) and 30.95 (</w:t>
      </w:r>
      <w:proofErr w:type="spellStart"/>
      <w:r w:rsidRPr="00C371B9">
        <w:rPr>
          <w:rFonts w:ascii="Cambria" w:hAnsi="Cambria"/>
        </w:rPr>
        <w:t>IQR</w:t>
      </w:r>
      <w:proofErr w:type="spellEnd"/>
      <w:r w:rsidRPr="00C371B9">
        <w:rPr>
          <w:rFonts w:ascii="Cambria" w:hAnsi="Cambria"/>
        </w:rPr>
        <w:t xml:space="preserve">=50), respectively). In contrast, men in radiology and restorative dentistry had the lowest median (0). Full details are available in </w:t>
      </w:r>
      <w:r>
        <w:rPr>
          <w:rFonts w:ascii="Cambria" w:hAnsi="Cambria"/>
        </w:rPr>
        <w:t>Supplementary</w:t>
      </w:r>
      <w:r w:rsidRPr="00C371B9">
        <w:rPr>
          <w:rFonts w:ascii="Cambria" w:hAnsi="Cambria"/>
        </w:rPr>
        <w:t xml:space="preserve"> Table 6.</w:t>
      </w:r>
    </w:p>
    <w:p w14:paraId="65F02CA4" w14:textId="751BAF1A" w:rsidR="00C371B9" w:rsidRPr="00C371B9" w:rsidRDefault="00C371B9" w:rsidP="00C371B9">
      <w:pPr>
        <w:rPr>
          <w:rFonts w:ascii="Cambria" w:hAnsi="Cambria"/>
        </w:rPr>
      </w:pPr>
      <w:r>
        <w:rPr>
          <w:rFonts w:ascii="Cambria" w:hAnsi="Cambria"/>
        </w:rPr>
        <w:t>Supplementary</w:t>
      </w:r>
      <w:r w:rsidRPr="00C371B9">
        <w:rPr>
          <w:rFonts w:ascii="Cambria" w:hAnsi="Cambria"/>
        </w:rPr>
        <w:t xml:space="preserve"> </w:t>
      </w:r>
      <w:proofErr w:type="spellStart"/>
      <w:r w:rsidRPr="00C371B9">
        <w:rPr>
          <w:rFonts w:ascii="Cambria" w:hAnsi="Cambria"/>
        </w:rPr>
        <w:t>Tabel</w:t>
      </w:r>
      <w:proofErr w:type="spellEnd"/>
      <w:r w:rsidRPr="00C371B9">
        <w:rPr>
          <w:rFonts w:ascii="Cambria" w:hAnsi="Cambria"/>
        </w:rPr>
        <w:t xml:space="preserve"> 6. The percentage of corresponding-author papers by gender and </w:t>
      </w:r>
      <w:proofErr w:type="spellStart"/>
      <w:r w:rsidRPr="00C371B9">
        <w:rPr>
          <w:rFonts w:ascii="Cambria" w:hAnsi="Cambria"/>
        </w:rPr>
        <w:t>speciality</w:t>
      </w:r>
      <w:proofErr w:type="spellEnd"/>
      <w:r w:rsidRPr="00C371B9">
        <w:rPr>
          <w:rFonts w:ascii="Cambria" w:hAnsi="Cambria"/>
        </w:rPr>
        <w:t xml:space="preserve"> (*: ratio &lt; 1, ^: ratio &gt; 2)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510"/>
        <w:gridCol w:w="1417"/>
        <w:gridCol w:w="1417"/>
        <w:gridCol w:w="1418"/>
        <w:gridCol w:w="1608"/>
      </w:tblGrid>
      <w:tr w:rsidR="00C371B9" w:rsidRPr="00C371B9" w14:paraId="2D496ACD" w14:textId="77777777" w:rsidTr="00931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vMerge w:val="restart"/>
            <w:vAlign w:val="center"/>
          </w:tcPr>
          <w:p w14:paraId="49ED6C6A" w14:textId="77777777" w:rsidR="00C371B9" w:rsidRPr="00C371B9" w:rsidRDefault="00C371B9" w:rsidP="00931143">
            <w:pPr>
              <w:spacing w:before="120" w:after="120" w:line="480" w:lineRule="auto"/>
              <w:jc w:val="center"/>
              <w:rPr>
                <w:rFonts w:ascii="Cambria" w:hAnsi="Cambria"/>
                <w:szCs w:val="20"/>
              </w:rPr>
            </w:pPr>
            <w:proofErr w:type="spellStart"/>
            <w:r w:rsidRPr="00C371B9">
              <w:rPr>
                <w:rFonts w:ascii="Cambria" w:hAnsi="Cambria"/>
                <w:szCs w:val="20"/>
              </w:rPr>
              <w:t>Speciality</w:t>
            </w:r>
            <w:proofErr w:type="spellEnd"/>
          </w:p>
        </w:tc>
        <w:tc>
          <w:tcPr>
            <w:tcW w:w="4252" w:type="dxa"/>
            <w:gridSpan w:val="3"/>
          </w:tcPr>
          <w:p w14:paraId="3464FA5F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Median (</w:t>
            </w:r>
            <w:proofErr w:type="spellStart"/>
            <w:r w:rsidRPr="00C371B9">
              <w:rPr>
                <w:rFonts w:ascii="Cambria" w:hAnsi="Cambria"/>
                <w:szCs w:val="20"/>
              </w:rPr>
              <w:t>IQR</w:t>
            </w:r>
            <w:proofErr w:type="spellEnd"/>
            <w:r w:rsidRPr="00C371B9">
              <w:rPr>
                <w:rFonts w:ascii="Cambria" w:hAnsi="Cambria"/>
                <w:szCs w:val="20"/>
              </w:rPr>
              <w:t>)</w:t>
            </w:r>
          </w:p>
        </w:tc>
        <w:tc>
          <w:tcPr>
            <w:tcW w:w="1608" w:type="dxa"/>
            <w:vMerge w:val="restart"/>
            <w:vAlign w:val="center"/>
          </w:tcPr>
          <w:p w14:paraId="20E5DC84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proofErr w:type="spellStart"/>
            <w:r w:rsidRPr="00C371B9">
              <w:rPr>
                <w:rFonts w:ascii="Cambria" w:hAnsi="Cambria"/>
                <w:szCs w:val="20"/>
              </w:rPr>
              <w:t>MtoW</w:t>
            </w:r>
            <w:proofErr w:type="spellEnd"/>
          </w:p>
        </w:tc>
      </w:tr>
      <w:tr w:rsidR="00C371B9" w:rsidRPr="00C371B9" w14:paraId="496BE958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vMerge/>
          </w:tcPr>
          <w:p w14:paraId="749312CF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</w:p>
        </w:tc>
        <w:tc>
          <w:tcPr>
            <w:tcW w:w="1417" w:type="dxa"/>
          </w:tcPr>
          <w:p w14:paraId="49459552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Both</w:t>
            </w:r>
          </w:p>
        </w:tc>
        <w:tc>
          <w:tcPr>
            <w:tcW w:w="1417" w:type="dxa"/>
            <w:vAlign w:val="center"/>
          </w:tcPr>
          <w:p w14:paraId="0D7E4A07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Men</w:t>
            </w:r>
          </w:p>
        </w:tc>
        <w:tc>
          <w:tcPr>
            <w:tcW w:w="1418" w:type="dxa"/>
            <w:vAlign w:val="center"/>
          </w:tcPr>
          <w:p w14:paraId="40EA9CD9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Women</w:t>
            </w:r>
          </w:p>
        </w:tc>
        <w:tc>
          <w:tcPr>
            <w:tcW w:w="1608" w:type="dxa"/>
            <w:vMerge/>
            <w:vAlign w:val="center"/>
          </w:tcPr>
          <w:p w14:paraId="0390146A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</w:p>
        </w:tc>
      </w:tr>
      <w:tr w:rsidR="00C371B9" w:rsidRPr="00C371B9" w14:paraId="06485B6A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4BE3AFB5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proofErr w:type="spellStart"/>
            <w:r w:rsidRPr="00C371B9">
              <w:rPr>
                <w:rFonts w:ascii="Cambria" w:hAnsi="Cambria"/>
                <w:szCs w:val="20"/>
              </w:rPr>
              <w:t>COH</w:t>
            </w:r>
            <w:proofErr w:type="spellEnd"/>
          </w:p>
        </w:tc>
        <w:tc>
          <w:tcPr>
            <w:tcW w:w="1417" w:type="dxa"/>
            <w:vAlign w:val="center"/>
          </w:tcPr>
          <w:p w14:paraId="78D88B51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33.33 (57.14)</w:t>
            </w:r>
          </w:p>
        </w:tc>
        <w:tc>
          <w:tcPr>
            <w:tcW w:w="1417" w:type="dxa"/>
            <w:vAlign w:val="center"/>
          </w:tcPr>
          <w:p w14:paraId="26659717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35 (37.7)</w:t>
            </w:r>
          </w:p>
        </w:tc>
        <w:tc>
          <w:tcPr>
            <w:tcW w:w="1418" w:type="dxa"/>
            <w:vAlign w:val="center"/>
          </w:tcPr>
          <w:p w14:paraId="22622027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30.95 (50)</w:t>
            </w:r>
          </w:p>
        </w:tc>
        <w:tc>
          <w:tcPr>
            <w:tcW w:w="1608" w:type="dxa"/>
            <w:vAlign w:val="center"/>
          </w:tcPr>
          <w:p w14:paraId="297846FF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1.13</w:t>
            </w:r>
          </w:p>
        </w:tc>
      </w:tr>
      <w:tr w:rsidR="00C371B9" w:rsidRPr="00C371B9" w14:paraId="1B1D39E0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20E79C85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Dental Materials</w:t>
            </w:r>
          </w:p>
        </w:tc>
        <w:tc>
          <w:tcPr>
            <w:tcW w:w="1417" w:type="dxa"/>
            <w:vAlign w:val="center"/>
          </w:tcPr>
          <w:p w14:paraId="706C57D4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23.61 (21.5)</w:t>
            </w:r>
          </w:p>
        </w:tc>
        <w:tc>
          <w:tcPr>
            <w:tcW w:w="1417" w:type="dxa"/>
            <w:vAlign w:val="center"/>
          </w:tcPr>
          <w:p w14:paraId="07726518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(8.64)</w:t>
            </w:r>
          </w:p>
        </w:tc>
        <w:tc>
          <w:tcPr>
            <w:tcW w:w="1418" w:type="dxa"/>
            <w:vAlign w:val="center"/>
          </w:tcPr>
          <w:p w14:paraId="4A9CED9C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22.22 (31.46)</w:t>
            </w:r>
          </w:p>
        </w:tc>
        <w:tc>
          <w:tcPr>
            <w:tcW w:w="1608" w:type="dxa"/>
            <w:vAlign w:val="center"/>
          </w:tcPr>
          <w:p w14:paraId="015453BD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1.13</w:t>
            </w:r>
          </w:p>
        </w:tc>
      </w:tr>
      <w:tr w:rsidR="00C371B9" w:rsidRPr="00C371B9" w14:paraId="5466C62A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4B421367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Endodontics</w:t>
            </w:r>
          </w:p>
        </w:tc>
        <w:tc>
          <w:tcPr>
            <w:tcW w:w="1417" w:type="dxa"/>
            <w:vAlign w:val="center"/>
          </w:tcPr>
          <w:p w14:paraId="40EF3145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21.83 (47.03)</w:t>
            </w:r>
          </w:p>
        </w:tc>
        <w:tc>
          <w:tcPr>
            <w:tcW w:w="1417" w:type="dxa"/>
            <w:vAlign w:val="center"/>
          </w:tcPr>
          <w:p w14:paraId="3341F3F1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14.84 (33.33)</w:t>
            </w:r>
          </w:p>
        </w:tc>
        <w:tc>
          <w:tcPr>
            <w:tcW w:w="1418" w:type="dxa"/>
            <w:vAlign w:val="center"/>
          </w:tcPr>
          <w:p w14:paraId="04383028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29.81 (45.31)</w:t>
            </w:r>
          </w:p>
        </w:tc>
        <w:tc>
          <w:tcPr>
            <w:tcW w:w="1608" w:type="dxa"/>
            <w:vAlign w:val="center"/>
          </w:tcPr>
          <w:p w14:paraId="7A9C2C92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0.50</w:t>
            </w:r>
          </w:p>
        </w:tc>
      </w:tr>
      <w:tr w:rsidR="00C371B9" w:rsidRPr="00C371B9" w14:paraId="0A4616A3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05CD0D1B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proofErr w:type="spellStart"/>
            <w:r w:rsidRPr="00C371B9">
              <w:rPr>
                <w:rFonts w:ascii="Cambria" w:hAnsi="Cambria"/>
                <w:szCs w:val="20"/>
              </w:rPr>
              <w:t>OMFS</w:t>
            </w:r>
            <w:proofErr w:type="spellEnd"/>
          </w:p>
        </w:tc>
        <w:tc>
          <w:tcPr>
            <w:tcW w:w="1417" w:type="dxa"/>
            <w:vAlign w:val="center"/>
          </w:tcPr>
          <w:p w14:paraId="267C821A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10.24 (40)</w:t>
            </w:r>
          </w:p>
        </w:tc>
        <w:tc>
          <w:tcPr>
            <w:tcW w:w="1417" w:type="dxa"/>
            <w:vAlign w:val="center"/>
          </w:tcPr>
          <w:p w14:paraId="1197E941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8.7 (41.18)</w:t>
            </w:r>
          </w:p>
        </w:tc>
        <w:tc>
          <w:tcPr>
            <w:tcW w:w="1418" w:type="dxa"/>
            <w:vAlign w:val="center"/>
          </w:tcPr>
          <w:p w14:paraId="0BDC12DF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12.5 (33.33)</w:t>
            </w:r>
          </w:p>
        </w:tc>
        <w:tc>
          <w:tcPr>
            <w:tcW w:w="1608" w:type="dxa"/>
            <w:vAlign w:val="center"/>
          </w:tcPr>
          <w:p w14:paraId="14CCA797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0.70</w:t>
            </w:r>
          </w:p>
        </w:tc>
      </w:tr>
      <w:tr w:rsidR="00C371B9" w:rsidRPr="00C371B9" w14:paraId="757C7794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3DDF2955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Oral Medicine</w:t>
            </w:r>
          </w:p>
        </w:tc>
        <w:tc>
          <w:tcPr>
            <w:tcW w:w="1417" w:type="dxa"/>
            <w:vAlign w:val="center"/>
          </w:tcPr>
          <w:p w14:paraId="35416B9C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23.81 (50)</w:t>
            </w:r>
          </w:p>
        </w:tc>
        <w:tc>
          <w:tcPr>
            <w:tcW w:w="1417" w:type="dxa"/>
            <w:vAlign w:val="center"/>
          </w:tcPr>
          <w:p w14:paraId="29CA0F53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23.81 (38.18)</w:t>
            </w:r>
          </w:p>
        </w:tc>
        <w:tc>
          <w:tcPr>
            <w:tcW w:w="1418" w:type="dxa"/>
            <w:vAlign w:val="center"/>
          </w:tcPr>
          <w:p w14:paraId="47BA99DA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24.26 (50)</w:t>
            </w:r>
          </w:p>
        </w:tc>
        <w:tc>
          <w:tcPr>
            <w:tcW w:w="1608" w:type="dxa"/>
            <w:vAlign w:val="center"/>
          </w:tcPr>
          <w:p w14:paraId="5CAD0A99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0.98</w:t>
            </w:r>
          </w:p>
        </w:tc>
      </w:tr>
      <w:tr w:rsidR="00C371B9" w:rsidRPr="00C371B9" w14:paraId="74AFC85A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43046D77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Orthodontics</w:t>
            </w:r>
          </w:p>
        </w:tc>
        <w:tc>
          <w:tcPr>
            <w:tcW w:w="1417" w:type="dxa"/>
            <w:vAlign w:val="center"/>
          </w:tcPr>
          <w:p w14:paraId="1BE83C15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(50)</w:t>
            </w:r>
          </w:p>
        </w:tc>
        <w:tc>
          <w:tcPr>
            <w:tcW w:w="1417" w:type="dxa"/>
            <w:vAlign w:val="center"/>
          </w:tcPr>
          <w:p w14:paraId="3755C0E7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23.3 (42.56)</w:t>
            </w:r>
          </w:p>
        </w:tc>
        <w:tc>
          <w:tcPr>
            <w:tcW w:w="1418" w:type="dxa"/>
            <w:vAlign w:val="center"/>
          </w:tcPr>
          <w:p w14:paraId="6FD63E7F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(52.78)</w:t>
            </w:r>
          </w:p>
        </w:tc>
        <w:tc>
          <w:tcPr>
            <w:tcW w:w="1608" w:type="dxa"/>
            <w:vAlign w:val="center"/>
          </w:tcPr>
          <w:p w14:paraId="09289383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0.93</w:t>
            </w:r>
          </w:p>
        </w:tc>
      </w:tr>
      <w:tr w:rsidR="00C371B9" w:rsidRPr="00C371B9" w14:paraId="5DB8D1C1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16A614A4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Pathology</w:t>
            </w:r>
          </w:p>
        </w:tc>
        <w:tc>
          <w:tcPr>
            <w:tcW w:w="1417" w:type="dxa"/>
            <w:vAlign w:val="center"/>
          </w:tcPr>
          <w:p w14:paraId="7C729970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32.13 (50)</w:t>
            </w:r>
          </w:p>
        </w:tc>
        <w:tc>
          <w:tcPr>
            <w:tcW w:w="1417" w:type="dxa"/>
            <w:vAlign w:val="center"/>
          </w:tcPr>
          <w:p w14:paraId="537550ED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10 (34.29)</w:t>
            </w:r>
          </w:p>
        </w:tc>
        <w:tc>
          <w:tcPr>
            <w:tcW w:w="1418" w:type="dxa"/>
            <w:vAlign w:val="center"/>
          </w:tcPr>
          <w:p w14:paraId="56AE7C06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33.33 (56.25)</w:t>
            </w:r>
          </w:p>
        </w:tc>
        <w:tc>
          <w:tcPr>
            <w:tcW w:w="1608" w:type="dxa"/>
            <w:vAlign w:val="center"/>
          </w:tcPr>
          <w:p w14:paraId="7ED8C98B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0.30</w:t>
            </w:r>
          </w:p>
        </w:tc>
      </w:tr>
      <w:tr w:rsidR="00C371B9" w:rsidRPr="00C371B9" w14:paraId="13952D01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1653C77C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Pediatric Dentistry</w:t>
            </w:r>
          </w:p>
        </w:tc>
        <w:tc>
          <w:tcPr>
            <w:tcW w:w="1417" w:type="dxa"/>
            <w:vAlign w:val="center"/>
          </w:tcPr>
          <w:p w14:paraId="2718A8E1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(50)</w:t>
            </w:r>
          </w:p>
        </w:tc>
        <w:tc>
          <w:tcPr>
            <w:tcW w:w="1417" w:type="dxa"/>
            <w:vAlign w:val="center"/>
          </w:tcPr>
          <w:p w14:paraId="7813887E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16.23 (46.15)</w:t>
            </w:r>
          </w:p>
        </w:tc>
        <w:tc>
          <w:tcPr>
            <w:tcW w:w="1418" w:type="dxa"/>
            <w:vAlign w:val="center"/>
          </w:tcPr>
          <w:p w14:paraId="206831ED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31.58 (50)</w:t>
            </w:r>
          </w:p>
        </w:tc>
        <w:tc>
          <w:tcPr>
            <w:tcW w:w="1608" w:type="dxa"/>
            <w:vAlign w:val="center"/>
          </w:tcPr>
          <w:p w14:paraId="58501728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0.51</w:t>
            </w:r>
          </w:p>
        </w:tc>
      </w:tr>
      <w:tr w:rsidR="00C371B9" w:rsidRPr="00C371B9" w14:paraId="43E2B93B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5CEC402D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lastRenderedPageBreak/>
              <w:t>Periodontics</w:t>
            </w:r>
          </w:p>
        </w:tc>
        <w:tc>
          <w:tcPr>
            <w:tcW w:w="1417" w:type="dxa"/>
            <w:vAlign w:val="center"/>
          </w:tcPr>
          <w:p w14:paraId="6E66DCC1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23.08 (50)</w:t>
            </w:r>
          </w:p>
        </w:tc>
        <w:tc>
          <w:tcPr>
            <w:tcW w:w="1417" w:type="dxa"/>
            <w:vAlign w:val="center"/>
          </w:tcPr>
          <w:p w14:paraId="7B2FD338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20 (50)</w:t>
            </w:r>
          </w:p>
        </w:tc>
        <w:tc>
          <w:tcPr>
            <w:tcW w:w="1418" w:type="dxa"/>
            <w:vAlign w:val="center"/>
          </w:tcPr>
          <w:p w14:paraId="74C6F5F7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(50)</w:t>
            </w:r>
          </w:p>
        </w:tc>
        <w:tc>
          <w:tcPr>
            <w:tcW w:w="1608" w:type="dxa"/>
            <w:vAlign w:val="center"/>
          </w:tcPr>
          <w:p w14:paraId="0FD6F0DB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0.8</w:t>
            </w:r>
          </w:p>
        </w:tc>
      </w:tr>
      <w:tr w:rsidR="00C371B9" w:rsidRPr="00C371B9" w14:paraId="29915EFB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6BE8E4B2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Prosthodontics</w:t>
            </w:r>
          </w:p>
        </w:tc>
        <w:tc>
          <w:tcPr>
            <w:tcW w:w="1417" w:type="dxa"/>
            <w:vAlign w:val="center"/>
          </w:tcPr>
          <w:p w14:paraId="609A7FD1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17.42 (50)</w:t>
            </w:r>
          </w:p>
        </w:tc>
        <w:tc>
          <w:tcPr>
            <w:tcW w:w="1417" w:type="dxa"/>
            <w:vAlign w:val="center"/>
          </w:tcPr>
          <w:p w14:paraId="22265835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12.5 (50)</w:t>
            </w:r>
          </w:p>
        </w:tc>
        <w:tc>
          <w:tcPr>
            <w:tcW w:w="1418" w:type="dxa"/>
            <w:vAlign w:val="center"/>
          </w:tcPr>
          <w:p w14:paraId="3412B695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(50)</w:t>
            </w:r>
          </w:p>
        </w:tc>
        <w:tc>
          <w:tcPr>
            <w:tcW w:w="1608" w:type="dxa"/>
            <w:vAlign w:val="center"/>
          </w:tcPr>
          <w:p w14:paraId="4CF336FD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0.5</w:t>
            </w:r>
          </w:p>
        </w:tc>
      </w:tr>
      <w:tr w:rsidR="00C371B9" w:rsidRPr="00C371B9" w14:paraId="5931CE48" w14:textId="77777777" w:rsidTr="009311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48F57935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Radiology</w:t>
            </w:r>
          </w:p>
        </w:tc>
        <w:tc>
          <w:tcPr>
            <w:tcW w:w="1417" w:type="dxa"/>
            <w:vAlign w:val="center"/>
          </w:tcPr>
          <w:p w14:paraId="0C37BEAC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14.29 (50)</w:t>
            </w:r>
          </w:p>
        </w:tc>
        <w:tc>
          <w:tcPr>
            <w:tcW w:w="1417" w:type="dxa"/>
            <w:vAlign w:val="center"/>
          </w:tcPr>
          <w:p w14:paraId="519A8CD9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 (25.57)</w:t>
            </w:r>
          </w:p>
        </w:tc>
        <w:tc>
          <w:tcPr>
            <w:tcW w:w="1418" w:type="dxa"/>
            <w:vAlign w:val="center"/>
          </w:tcPr>
          <w:p w14:paraId="311A3BCC" w14:textId="77777777" w:rsidR="00C371B9" w:rsidRPr="00C371B9" w:rsidRDefault="00C371B9" w:rsidP="00931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20 (50)</w:t>
            </w:r>
          </w:p>
        </w:tc>
        <w:tc>
          <w:tcPr>
            <w:tcW w:w="1608" w:type="dxa"/>
            <w:vAlign w:val="center"/>
          </w:tcPr>
          <w:p w14:paraId="5674C837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</w:t>
            </w:r>
          </w:p>
        </w:tc>
      </w:tr>
      <w:tr w:rsidR="00C371B9" w:rsidRPr="00C371B9" w14:paraId="068EAB75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66C37400" w14:textId="77777777" w:rsidR="00C371B9" w:rsidRPr="00C371B9" w:rsidRDefault="00C371B9" w:rsidP="00931143">
            <w:pPr>
              <w:spacing w:before="120" w:after="120" w:line="480" w:lineRule="auto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Restorative Dentistry</w:t>
            </w:r>
          </w:p>
        </w:tc>
        <w:tc>
          <w:tcPr>
            <w:tcW w:w="1417" w:type="dxa"/>
            <w:vAlign w:val="center"/>
          </w:tcPr>
          <w:p w14:paraId="734607A7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16.03 (50)</w:t>
            </w:r>
          </w:p>
        </w:tc>
        <w:tc>
          <w:tcPr>
            <w:tcW w:w="1417" w:type="dxa"/>
            <w:vAlign w:val="center"/>
          </w:tcPr>
          <w:p w14:paraId="60A081D5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 (20)</w:t>
            </w:r>
          </w:p>
        </w:tc>
        <w:tc>
          <w:tcPr>
            <w:tcW w:w="1418" w:type="dxa"/>
            <w:vAlign w:val="center"/>
          </w:tcPr>
          <w:p w14:paraId="08A1C570" w14:textId="77777777" w:rsidR="00C371B9" w:rsidRPr="00C371B9" w:rsidRDefault="00C371B9" w:rsidP="00931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25 (50)</w:t>
            </w:r>
          </w:p>
        </w:tc>
        <w:tc>
          <w:tcPr>
            <w:tcW w:w="1608" w:type="dxa"/>
            <w:vAlign w:val="center"/>
          </w:tcPr>
          <w:p w14:paraId="4120133C" w14:textId="77777777" w:rsidR="00C371B9" w:rsidRPr="00C371B9" w:rsidRDefault="00C371B9" w:rsidP="00931143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0"/>
              </w:rPr>
            </w:pPr>
            <w:r w:rsidRPr="00C371B9">
              <w:rPr>
                <w:rFonts w:ascii="Cambria" w:hAnsi="Cambria"/>
                <w:szCs w:val="20"/>
              </w:rPr>
              <w:t>0</w:t>
            </w:r>
          </w:p>
        </w:tc>
      </w:tr>
    </w:tbl>
    <w:p w14:paraId="2A5465FF" w14:textId="77777777" w:rsidR="00C371B9" w:rsidRPr="00C371B9" w:rsidRDefault="00C371B9" w:rsidP="00C371B9">
      <w:pPr>
        <w:jc w:val="center"/>
        <w:rPr>
          <w:rFonts w:ascii="Cambria" w:hAnsi="Cambria"/>
        </w:rPr>
      </w:pPr>
      <w:proofErr w:type="spellStart"/>
      <w:r w:rsidRPr="00C371B9">
        <w:rPr>
          <w:rFonts w:ascii="Cambria" w:hAnsi="Cambria"/>
          <w:sz w:val="20"/>
          <w:szCs w:val="18"/>
        </w:rPr>
        <w:t>IQR</w:t>
      </w:r>
      <w:proofErr w:type="spellEnd"/>
      <w:r w:rsidRPr="00C371B9">
        <w:rPr>
          <w:rFonts w:ascii="Cambria" w:hAnsi="Cambria"/>
          <w:sz w:val="20"/>
          <w:szCs w:val="18"/>
        </w:rPr>
        <w:t xml:space="preserve">: Inter-Quartile Range; </w:t>
      </w:r>
      <w:proofErr w:type="spellStart"/>
      <w:r w:rsidRPr="00C371B9">
        <w:rPr>
          <w:rFonts w:ascii="Cambria" w:hAnsi="Cambria"/>
          <w:sz w:val="20"/>
          <w:szCs w:val="18"/>
        </w:rPr>
        <w:t>MtoW</w:t>
      </w:r>
      <w:proofErr w:type="spellEnd"/>
      <w:r w:rsidRPr="00C371B9">
        <w:rPr>
          <w:rFonts w:ascii="Cambria" w:hAnsi="Cambria"/>
          <w:sz w:val="20"/>
          <w:szCs w:val="18"/>
        </w:rPr>
        <w:t xml:space="preserve">: Men-to-Women ratio; </w:t>
      </w:r>
      <w:proofErr w:type="spellStart"/>
      <w:r w:rsidRPr="00C371B9">
        <w:rPr>
          <w:rFonts w:ascii="Cambria" w:hAnsi="Cambria"/>
          <w:sz w:val="20"/>
          <w:szCs w:val="18"/>
        </w:rPr>
        <w:t>COH</w:t>
      </w:r>
      <w:proofErr w:type="spellEnd"/>
      <w:r w:rsidRPr="00C371B9">
        <w:rPr>
          <w:rFonts w:ascii="Cambria" w:hAnsi="Cambria"/>
          <w:sz w:val="20"/>
          <w:szCs w:val="18"/>
        </w:rPr>
        <w:t xml:space="preserve">: Community Oral Health; </w:t>
      </w:r>
      <w:proofErr w:type="spellStart"/>
      <w:r w:rsidRPr="00C371B9">
        <w:rPr>
          <w:rFonts w:ascii="Cambria" w:hAnsi="Cambria"/>
          <w:sz w:val="20"/>
          <w:szCs w:val="18"/>
        </w:rPr>
        <w:t>OMFS</w:t>
      </w:r>
      <w:proofErr w:type="spellEnd"/>
      <w:r w:rsidRPr="00C371B9">
        <w:rPr>
          <w:rFonts w:ascii="Cambria" w:hAnsi="Cambria"/>
          <w:sz w:val="20"/>
          <w:szCs w:val="18"/>
        </w:rPr>
        <w:t>: Oral and Maxillofacial Surgery; Pathology: Oral and Maxillofacial Pathology; Radiology: Oral and Maxillofacial Radiology.</w:t>
      </w:r>
    </w:p>
    <w:p w14:paraId="1B9AC079" w14:textId="77777777" w:rsidR="00C371B9" w:rsidRPr="00C371B9" w:rsidRDefault="00C371B9">
      <w:pPr>
        <w:rPr>
          <w:rFonts w:ascii="Cambria" w:hAnsi="Cambria"/>
        </w:rPr>
      </w:pPr>
    </w:p>
    <w:sectPr w:rsidR="00C371B9" w:rsidRPr="00C37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jY2Nzc0NjUxsLRU0lEKTi0uzszPAykwrAUAW29O+iwAAAA="/>
  </w:docVars>
  <w:rsids>
    <w:rsidRoot w:val="00C371B9"/>
    <w:rsid w:val="00C3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5FFEF"/>
  <w15:chartTrackingRefBased/>
  <w15:docId w15:val="{833D5295-4BE9-4B45-B065-F1231A68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B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1B9"/>
    <w:pPr>
      <w:keepNext/>
      <w:keepLines/>
      <w:spacing w:before="40" w:after="0"/>
      <w:outlineLvl w:val="2"/>
    </w:pPr>
    <w:rPr>
      <w:rFonts w:ascii="Cambria" w:eastAsiaTheme="majorEastAsia" w:hAnsi="Cambria" w:cstheme="majorBidi"/>
      <w:b/>
      <w:noProof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371B9"/>
    <w:rPr>
      <w:rFonts w:ascii="Cambria" w:eastAsiaTheme="majorEastAsia" w:hAnsi="Cambria" w:cstheme="majorBidi"/>
      <w:b/>
      <w:noProof/>
      <w:sz w:val="24"/>
      <w:szCs w:val="24"/>
      <w:lang w:val="en-GB"/>
    </w:rPr>
  </w:style>
  <w:style w:type="table" w:styleId="PlainTable2">
    <w:name w:val="Plain Table 2"/>
    <w:basedOn w:val="TableNormal"/>
    <w:uiPriority w:val="42"/>
    <w:rsid w:val="00C371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Erfan</cp:lastModifiedBy>
  <cp:revision>1</cp:revision>
  <dcterms:created xsi:type="dcterms:W3CDTF">2021-06-29T09:42:00Z</dcterms:created>
  <dcterms:modified xsi:type="dcterms:W3CDTF">2021-06-29T09:43:00Z</dcterms:modified>
</cp:coreProperties>
</file>