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Supplementary Material 1</w:t>
      </w:r>
    </w:p>
    <w:p>
      <w:pPr>
        <w:jc w:val="center"/>
      </w:pPr>
      <w:r>
        <w:rPr>
          <w:rFonts w:ascii="Times New Roman" w:hAnsi="Times New Roman"/>
          <w:i/>
          <w:sz w:val="22"/>
        </w:rPr>
        <w:t>Complete search strategy for: Modulation of Anticipatory and Compensatory Postural Adjustments in Healthy Adults with Implications for Exercise Rehabilitation: A Systematic Review</w:t>
      </w:r>
    </w:p>
    <w:p>
      <w:pPr>
        <w:spacing w:after="280"/>
      </w:pPr>
    </w:p>
    <w:p>
      <w:pPr>
        <w:spacing w:before="280" w:after="160"/>
      </w:pPr>
      <w:r>
        <w:rPr>
          <w:rFonts w:ascii="Times New Roman" w:hAnsi="Times New Roman"/>
          <w:b/>
          <w:sz w:val="25"/>
        </w:rPr>
        <w:t>1. PubMed search strategy</w:t>
      </w:r>
    </w:p>
    <w:p>
      <w:pPr>
        <w:spacing w:after="80"/>
      </w:pPr>
      <w:r>
        <w:rPr>
          <w:rFonts w:ascii="Times New Roman" w:hAnsi="Times New Roman"/>
          <w:b w:val="0"/>
          <w:i w:val="0"/>
          <w:sz w:val="22"/>
        </w:rPr>
        <w:t>Database: PubMed (https://pubmed.ncbi.nlm.nih.gov)</w:t>
      </w:r>
    </w:p>
    <w:p>
      <w:pPr>
        <w:spacing w:after="80"/>
      </w:pPr>
      <w:r>
        <w:rPr>
          <w:rFonts w:ascii="Times New Roman" w:hAnsi="Times New Roman"/>
          <w:b w:val="0"/>
          <w:i w:val="0"/>
          <w:sz w:val="22"/>
        </w:rPr>
        <w:t>Date range: January 1, 2020 to June 5, 2026</w:t>
      </w:r>
    </w:p>
    <w:p>
      <w:pPr>
        <w:spacing w:after="200"/>
      </w:pPr>
      <w:r>
        <w:rPr>
          <w:rFonts w:ascii="Times New Roman" w:hAnsi="Times New Roman"/>
          <w:b w:val="0"/>
          <w:i w:val="0"/>
          <w:sz w:val="22"/>
        </w:rPr>
        <w:t>Language filter: English</w:t>
      </w:r>
    </w:p>
    <w:p>
      <w:pPr>
        <w:spacing w:after="200"/>
        <w:ind w:left="432"/>
      </w:pPr>
      <w:r>
        <w:rPr>
          <w:rFonts w:ascii="Courier New" w:hAnsi="Courier New"/>
          <w:sz w:val="20"/>
        </w:rPr>
        <w:t>("anticipatory postural adjustments" OR APA OR "compensatory postural adjustments" OR CPA)</w:t>
        <w:br/>
        <w:t>AND</w:t>
        <w:br/>
        <w:t>("sensory perturbation" OR vibration OR proprioception OR "visual perturbation" OR "auditory cue" OR "external perturbation")</w:t>
        <w:br/>
        <w:t>AND</w:t>
        <w:br/>
        <w:t>(EMG OR electromyography OR balance OR "postural control")</w:t>
        <w:br/>
        <w:t>NOT</w:t>
        <w:br/>
        <w:t>(Parkinson OR stroke OR children OR "cerebral palsy" OR elderly)</w:t>
      </w:r>
    </w:p>
    <w:p>
      <w:pPr>
        <w:spacing w:after="280"/>
      </w:pPr>
      <w:r>
        <w:rPr>
          <w:rFonts w:ascii="Times New Roman" w:hAnsi="Times New Roman"/>
          <w:b w:val="0"/>
          <w:i/>
          <w:sz w:val="19"/>
        </w:rPr>
        <w:t>Note: The exclusion block (NOT Parkinson OR stroke OR children OR cerebral palsy OR elderly) was used as a broad filter to reduce clearly ineligible clinical- and pediatric-population records at the search stage; records that passed this filter were still fully screened against the complete eligibility criteria in Table 1, and healthy older adults were not excluded by this filter at the screening stage.</w:t>
      </w:r>
    </w:p>
    <w:p>
      <w:pPr>
        <w:spacing w:before="280" w:after="160"/>
      </w:pPr>
      <w:r>
        <w:rPr>
          <w:rFonts w:ascii="Times New Roman" w:hAnsi="Times New Roman"/>
          <w:b/>
          <w:sz w:val="25"/>
        </w:rPr>
        <w:t>2. Physiotherapy Evidence Database (PEDro) search strategy</w:t>
      </w:r>
    </w:p>
    <w:p>
      <w:pPr>
        <w:spacing w:after="80"/>
      </w:pPr>
      <w:r>
        <w:rPr>
          <w:rFonts w:ascii="Times New Roman" w:hAnsi="Times New Roman"/>
          <w:b w:val="0"/>
          <w:i w:val="0"/>
          <w:sz w:val="22"/>
        </w:rPr>
        <w:t>Database: PEDro (https://searchpedro.org / https://pedro.org.au)</w:t>
      </w:r>
    </w:p>
    <w:p>
      <w:pPr>
        <w:spacing w:after="80"/>
      </w:pPr>
      <w:r>
        <w:rPr>
          <w:rFonts w:ascii="Times New Roman" w:hAnsi="Times New Roman"/>
          <w:b w:val="0"/>
          <w:i w:val="0"/>
          <w:sz w:val="22"/>
        </w:rPr>
        <w:t>Date range: January 1, 2020 to June 5, 2026</w:t>
      </w:r>
    </w:p>
    <w:p>
      <w:pPr>
        <w:spacing w:after="160"/>
      </w:pPr>
      <w:r>
        <w:rPr>
          <w:rFonts w:ascii="Times New Roman" w:hAnsi="Times New Roman"/>
          <w:b w:val="0"/>
          <w:i w:val="0"/>
          <w:sz w:val="22"/>
        </w:rPr>
        <w:t>Because the PEDro simple-search interface does not support the full nested Boolean syntax used in PubMed, the same concept blocks were entered as separate, narrower searches and the results were combined:</w:t>
      </w:r>
    </w:p>
    <w:p>
      <w:pPr>
        <w:spacing w:after="80"/>
        <w:ind w:left="432"/>
      </w:pPr>
      <w:r>
        <w:rPr>
          <w:rFonts w:ascii="Courier New" w:hAnsi="Courier New"/>
          <w:sz w:val="20"/>
        </w:rPr>
        <w:t>• anticipatory postural adjustment</w:t>
      </w:r>
    </w:p>
    <w:p>
      <w:pPr>
        <w:spacing w:after="80"/>
        <w:ind w:left="432"/>
      </w:pPr>
      <w:r>
        <w:rPr>
          <w:rFonts w:ascii="Courier New" w:hAnsi="Courier New"/>
          <w:sz w:val="20"/>
        </w:rPr>
        <w:t>• compensatory postural adjustment</w:t>
      </w:r>
    </w:p>
    <w:p>
      <w:pPr>
        <w:spacing w:after="80"/>
        <w:ind w:left="432"/>
      </w:pPr>
      <w:r>
        <w:rPr>
          <w:rFonts w:ascii="Courier New" w:hAnsi="Courier New"/>
          <w:sz w:val="20"/>
        </w:rPr>
        <w:t>• postural perturbation balance EMG</w:t>
      </w:r>
    </w:p>
    <w:p>
      <w:pPr>
        <w:spacing w:after="80"/>
        <w:ind w:left="432"/>
      </w:pPr>
      <w:r>
        <w:rPr>
          <w:rFonts w:ascii="Courier New" w:hAnsi="Courier New"/>
          <w:sz w:val="20"/>
        </w:rPr>
        <w:t>• sensory perturbation postural control</w:t>
      </w:r>
    </w:p>
    <w:p>
      <w:pPr>
        <w:spacing w:after="80"/>
        <w:ind w:left="432"/>
      </w:pPr>
      <w:r>
        <w:rPr>
          <w:rFonts w:ascii="Courier New" w:hAnsi="Courier New"/>
          <w:sz w:val="20"/>
        </w:rPr>
        <w:t>• vibration proprioception balance</w:t>
      </w:r>
    </w:p>
    <w:p>
      <w:pPr>
        <w:spacing w:after="80"/>
        <w:ind w:left="432"/>
      </w:pPr>
      <w:r>
        <w:rPr>
          <w:rFonts w:ascii="Courier New" w:hAnsi="Courier New"/>
          <w:sz w:val="20"/>
        </w:rPr>
        <w:t>• auditory cue postural adjustment</w:t>
      </w:r>
    </w:p>
    <w:p>
      <w:pPr>
        <w:spacing w:after="80"/>
        <w:ind w:left="432"/>
      </w:pPr>
      <w:r>
        <w:rPr>
          <w:rFonts w:ascii="Courier New" w:hAnsi="Courier New"/>
          <w:sz w:val="20"/>
        </w:rPr>
        <w:t>• visual perturbation postural control</w:t>
      </w:r>
    </w:p>
    <w:p>
      <w:pPr>
        <w:spacing w:after="280"/>
      </w:pPr>
      <w:r>
        <w:rPr>
          <w:rFonts w:ascii="Times New Roman" w:hAnsi="Times New Roman"/>
          <w:b w:val="0"/>
          <w:i/>
          <w:sz w:val="19"/>
        </w:rPr>
        <w:t>Records mentioning Parkinson disease, stroke, cerebral palsy, or pediatric populations in the title or abstract were excluded at the screening stage using the same eligibility criteria applied to PubMed records (Table 1), rather than through a database-level NOT filter, because PEDro's interface does not support this operator.</w:t>
      </w:r>
    </w:p>
    <w:p>
      <w:pPr>
        <w:spacing w:before="280" w:after="160"/>
      </w:pPr>
      <w:r>
        <w:rPr>
          <w:rFonts w:ascii="Times New Roman" w:hAnsi="Times New Roman"/>
          <w:b/>
          <w:sz w:val="25"/>
        </w:rPr>
        <w:t>3. Google Scholar supplementary search</w:t>
      </w:r>
    </w:p>
    <w:p>
      <w:pPr>
        <w:spacing w:after="80"/>
      </w:pPr>
      <w:r>
        <w:rPr>
          <w:rFonts w:ascii="Times New Roman" w:hAnsi="Times New Roman"/>
          <w:b w:val="0"/>
          <w:i w:val="0"/>
          <w:sz w:val="22"/>
        </w:rPr>
        <w:t>Search date: July 17, 2026</w:t>
      </w:r>
    </w:p>
    <w:p>
      <w:pPr>
        <w:spacing w:after="160"/>
      </w:pPr>
      <w:r>
        <w:rPr>
          <w:rFonts w:ascii="Times New Roman" w:hAnsi="Times New Roman"/>
          <w:b w:val="0"/>
          <w:i w:val="0"/>
          <w:sz w:val="22"/>
        </w:rPr>
        <w:t>Screening: first 30–40 results per query, ranked by relevance</w:t>
      </w:r>
    </w:p>
    <w:p>
      <w:pPr>
        <w:spacing w:after="120"/>
      </w:pPr>
      <w:r>
        <w:rPr>
          <w:rFonts w:ascii="Times New Roman" w:hAnsi="Times New Roman"/>
          <w:b w:val="0"/>
          <w:i w:val="0"/>
          <w:sz w:val="22"/>
        </w:rPr>
        <w:t>Query strings used:</w:t>
      </w:r>
    </w:p>
    <w:p>
      <w:pPr>
        <w:spacing w:after="80"/>
        <w:ind w:left="432"/>
      </w:pPr>
      <w:r>
        <w:rPr>
          <w:rFonts w:ascii="Courier New" w:hAnsi="Courier New"/>
          <w:sz w:val="20"/>
        </w:rPr>
        <w:t>• anticipatory postural adjustments healthy adults 2024 2025 electromyography</w:t>
      </w:r>
    </w:p>
    <w:p>
      <w:pPr>
        <w:spacing w:after="80"/>
        <w:ind w:left="432"/>
      </w:pPr>
      <w:r>
        <w:rPr>
          <w:rFonts w:ascii="Courier New" w:hAnsi="Courier New"/>
          <w:sz w:val="20"/>
        </w:rPr>
        <w:t>• compensatory postural adjustments virtual reality balance training healthy young adults 2024 2025</w:t>
      </w:r>
    </w:p>
    <w:p>
      <w:pPr>
        <w:spacing w:after="80"/>
        <w:ind w:left="432"/>
      </w:pPr>
      <w:r>
        <w:rPr>
          <w:rFonts w:ascii="Courier New" w:hAnsi="Courier New"/>
          <w:sz w:val="20"/>
        </w:rPr>
        <w:t>• gait initiation anticipatory postural adjustments fatigue healthy adults 2024 2025 stepping</w:t>
      </w:r>
    </w:p>
    <w:p>
      <w:pPr>
        <w:spacing w:after="80"/>
        <w:ind w:left="432"/>
      </w:pPr>
      <w:r>
        <w:rPr>
          <w:rFonts w:ascii="Courier New" w:hAnsi="Courier New"/>
          <w:sz w:val="20"/>
        </w:rPr>
        <w:t>• anticipatory postural adjustments training balance healthy adults 2025</w:t>
      </w:r>
    </w:p>
    <w:p>
      <w:pPr>
        <w:spacing w:after="280"/>
      </w:pPr>
      <w:r>
        <w:rPr>
          <w:rFonts w:ascii="Times New Roman" w:hAnsi="Times New Roman"/>
          <w:b w:val="0"/>
          <w:i/>
          <w:sz w:val="19"/>
        </w:rPr>
        <w:t>This search identified 1 eligible study not captured by the primary database search (Storniolo et al., 2025).</w:t>
      </w:r>
    </w:p>
    <w:p>
      <w:pPr>
        <w:spacing w:before="280" w:after="160"/>
      </w:pPr>
      <w:r>
        <w:rPr>
          <w:rFonts w:ascii="Times New Roman" w:hAnsi="Times New Roman"/>
          <w:b/>
          <w:sz w:val="25"/>
        </w:rPr>
        <w:t>4. Europe PMC supplementary search</w:t>
      </w:r>
    </w:p>
    <w:p>
      <w:pPr>
        <w:spacing w:after="80"/>
      </w:pPr>
      <w:r>
        <w:rPr>
          <w:rFonts w:ascii="Times New Roman" w:hAnsi="Times New Roman"/>
          <w:b w:val="0"/>
          <w:i w:val="0"/>
          <w:sz w:val="22"/>
        </w:rPr>
        <w:t>Search date: July 17, 2026</w:t>
      </w:r>
    </w:p>
    <w:p>
      <w:pPr>
        <w:spacing w:after="160"/>
      </w:pPr>
      <w:r>
        <w:rPr>
          <w:rFonts w:ascii="Times New Roman" w:hAnsi="Times New Roman"/>
          <w:b w:val="0"/>
          <w:i w:val="0"/>
          <w:sz w:val="22"/>
        </w:rPr>
        <w:t>Screening: first 30–40 results per query, ranked by relevance</w:t>
      </w:r>
    </w:p>
    <w:p>
      <w:pPr>
        <w:spacing w:after="120"/>
      </w:pPr>
      <w:r>
        <w:rPr>
          <w:rFonts w:ascii="Times New Roman" w:hAnsi="Times New Roman"/>
          <w:b w:val="0"/>
          <w:i w:val="0"/>
          <w:sz w:val="22"/>
        </w:rPr>
        <w:t>Query strings used:</w:t>
      </w:r>
    </w:p>
    <w:p>
      <w:pPr>
        <w:spacing w:after="80"/>
        <w:ind w:left="432"/>
      </w:pPr>
      <w:r>
        <w:rPr>
          <w:rFonts w:ascii="Courier New" w:hAnsi="Courier New"/>
          <w:sz w:val="20"/>
        </w:rPr>
        <w:t>• site:europepmc.org anticipatory postural adjustments healthy adults</w:t>
      </w:r>
    </w:p>
    <w:p>
      <w:pPr>
        <w:spacing w:after="80"/>
        <w:ind w:left="432"/>
      </w:pPr>
      <w:r>
        <w:rPr>
          <w:rFonts w:ascii="Courier New" w:hAnsi="Courier New"/>
          <w:sz w:val="20"/>
        </w:rPr>
        <w:t>• anticipatory postural adjustments training balance healthy adults 2025 (Europe PMC-indexed sources)</w:t>
      </w:r>
    </w:p>
    <w:p>
      <w:pPr>
        <w:spacing w:after="80"/>
        <w:ind w:left="432"/>
      </w:pPr>
      <w:r>
        <w:rPr>
          <w:rFonts w:ascii="Courier New" w:hAnsi="Courier New"/>
          <w:sz w:val="20"/>
        </w:rPr>
        <w:t>• site:europepmc.org postural threat anticipatory postural adjustments aging</w:t>
      </w:r>
    </w:p>
    <w:p>
      <w:pPr>
        <w:spacing w:after="280"/>
      </w:pPr>
      <w:r>
        <w:rPr>
          <w:rFonts w:ascii="Times New Roman" w:hAnsi="Times New Roman"/>
          <w:b w:val="0"/>
          <w:i/>
          <w:sz w:val="19"/>
        </w:rPr>
        <w:t>This search identified 3 eligible studies not captured by the primary database search or the Google Scholar search (Shin et al., 2022; Lyu et al., 2024; Phanthanourak et al., 2023).</w:t>
      </w:r>
    </w:p>
    <w:p>
      <w:pPr>
        <w:spacing w:before="280" w:after="160"/>
      </w:pPr>
      <w:r>
        <w:rPr>
          <w:rFonts w:ascii="Times New Roman" w:hAnsi="Times New Roman"/>
          <w:b/>
          <w:sz w:val="25"/>
        </w:rPr>
        <w:t>5. Reference management and deduplication</w:t>
      </w:r>
    </w:p>
    <w:p>
      <w:pPr>
        <w:spacing w:after="160"/>
      </w:pPr>
      <w:r>
        <w:rPr>
          <w:rFonts w:ascii="Times New Roman" w:hAnsi="Times New Roman"/>
          <w:b w:val="0"/>
          <w:i w:val="0"/>
          <w:sz w:val="22"/>
        </w:rPr>
        <w:t>All records identified through the four sources above were exported to Zotero for reference management and duplicate removal, and were then imported into Rayyan for title/abstract and full-text screening, as described in the main manuscript.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