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2F081" w14:textId="77777777" w:rsidR="006713FB" w:rsidRPr="00F6204F" w:rsidRDefault="006713FB" w:rsidP="006713FB">
      <w:pPr>
        <w:spacing w:after="0" w:line="360" w:lineRule="auto"/>
        <w:jc w:val="both"/>
        <w:rPr>
          <w:rFonts w:ascii="Arial" w:hAnsi="Arial" w:cs="Arial"/>
          <w:b/>
          <w:bCs/>
          <w:sz w:val="24"/>
          <w:szCs w:val="24"/>
        </w:rPr>
      </w:pPr>
      <w:r w:rsidRPr="00F6204F">
        <w:rPr>
          <w:rFonts w:ascii="Arial" w:hAnsi="Arial" w:cs="Arial"/>
          <w:b/>
          <w:bCs/>
          <w:sz w:val="24"/>
          <w:szCs w:val="24"/>
        </w:rPr>
        <w:t>Appendix A. Public Source Audit</w:t>
      </w:r>
    </w:p>
    <w:p w14:paraId="70F16F69" w14:textId="77777777" w:rsidR="006713FB" w:rsidRPr="00F6204F" w:rsidRDefault="006713FB" w:rsidP="006713FB">
      <w:pPr>
        <w:spacing w:after="0" w:line="360" w:lineRule="auto"/>
        <w:jc w:val="both"/>
        <w:rPr>
          <w:rFonts w:ascii="Arial" w:hAnsi="Arial" w:cs="Arial"/>
          <w:sz w:val="24"/>
          <w:szCs w:val="24"/>
        </w:rPr>
      </w:pPr>
      <w:r w:rsidRPr="00F6204F">
        <w:rPr>
          <w:rFonts w:ascii="Arial" w:hAnsi="Arial" w:cs="Arial"/>
          <w:sz w:val="24"/>
          <w:szCs w:val="24"/>
        </w:rPr>
        <w:t>The corpus locations below were rechecked on 17 July 2026. Publication and update times are reproduced as displayed by each source and have not been normalized across time zones. Where publisher terms permit, archived copies should be retained in the submission data package.</w:t>
      </w:r>
    </w:p>
    <w:p w14:paraId="794BFFAF" w14:textId="77777777" w:rsidR="006713FB" w:rsidRPr="00F6204F" w:rsidRDefault="006713FB" w:rsidP="006713FB">
      <w:pPr>
        <w:keepNext/>
        <w:spacing w:after="0" w:line="360" w:lineRule="auto"/>
        <w:jc w:val="both"/>
        <w:rPr>
          <w:rFonts w:ascii="Arial" w:hAnsi="Arial" w:cs="Arial"/>
          <w:bCs/>
          <w:iCs/>
          <w:sz w:val="24"/>
          <w:szCs w:val="24"/>
        </w:rPr>
      </w:pPr>
      <w:r w:rsidRPr="00F6204F">
        <w:rPr>
          <w:rFonts w:ascii="Arial" w:hAnsi="Arial" w:cs="Arial"/>
          <w:b/>
          <w:iCs/>
          <w:sz w:val="24"/>
          <w:szCs w:val="24"/>
        </w:rPr>
        <w:t>Table A1.</w:t>
      </w:r>
      <w:r w:rsidRPr="00F6204F">
        <w:rPr>
          <w:rFonts w:ascii="Arial" w:hAnsi="Arial" w:cs="Arial"/>
          <w:b/>
          <w:i/>
          <w:sz w:val="24"/>
          <w:szCs w:val="24"/>
        </w:rPr>
        <w:t xml:space="preserve"> </w:t>
      </w:r>
      <w:r w:rsidRPr="00F6204F">
        <w:rPr>
          <w:rFonts w:ascii="Arial" w:hAnsi="Arial" w:cs="Arial"/>
          <w:bCs/>
          <w:iCs/>
          <w:sz w:val="24"/>
          <w:szCs w:val="24"/>
        </w:rPr>
        <w:t>Public corpus locations and verification details</w:t>
      </w:r>
    </w:p>
    <w:tbl>
      <w:tblPr>
        <w:tblW w:w="9004"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06"/>
        <w:gridCol w:w="1999"/>
        <w:gridCol w:w="1999"/>
        <w:gridCol w:w="1999"/>
        <w:gridCol w:w="1701"/>
      </w:tblGrid>
      <w:tr w:rsidR="006713FB" w:rsidRPr="00F6204F" w14:paraId="54BEA50A" w14:textId="77777777" w:rsidTr="003F1F6A">
        <w:trPr>
          <w:cantSplit/>
          <w:tblHeader/>
          <w:jc w:val="center"/>
        </w:trPr>
        <w:tc>
          <w:tcPr>
            <w:tcW w:w="1306" w:type="dxa"/>
            <w:shd w:val="clear" w:color="auto" w:fill="D9E2F3"/>
            <w:tcMar>
              <w:top w:w="70" w:type="dxa"/>
              <w:left w:w="80" w:type="dxa"/>
              <w:bottom w:w="70" w:type="dxa"/>
              <w:right w:w="80" w:type="dxa"/>
            </w:tcMar>
          </w:tcPr>
          <w:p w14:paraId="739CD62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ID</w:t>
            </w:r>
          </w:p>
        </w:tc>
        <w:tc>
          <w:tcPr>
            <w:tcW w:w="1999" w:type="dxa"/>
            <w:shd w:val="clear" w:color="auto" w:fill="D9E2F3"/>
            <w:tcMar>
              <w:top w:w="70" w:type="dxa"/>
              <w:left w:w="80" w:type="dxa"/>
              <w:bottom w:w="70" w:type="dxa"/>
              <w:right w:w="80" w:type="dxa"/>
            </w:tcMar>
          </w:tcPr>
          <w:p w14:paraId="62D19B6B"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Source and displayed date/time</w:t>
            </w:r>
          </w:p>
        </w:tc>
        <w:tc>
          <w:tcPr>
            <w:tcW w:w="1999" w:type="dxa"/>
            <w:shd w:val="clear" w:color="auto" w:fill="D9E2F3"/>
            <w:tcMar>
              <w:top w:w="70" w:type="dxa"/>
              <w:left w:w="80" w:type="dxa"/>
              <w:bottom w:w="70" w:type="dxa"/>
              <w:right w:w="80" w:type="dxa"/>
            </w:tcMar>
          </w:tcPr>
          <w:p w14:paraId="1E4449B1"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Public location</w:t>
            </w:r>
          </w:p>
        </w:tc>
        <w:tc>
          <w:tcPr>
            <w:tcW w:w="1999" w:type="dxa"/>
            <w:shd w:val="clear" w:color="auto" w:fill="D9E2F3"/>
            <w:tcMar>
              <w:top w:w="70" w:type="dxa"/>
              <w:left w:w="80" w:type="dxa"/>
              <w:bottom w:w="70" w:type="dxa"/>
              <w:right w:w="80" w:type="dxa"/>
            </w:tcMar>
          </w:tcPr>
          <w:p w14:paraId="3CCBBB68"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Verified</w:t>
            </w:r>
          </w:p>
        </w:tc>
        <w:tc>
          <w:tcPr>
            <w:tcW w:w="1701" w:type="dxa"/>
            <w:shd w:val="clear" w:color="auto" w:fill="D9E2F3"/>
            <w:tcMar>
              <w:top w:w="70" w:type="dxa"/>
              <w:left w:w="80" w:type="dxa"/>
              <w:bottom w:w="70" w:type="dxa"/>
              <w:right w:w="80" w:type="dxa"/>
            </w:tcMar>
          </w:tcPr>
          <w:p w14:paraId="6EE14FC8"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Content used</w:t>
            </w:r>
          </w:p>
        </w:tc>
      </w:tr>
      <w:tr w:rsidR="006713FB" w:rsidRPr="00F6204F" w14:paraId="2546AC91" w14:textId="77777777" w:rsidTr="003F1F6A">
        <w:trPr>
          <w:cantSplit/>
          <w:jc w:val="center"/>
        </w:trPr>
        <w:tc>
          <w:tcPr>
            <w:tcW w:w="1306" w:type="dxa"/>
            <w:tcMar>
              <w:top w:w="70" w:type="dxa"/>
              <w:left w:w="80" w:type="dxa"/>
              <w:bottom w:w="70" w:type="dxa"/>
              <w:right w:w="80" w:type="dxa"/>
            </w:tcMar>
          </w:tcPr>
          <w:p w14:paraId="30CE545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S0</w:t>
            </w:r>
          </w:p>
        </w:tc>
        <w:tc>
          <w:tcPr>
            <w:tcW w:w="1999" w:type="dxa"/>
            <w:tcMar>
              <w:top w:w="70" w:type="dxa"/>
              <w:left w:w="80" w:type="dxa"/>
              <w:bottom w:w="70" w:type="dxa"/>
              <w:right w:w="80" w:type="dxa"/>
            </w:tcMar>
          </w:tcPr>
          <w:p w14:paraId="7687448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United Nations, 22 Sep 2023</w:t>
            </w:r>
          </w:p>
        </w:tc>
        <w:tc>
          <w:tcPr>
            <w:tcW w:w="1999" w:type="dxa"/>
          </w:tcPr>
          <w:p w14:paraId="3E5DF472" w14:textId="77777777" w:rsidR="006713FB" w:rsidRPr="00F6204F" w:rsidRDefault="006713FB" w:rsidP="003F1F6A">
            <w:pPr>
              <w:spacing w:after="0" w:line="360" w:lineRule="auto"/>
              <w:jc w:val="both"/>
              <w:rPr>
                <w:rFonts w:ascii="Arial" w:hAnsi="Arial" w:cs="Arial"/>
                <w:sz w:val="24"/>
                <w:szCs w:val="24"/>
              </w:rPr>
            </w:pPr>
            <w:hyperlink r:id="rId4">
              <w:r w:rsidRPr="00F6204F">
                <w:rPr>
                  <w:rFonts w:ascii="Arial" w:hAnsi="Arial" w:cs="Arial"/>
                  <w:color w:val="0563C1"/>
                  <w:sz w:val="24"/>
                  <w:szCs w:val="24"/>
                  <w:u w:val="single"/>
                </w:rPr>
                <w:t>Official event page</w:t>
              </w:r>
            </w:hyperlink>
          </w:p>
        </w:tc>
        <w:tc>
          <w:tcPr>
            <w:tcW w:w="1999" w:type="dxa"/>
            <w:tcMar>
              <w:top w:w="70" w:type="dxa"/>
              <w:left w:w="80" w:type="dxa"/>
              <w:bottom w:w="70" w:type="dxa"/>
              <w:right w:w="80" w:type="dxa"/>
            </w:tcMar>
          </w:tcPr>
          <w:p w14:paraId="357792C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4747B71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Event date and audiovisual record</w:t>
            </w:r>
          </w:p>
        </w:tc>
      </w:tr>
      <w:tr w:rsidR="006713FB" w:rsidRPr="00F6204F" w14:paraId="70E8D5AA" w14:textId="77777777" w:rsidTr="003F1F6A">
        <w:trPr>
          <w:cantSplit/>
          <w:jc w:val="center"/>
        </w:trPr>
        <w:tc>
          <w:tcPr>
            <w:tcW w:w="1306" w:type="dxa"/>
            <w:tcMar>
              <w:top w:w="70" w:type="dxa"/>
              <w:left w:w="80" w:type="dxa"/>
              <w:bottom w:w="70" w:type="dxa"/>
              <w:right w:w="80" w:type="dxa"/>
            </w:tcMar>
          </w:tcPr>
          <w:p w14:paraId="235702A8"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S0-T</w:t>
            </w:r>
          </w:p>
        </w:tc>
        <w:tc>
          <w:tcPr>
            <w:tcW w:w="1999" w:type="dxa"/>
            <w:tcMar>
              <w:top w:w="70" w:type="dxa"/>
              <w:left w:w="80" w:type="dxa"/>
              <w:bottom w:w="70" w:type="dxa"/>
              <w:right w:w="80" w:type="dxa"/>
            </w:tcMar>
          </w:tcPr>
          <w:p w14:paraId="5C0DA18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Times of Israel, 22 Sep 2023, 6:30 pm</w:t>
            </w:r>
          </w:p>
        </w:tc>
        <w:tc>
          <w:tcPr>
            <w:tcW w:w="1999" w:type="dxa"/>
          </w:tcPr>
          <w:p w14:paraId="11FB72BF" w14:textId="77777777" w:rsidR="006713FB" w:rsidRPr="00F6204F" w:rsidRDefault="006713FB" w:rsidP="003F1F6A">
            <w:pPr>
              <w:spacing w:after="0" w:line="360" w:lineRule="auto"/>
              <w:jc w:val="both"/>
              <w:rPr>
                <w:rFonts w:ascii="Arial" w:hAnsi="Arial" w:cs="Arial"/>
                <w:sz w:val="24"/>
                <w:szCs w:val="24"/>
              </w:rPr>
            </w:pPr>
            <w:hyperlink r:id="rId5">
              <w:r w:rsidRPr="00F6204F">
                <w:rPr>
                  <w:rFonts w:ascii="Arial" w:hAnsi="Arial" w:cs="Arial"/>
                  <w:color w:val="0563C1"/>
                  <w:sz w:val="24"/>
                  <w:szCs w:val="24"/>
                  <w:u w:val="single"/>
                </w:rPr>
                <w:t>Released transcript</w:t>
              </w:r>
            </w:hyperlink>
          </w:p>
        </w:tc>
        <w:tc>
          <w:tcPr>
            <w:tcW w:w="1999" w:type="dxa"/>
            <w:tcMar>
              <w:top w:w="70" w:type="dxa"/>
              <w:left w:w="80" w:type="dxa"/>
              <w:bottom w:w="70" w:type="dxa"/>
              <w:right w:w="80" w:type="dxa"/>
            </w:tcMar>
          </w:tcPr>
          <w:p w14:paraId="766DB8A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6A52433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Transcript and published map captions</w:t>
            </w:r>
          </w:p>
        </w:tc>
      </w:tr>
      <w:tr w:rsidR="006713FB" w:rsidRPr="00F6204F" w14:paraId="1B56EDC9" w14:textId="77777777" w:rsidTr="003F1F6A">
        <w:trPr>
          <w:cantSplit/>
          <w:jc w:val="center"/>
        </w:trPr>
        <w:tc>
          <w:tcPr>
            <w:tcW w:w="1306" w:type="dxa"/>
            <w:tcMar>
              <w:top w:w="70" w:type="dxa"/>
              <w:left w:w="80" w:type="dxa"/>
              <w:bottom w:w="70" w:type="dxa"/>
              <w:right w:w="80" w:type="dxa"/>
            </w:tcMar>
          </w:tcPr>
          <w:p w14:paraId="2F59C84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M1</w:t>
            </w:r>
          </w:p>
        </w:tc>
        <w:tc>
          <w:tcPr>
            <w:tcW w:w="1999" w:type="dxa"/>
            <w:tcMar>
              <w:top w:w="70" w:type="dxa"/>
              <w:left w:w="80" w:type="dxa"/>
              <w:bottom w:w="70" w:type="dxa"/>
              <w:right w:w="80" w:type="dxa"/>
            </w:tcMar>
          </w:tcPr>
          <w:p w14:paraId="22662165"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Al Jazeera, 22 Sep 2023</w:t>
            </w:r>
          </w:p>
        </w:tc>
        <w:tc>
          <w:tcPr>
            <w:tcW w:w="1999" w:type="dxa"/>
          </w:tcPr>
          <w:p w14:paraId="431BD6FD" w14:textId="77777777" w:rsidR="006713FB" w:rsidRPr="00F6204F" w:rsidRDefault="006713FB" w:rsidP="003F1F6A">
            <w:pPr>
              <w:spacing w:after="0" w:line="360" w:lineRule="auto"/>
              <w:jc w:val="both"/>
              <w:rPr>
                <w:rFonts w:ascii="Arial" w:hAnsi="Arial" w:cs="Arial"/>
                <w:sz w:val="24"/>
                <w:szCs w:val="24"/>
              </w:rPr>
            </w:pPr>
            <w:hyperlink r:id="rId6">
              <w:r w:rsidRPr="00F6204F">
                <w:rPr>
                  <w:rFonts w:ascii="Arial" w:hAnsi="Arial" w:cs="Arial"/>
                  <w:color w:val="0563C1"/>
                  <w:sz w:val="24"/>
                  <w:szCs w:val="24"/>
                  <w:u w:val="single"/>
                </w:rPr>
                <w:t>Article page</w:t>
              </w:r>
            </w:hyperlink>
          </w:p>
        </w:tc>
        <w:tc>
          <w:tcPr>
            <w:tcW w:w="1999" w:type="dxa"/>
            <w:tcMar>
              <w:top w:w="70" w:type="dxa"/>
              <w:left w:w="80" w:type="dxa"/>
              <w:bottom w:w="70" w:type="dxa"/>
              <w:right w:w="80" w:type="dxa"/>
            </w:tcMar>
          </w:tcPr>
          <w:p w14:paraId="1E1383B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6DB0310F"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 standfirst, article sections, map description</w:t>
            </w:r>
          </w:p>
        </w:tc>
      </w:tr>
      <w:tr w:rsidR="006713FB" w:rsidRPr="00F6204F" w14:paraId="71F7983A" w14:textId="77777777" w:rsidTr="003F1F6A">
        <w:trPr>
          <w:cantSplit/>
          <w:jc w:val="center"/>
        </w:trPr>
        <w:tc>
          <w:tcPr>
            <w:tcW w:w="1306" w:type="dxa"/>
            <w:tcMar>
              <w:top w:w="70" w:type="dxa"/>
              <w:left w:w="80" w:type="dxa"/>
              <w:bottom w:w="70" w:type="dxa"/>
              <w:right w:w="80" w:type="dxa"/>
            </w:tcMar>
          </w:tcPr>
          <w:p w14:paraId="70ECE9B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M2</w:t>
            </w:r>
          </w:p>
        </w:tc>
        <w:tc>
          <w:tcPr>
            <w:tcW w:w="1999" w:type="dxa"/>
            <w:tcMar>
              <w:top w:w="70" w:type="dxa"/>
              <w:left w:w="80" w:type="dxa"/>
              <w:bottom w:w="70" w:type="dxa"/>
              <w:right w:w="80" w:type="dxa"/>
            </w:tcMar>
          </w:tcPr>
          <w:p w14:paraId="4BCE3BE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Fox News, 22 Sep 2023, 2:54 pm EDT; updated 9:33 pm EDT</w:t>
            </w:r>
          </w:p>
        </w:tc>
        <w:tc>
          <w:tcPr>
            <w:tcW w:w="1999" w:type="dxa"/>
          </w:tcPr>
          <w:p w14:paraId="41DD495D" w14:textId="77777777" w:rsidR="006713FB" w:rsidRPr="00F6204F" w:rsidRDefault="006713FB" w:rsidP="003F1F6A">
            <w:pPr>
              <w:spacing w:after="0" w:line="360" w:lineRule="auto"/>
              <w:jc w:val="both"/>
              <w:rPr>
                <w:rFonts w:ascii="Arial" w:hAnsi="Arial" w:cs="Arial"/>
                <w:sz w:val="24"/>
                <w:szCs w:val="24"/>
              </w:rPr>
            </w:pPr>
            <w:hyperlink r:id="rId7">
              <w:r w:rsidRPr="00F6204F">
                <w:rPr>
                  <w:rFonts w:ascii="Arial" w:hAnsi="Arial" w:cs="Arial"/>
                  <w:color w:val="0563C1"/>
                  <w:sz w:val="24"/>
                  <w:szCs w:val="24"/>
                  <w:u w:val="single"/>
                </w:rPr>
                <w:t>Article page</w:t>
              </w:r>
            </w:hyperlink>
          </w:p>
        </w:tc>
        <w:tc>
          <w:tcPr>
            <w:tcW w:w="1999" w:type="dxa"/>
            <w:tcMar>
              <w:top w:w="70" w:type="dxa"/>
              <w:left w:w="80" w:type="dxa"/>
              <w:bottom w:w="70" w:type="dxa"/>
              <w:right w:w="80" w:type="dxa"/>
            </w:tcMar>
          </w:tcPr>
          <w:p w14:paraId="615447F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79594D4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 Israel subsection, captions, negotiation hurdles</w:t>
            </w:r>
          </w:p>
        </w:tc>
      </w:tr>
      <w:tr w:rsidR="006713FB" w:rsidRPr="00F6204F" w14:paraId="0A5C2A6A" w14:textId="77777777" w:rsidTr="003F1F6A">
        <w:trPr>
          <w:cantSplit/>
          <w:jc w:val="center"/>
        </w:trPr>
        <w:tc>
          <w:tcPr>
            <w:tcW w:w="1306" w:type="dxa"/>
            <w:tcMar>
              <w:top w:w="70" w:type="dxa"/>
              <w:left w:w="80" w:type="dxa"/>
              <w:bottom w:w="70" w:type="dxa"/>
              <w:right w:w="80" w:type="dxa"/>
            </w:tcMar>
          </w:tcPr>
          <w:p w14:paraId="4297E2A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M3</w:t>
            </w:r>
          </w:p>
        </w:tc>
        <w:tc>
          <w:tcPr>
            <w:tcW w:w="1999" w:type="dxa"/>
            <w:tcMar>
              <w:top w:w="70" w:type="dxa"/>
              <w:left w:w="80" w:type="dxa"/>
              <w:bottom w:w="70" w:type="dxa"/>
              <w:right w:w="80" w:type="dxa"/>
            </w:tcMar>
          </w:tcPr>
          <w:p w14:paraId="57DFFF8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Reuters, 22 Sep 2023, 2:43 pm UTC</w:t>
            </w:r>
          </w:p>
        </w:tc>
        <w:tc>
          <w:tcPr>
            <w:tcW w:w="1999" w:type="dxa"/>
          </w:tcPr>
          <w:p w14:paraId="475BDC54" w14:textId="77777777" w:rsidR="006713FB" w:rsidRPr="00F6204F" w:rsidRDefault="006713FB" w:rsidP="003F1F6A">
            <w:pPr>
              <w:spacing w:after="0" w:line="360" w:lineRule="auto"/>
              <w:jc w:val="both"/>
              <w:rPr>
                <w:rFonts w:ascii="Arial" w:hAnsi="Arial" w:cs="Arial"/>
                <w:sz w:val="24"/>
                <w:szCs w:val="24"/>
              </w:rPr>
            </w:pPr>
            <w:hyperlink r:id="rId8">
              <w:r w:rsidRPr="00F6204F">
                <w:rPr>
                  <w:rFonts w:ascii="Arial" w:hAnsi="Arial" w:cs="Arial"/>
                  <w:color w:val="0563C1"/>
                  <w:sz w:val="24"/>
                  <w:szCs w:val="24"/>
                  <w:u w:val="single"/>
                </w:rPr>
                <w:t>Article page</w:t>
              </w:r>
            </w:hyperlink>
          </w:p>
        </w:tc>
        <w:tc>
          <w:tcPr>
            <w:tcW w:w="1999" w:type="dxa"/>
            <w:tcMar>
              <w:top w:w="70" w:type="dxa"/>
              <w:left w:w="80" w:type="dxa"/>
              <w:bottom w:w="70" w:type="dxa"/>
              <w:right w:w="80" w:type="dxa"/>
            </w:tcMar>
          </w:tcPr>
          <w:p w14:paraId="2A20520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34F7329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 report, captions, correction</w:t>
            </w:r>
          </w:p>
        </w:tc>
      </w:tr>
      <w:tr w:rsidR="006713FB" w:rsidRPr="00F6204F" w14:paraId="38E3A16D" w14:textId="77777777" w:rsidTr="003F1F6A">
        <w:trPr>
          <w:cantSplit/>
          <w:jc w:val="center"/>
        </w:trPr>
        <w:tc>
          <w:tcPr>
            <w:tcW w:w="1306" w:type="dxa"/>
            <w:tcMar>
              <w:top w:w="70" w:type="dxa"/>
              <w:left w:w="80" w:type="dxa"/>
              <w:bottom w:w="70" w:type="dxa"/>
              <w:right w:w="80" w:type="dxa"/>
            </w:tcMar>
          </w:tcPr>
          <w:p w14:paraId="0CD3E56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lastRenderedPageBreak/>
              <w:t>M4</w:t>
            </w:r>
          </w:p>
        </w:tc>
        <w:tc>
          <w:tcPr>
            <w:tcW w:w="1999" w:type="dxa"/>
            <w:tcMar>
              <w:top w:w="70" w:type="dxa"/>
              <w:left w:w="80" w:type="dxa"/>
              <w:bottom w:w="70" w:type="dxa"/>
              <w:right w:w="80" w:type="dxa"/>
            </w:tcMar>
          </w:tcPr>
          <w:p w14:paraId="3814391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Associated Press, 22 Sep 2023</w:t>
            </w:r>
          </w:p>
        </w:tc>
        <w:tc>
          <w:tcPr>
            <w:tcW w:w="1999" w:type="dxa"/>
          </w:tcPr>
          <w:p w14:paraId="7ADE3829" w14:textId="77777777" w:rsidR="006713FB" w:rsidRPr="00F6204F" w:rsidRDefault="006713FB" w:rsidP="003F1F6A">
            <w:pPr>
              <w:spacing w:after="0" w:line="360" w:lineRule="auto"/>
              <w:jc w:val="both"/>
              <w:rPr>
                <w:rFonts w:ascii="Arial" w:hAnsi="Arial" w:cs="Arial"/>
                <w:sz w:val="24"/>
                <w:szCs w:val="24"/>
              </w:rPr>
            </w:pPr>
            <w:hyperlink r:id="rId9">
              <w:r w:rsidRPr="00F6204F">
                <w:rPr>
                  <w:rFonts w:ascii="Arial" w:hAnsi="Arial" w:cs="Arial"/>
                  <w:color w:val="0563C1"/>
                  <w:sz w:val="24"/>
                  <w:szCs w:val="24"/>
                  <w:u w:val="single"/>
                </w:rPr>
                <w:t>Article page</w:t>
              </w:r>
            </w:hyperlink>
          </w:p>
        </w:tc>
        <w:tc>
          <w:tcPr>
            <w:tcW w:w="1999" w:type="dxa"/>
            <w:tcMar>
              <w:top w:w="70" w:type="dxa"/>
              <w:left w:w="80" w:type="dxa"/>
              <w:bottom w:w="70" w:type="dxa"/>
              <w:right w:w="80" w:type="dxa"/>
            </w:tcMar>
          </w:tcPr>
          <w:p w14:paraId="3A1D67D1"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15249E8F"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 report, map and negotiation context</w:t>
            </w:r>
          </w:p>
        </w:tc>
      </w:tr>
      <w:tr w:rsidR="006713FB" w:rsidRPr="00F6204F" w14:paraId="24D54790" w14:textId="77777777" w:rsidTr="003F1F6A">
        <w:trPr>
          <w:cantSplit/>
          <w:jc w:val="center"/>
        </w:trPr>
        <w:tc>
          <w:tcPr>
            <w:tcW w:w="1306" w:type="dxa"/>
            <w:tcMar>
              <w:top w:w="70" w:type="dxa"/>
              <w:left w:w="80" w:type="dxa"/>
              <w:bottom w:w="70" w:type="dxa"/>
              <w:right w:w="80" w:type="dxa"/>
            </w:tcMar>
          </w:tcPr>
          <w:p w14:paraId="0FB4A56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M5</w:t>
            </w:r>
          </w:p>
        </w:tc>
        <w:tc>
          <w:tcPr>
            <w:tcW w:w="1999" w:type="dxa"/>
            <w:tcMar>
              <w:top w:w="70" w:type="dxa"/>
              <w:left w:w="80" w:type="dxa"/>
              <w:bottom w:w="70" w:type="dxa"/>
              <w:right w:w="80" w:type="dxa"/>
            </w:tcMar>
          </w:tcPr>
          <w:p w14:paraId="2039E285"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Times of Israel, 23 Sep 2023, 3:36 am</w:t>
            </w:r>
          </w:p>
        </w:tc>
        <w:tc>
          <w:tcPr>
            <w:tcW w:w="1999" w:type="dxa"/>
          </w:tcPr>
          <w:p w14:paraId="67B3BF16" w14:textId="77777777" w:rsidR="006713FB" w:rsidRPr="00F6204F" w:rsidRDefault="006713FB" w:rsidP="003F1F6A">
            <w:pPr>
              <w:spacing w:after="0" w:line="360" w:lineRule="auto"/>
              <w:jc w:val="both"/>
              <w:rPr>
                <w:rFonts w:ascii="Arial" w:hAnsi="Arial" w:cs="Arial"/>
                <w:sz w:val="24"/>
                <w:szCs w:val="24"/>
              </w:rPr>
            </w:pPr>
            <w:hyperlink r:id="rId10">
              <w:r w:rsidRPr="00F6204F">
                <w:rPr>
                  <w:rFonts w:ascii="Arial" w:hAnsi="Arial" w:cs="Arial"/>
                  <w:color w:val="0563C1"/>
                  <w:sz w:val="24"/>
                  <w:szCs w:val="24"/>
                  <w:u w:val="single"/>
                </w:rPr>
                <w:t>Article page</w:t>
              </w:r>
            </w:hyperlink>
          </w:p>
        </w:tc>
        <w:tc>
          <w:tcPr>
            <w:tcW w:w="1999" w:type="dxa"/>
            <w:tcMar>
              <w:top w:w="70" w:type="dxa"/>
              <w:left w:w="80" w:type="dxa"/>
              <w:bottom w:w="70" w:type="dxa"/>
              <w:right w:w="80" w:type="dxa"/>
            </w:tcMar>
          </w:tcPr>
          <w:p w14:paraId="75B6A6B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7B27117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 standfirst, report, Palestinian quotations</w:t>
            </w:r>
          </w:p>
        </w:tc>
      </w:tr>
      <w:tr w:rsidR="006713FB" w:rsidRPr="00F6204F" w14:paraId="00E320AC" w14:textId="77777777" w:rsidTr="003F1F6A">
        <w:trPr>
          <w:cantSplit/>
          <w:jc w:val="center"/>
        </w:trPr>
        <w:tc>
          <w:tcPr>
            <w:tcW w:w="1306" w:type="dxa"/>
            <w:tcMar>
              <w:top w:w="70" w:type="dxa"/>
              <w:left w:w="80" w:type="dxa"/>
              <w:bottom w:w="70" w:type="dxa"/>
              <w:right w:w="80" w:type="dxa"/>
            </w:tcMar>
          </w:tcPr>
          <w:p w14:paraId="2527309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M6</w:t>
            </w:r>
          </w:p>
        </w:tc>
        <w:tc>
          <w:tcPr>
            <w:tcW w:w="1999" w:type="dxa"/>
            <w:tcMar>
              <w:top w:w="70" w:type="dxa"/>
              <w:left w:w="80" w:type="dxa"/>
              <w:bottom w:w="70" w:type="dxa"/>
              <w:right w:w="80" w:type="dxa"/>
            </w:tcMar>
          </w:tcPr>
          <w:p w14:paraId="6B80AD95"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Jerusalem Post, 22 Sep 2023, 21:44; updated 23 Sep 00:43</w:t>
            </w:r>
          </w:p>
        </w:tc>
        <w:tc>
          <w:tcPr>
            <w:tcW w:w="1999" w:type="dxa"/>
          </w:tcPr>
          <w:p w14:paraId="42900FF6" w14:textId="77777777" w:rsidR="006713FB" w:rsidRPr="00F6204F" w:rsidRDefault="006713FB" w:rsidP="003F1F6A">
            <w:pPr>
              <w:spacing w:after="0" w:line="360" w:lineRule="auto"/>
              <w:jc w:val="both"/>
              <w:rPr>
                <w:rFonts w:ascii="Arial" w:hAnsi="Arial" w:cs="Arial"/>
                <w:sz w:val="24"/>
                <w:szCs w:val="24"/>
              </w:rPr>
            </w:pPr>
            <w:hyperlink r:id="rId11">
              <w:r w:rsidRPr="00F6204F">
                <w:rPr>
                  <w:rFonts w:ascii="Arial" w:hAnsi="Arial" w:cs="Arial"/>
                  <w:color w:val="0563C1"/>
                  <w:sz w:val="24"/>
                  <w:szCs w:val="24"/>
                  <w:u w:val="single"/>
                </w:rPr>
                <w:t>Article page</w:t>
              </w:r>
            </w:hyperlink>
          </w:p>
        </w:tc>
        <w:tc>
          <w:tcPr>
            <w:tcW w:w="1999" w:type="dxa"/>
            <w:tcMar>
              <w:top w:w="70" w:type="dxa"/>
              <w:left w:w="80" w:type="dxa"/>
              <w:bottom w:w="70" w:type="dxa"/>
              <w:right w:w="80" w:type="dxa"/>
            </w:tcMar>
          </w:tcPr>
          <w:p w14:paraId="2BC11A5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17 Jul 2026</w:t>
            </w:r>
          </w:p>
        </w:tc>
        <w:tc>
          <w:tcPr>
            <w:tcW w:w="1701" w:type="dxa"/>
            <w:tcMar>
              <w:top w:w="70" w:type="dxa"/>
              <w:left w:w="80" w:type="dxa"/>
              <w:bottom w:w="70" w:type="dxa"/>
              <w:right w:w="80" w:type="dxa"/>
            </w:tcMar>
          </w:tcPr>
          <w:p w14:paraId="2A1BA058"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 standfirst, report, map controversy</w:t>
            </w:r>
          </w:p>
        </w:tc>
      </w:tr>
    </w:tbl>
    <w:p w14:paraId="24690BA7" w14:textId="77777777" w:rsidR="006713FB" w:rsidRPr="00F6204F" w:rsidRDefault="006713FB" w:rsidP="006713FB">
      <w:pPr>
        <w:spacing w:after="0" w:line="360" w:lineRule="auto"/>
        <w:jc w:val="both"/>
        <w:rPr>
          <w:rFonts w:ascii="Arial" w:hAnsi="Arial" w:cs="Arial"/>
          <w:sz w:val="24"/>
          <w:szCs w:val="24"/>
        </w:rPr>
      </w:pPr>
      <w:r w:rsidRPr="00F6204F">
        <w:rPr>
          <w:rFonts w:ascii="Arial" w:hAnsi="Arial" w:cs="Arial"/>
          <w:sz w:val="24"/>
          <w:szCs w:val="24"/>
        </w:rPr>
        <w:br w:type="page"/>
      </w:r>
    </w:p>
    <w:p w14:paraId="6CF0BCBD" w14:textId="77777777" w:rsidR="006713FB" w:rsidRPr="00F6204F" w:rsidRDefault="006713FB" w:rsidP="006713FB">
      <w:pPr>
        <w:pStyle w:val="Heading1"/>
        <w:spacing w:before="0" w:line="360" w:lineRule="auto"/>
        <w:jc w:val="both"/>
        <w:rPr>
          <w:rFonts w:ascii="Arial" w:hAnsi="Arial" w:cs="Arial"/>
          <w:sz w:val="24"/>
          <w:szCs w:val="24"/>
        </w:rPr>
      </w:pPr>
      <w:r w:rsidRPr="00F6204F">
        <w:rPr>
          <w:rFonts w:ascii="Arial" w:eastAsia="Times New Roman" w:hAnsi="Arial" w:cs="Arial"/>
          <w:sz w:val="24"/>
          <w:szCs w:val="24"/>
        </w:rPr>
        <w:lastRenderedPageBreak/>
        <w:t>Appendix B. Item-Level Coding Audit Trail</w:t>
      </w:r>
    </w:p>
    <w:p w14:paraId="6A859768" w14:textId="77777777" w:rsidR="006713FB" w:rsidRPr="00F6204F" w:rsidRDefault="006713FB" w:rsidP="006713FB">
      <w:pPr>
        <w:spacing w:after="0" w:line="360" w:lineRule="auto"/>
        <w:jc w:val="both"/>
        <w:rPr>
          <w:rFonts w:ascii="Arial" w:hAnsi="Arial" w:cs="Arial"/>
          <w:sz w:val="24"/>
          <w:szCs w:val="24"/>
        </w:rPr>
      </w:pPr>
      <w:r w:rsidRPr="00F6204F">
        <w:rPr>
          <w:rFonts w:ascii="Arial" w:hAnsi="Arial" w:cs="Arial"/>
          <w:sz w:val="24"/>
          <w:szCs w:val="24"/>
        </w:rPr>
        <w:t>This appendix links representative source segments to the analytical claims reported in the findings. The quoted anchors are intentionally brief; the complete source should be consulted for context.</w:t>
      </w:r>
    </w:p>
    <w:p w14:paraId="220E52DD" w14:textId="77777777" w:rsidR="006713FB" w:rsidRPr="00F6204F" w:rsidRDefault="006713FB" w:rsidP="006713FB">
      <w:pPr>
        <w:keepNext/>
        <w:spacing w:after="0" w:line="360" w:lineRule="auto"/>
        <w:jc w:val="both"/>
        <w:rPr>
          <w:rFonts w:ascii="Arial" w:hAnsi="Arial" w:cs="Arial"/>
          <w:sz w:val="24"/>
          <w:szCs w:val="24"/>
        </w:rPr>
      </w:pPr>
      <w:r w:rsidRPr="00F6204F">
        <w:rPr>
          <w:rFonts w:ascii="Arial" w:hAnsi="Arial" w:cs="Arial"/>
          <w:b/>
          <w:iCs/>
          <w:sz w:val="24"/>
          <w:szCs w:val="24"/>
        </w:rPr>
        <w:t>Table B1.</w:t>
      </w:r>
      <w:r w:rsidRPr="00F6204F">
        <w:rPr>
          <w:rFonts w:ascii="Arial" w:hAnsi="Arial" w:cs="Arial"/>
          <w:b/>
          <w:i/>
          <w:sz w:val="24"/>
          <w:szCs w:val="24"/>
        </w:rPr>
        <w:t xml:space="preserve"> </w:t>
      </w:r>
      <w:r w:rsidRPr="00F6204F">
        <w:rPr>
          <w:rFonts w:ascii="Arial" w:hAnsi="Arial" w:cs="Arial"/>
          <w:bCs/>
          <w:iCs/>
          <w:sz w:val="24"/>
          <w:szCs w:val="24"/>
        </w:rPr>
        <w:t>Representative coding decisions</w:t>
      </w:r>
    </w:p>
    <w:tbl>
      <w:tblPr>
        <w:tblW w:w="887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267"/>
        <w:gridCol w:w="1999"/>
        <w:gridCol w:w="1999"/>
        <w:gridCol w:w="1999"/>
        <w:gridCol w:w="1615"/>
      </w:tblGrid>
      <w:tr w:rsidR="006713FB" w:rsidRPr="00F6204F" w14:paraId="775F12C3" w14:textId="77777777" w:rsidTr="003F1F6A">
        <w:trPr>
          <w:cantSplit/>
          <w:tblHeader/>
          <w:jc w:val="center"/>
        </w:trPr>
        <w:tc>
          <w:tcPr>
            <w:tcW w:w="1267" w:type="dxa"/>
            <w:shd w:val="clear" w:color="auto" w:fill="D9E2F3"/>
            <w:tcMar>
              <w:top w:w="70" w:type="dxa"/>
              <w:left w:w="80" w:type="dxa"/>
              <w:bottom w:w="70" w:type="dxa"/>
              <w:right w:w="80" w:type="dxa"/>
            </w:tcMar>
          </w:tcPr>
          <w:p w14:paraId="1A8DB93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Segment ID</w:t>
            </w:r>
          </w:p>
        </w:tc>
        <w:tc>
          <w:tcPr>
            <w:tcW w:w="1999" w:type="dxa"/>
            <w:shd w:val="clear" w:color="auto" w:fill="D9E2F3"/>
            <w:tcMar>
              <w:top w:w="70" w:type="dxa"/>
              <w:left w:w="80" w:type="dxa"/>
              <w:bottom w:w="70" w:type="dxa"/>
              <w:right w:w="80" w:type="dxa"/>
            </w:tcMar>
          </w:tcPr>
          <w:p w14:paraId="4A0706B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Source position</w:t>
            </w:r>
          </w:p>
        </w:tc>
        <w:tc>
          <w:tcPr>
            <w:tcW w:w="1999" w:type="dxa"/>
            <w:shd w:val="clear" w:color="auto" w:fill="D9E2F3"/>
            <w:tcMar>
              <w:top w:w="70" w:type="dxa"/>
              <w:left w:w="80" w:type="dxa"/>
              <w:bottom w:w="70" w:type="dxa"/>
              <w:right w:w="80" w:type="dxa"/>
            </w:tcMar>
          </w:tcPr>
          <w:p w14:paraId="0A985F0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Brief anchor</w:t>
            </w:r>
          </w:p>
        </w:tc>
        <w:tc>
          <w:tcPr>
            <w:tcW w:w="1999" w:type="dxa"/>
            <w:shd w:val="clear" w:color="auto" w:fill="D9E2F3"/>
            <w:tcMar>
              <w:top w:w="70" w:type="dxa"/>
              <w:left w:w="80" w:type="dxa"/>
              <w:bottom w:w="70" w:type="dxa"/>
              <w:right w:w="80" w:type="dxa"/>
            </w:tcMar>
          </w:tcPr>
          <w:p w14:paraId="1281BE1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Code(s)</w:t>
            </w:r>
          </w:p>
        </w:tc>
        <w:tc>
          <w:tcPr>
            <w:tcW w:w="1615" w:type="dxa"/>
            <w:shd w:val="clear" w:color="auto" w:fill="D9E2F3"/>
            <w:tcMar>
              <w:top w:w="70" w:type="dxa"/>
              <w:left w:w="80" w:type="dxa"/>
              <w:bottom w:w="70" w:type="dxa"/>
              <w:right w:w="80" w:type="dxa"/>
            </w:tcMar>
          </w:tcPr>
          <w:p w14:paraId="16668DE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b/>
                <w:sz w:val="24"/>
                <w:szCs w:val="24"/>
              </w:rPr>
              <w:t>Claim supported</w:t>
            </w:r>
          </w:p>
        </w:tc>
      </w:tr>
      <w:tr w:rsidR="006713FB" w:rsidRPr="00F6204F" w14:paraId="1BC163F6" w14:textId="77777777" w:rsidTr="003F1F6A">
        <w:trPr>
          <w:cantSplit/>
          <w:jc w:val="center"/>
        </w:trPr>
        <w:tc>
          <w:tcPr>
            <w:tcW w:w="1267" w:type="dxa"/>
            <w:tcMar>
              <w:top w:w="70" w:type="dxa"/>
              <w:left w:w="80" w:type="dxa"/>
              <w:bottom w:w="70" w:type="dxa"/>
              <w:right w:w="80" w:type="dxa"/>
            </w:tcMar>
          </w:tcPr>
          <w:p w14:paraId="155FAAF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S0-01</w:t>
            </w:r>
          </w:p>
        </w:tc>
        <w:tc>
          <w:tcPr>
            <w:tcW w:w="1999" w:type="dxa"/>
            <w:tcMar>
              <w:top w:w="70" w:type="dxa"/>
              <w:left w:w="80" w:type="dxa"/>
              <w:bottom w:w="70" w:type="dxa"/>
              <w:right w:w="80" w:type="dxa"/>
            </w:tcMar>
          </w:tcPr>
          <w:p w14:paraId="122F985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Opening moral narrative</w:t>
            </w:r>
          </w:p>
        </w:tc>
        <w:tc>
          <w:tcPr>
            <w:tcW w:w="1999" w:type="dxa"/>
            <w:tcMar>
              <w:top w:w="70" w:type="dxa"/>
              <w:left w:w="80" w:type="dxa"/>
              <w:bottom w:w="70" w:type="dxa"/>
              <w:right w:w="80" w:type="dxa"/>
            </w:tcMar>
          </w:tcPr>
          <w:p w14:paraId="46F3C85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Choice between "blessing" and "curse"</w:t>
            </w:r>
          </w:p>
        </w:tc>
        <w:tc>
          <w:tcPr>
            <w:tcW w:w="1999" w:type="dxa"/>
            <w:tcMar>
              <w:top w:w="70" w:type="dxa"/>
              <w:left w:w="80" w:type="dxa"/>
              <w:bottom w:w="70" w:type="dxa"/>
              <w:right w:w="80" w:type="dxa"/>
            </w:tcMar>
          </w:tcPr>
          <w:p w14:paraId="1159E58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Mythopoesis; moral evaluation</w:t>
            </w:r>
          </w:p>
        </w:tc>
        <w:tc>
          <w:tcPr>
            <w:tcW w:w="1615" w:type="dxa"/>
            <w:tcMar>
              <w:top w:w="70" w:type="dxa"/>
              <w:left w:w="80" w:type="dxa"/>
              <w:bottom w:w="70" w:type="dxa"/>
              <w:right w:w="80" w:type="dxa"/>
            </w:tcMar>
          </w:tcPr>
          <w:p w14:paraId="40C68AA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address frames regional policy as a moralized historical choice.</w:t>
            </w:r>
          </w:p>
        </w:tc>
      </w:tr>
      <w:tr w:rsidR="006713FB" w:rsidRPr="00F6204F" w14:paraId="11D4A01D" w14:textId="77777777" w:rsidTr="003F1F6A">
        <w:trPr>
          <w:cantSplit/>
          <w:jc w:val="center"/>
        </w:trPr>
        <w:tc>
          <w:tcPr>
            <w:tcW w:w="1267" w:type="dxa"/>
            <w:tcMar>
              <w:top w:w="70" w:type="dxa"/>
              <w:left w:w="80" w:type="dxa"/>
              <w:bottom w:w="70" w:type="dxa"/>
              <w:right w:w="80" w:type="dxa"/>
            </w:tcMar>
          </w:tcPr>
          <w:p w14:paraId="6524988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S0-02</w:t>
            </w:r>
          </w:p>
        </w:tc>
        <w:tc>
          <w:tcPr>
            <w:tcW w:w="1999" w:type="dxa"/>
            <w:tcMar>
              <w:top w:w="70" w:type="dxa"/>
              <w:left w:w="80" w:type="dxa"/>
              <w:bottom w:w="70" w:type="dxa"/>
              <w:right w:w="80" w:type="dxa"/>
            </w:tcMar>
          </w:tcPr>
          <w:p w14:paraId="47FD3E4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 section</w:t>
            </w:r>
          </w:p>
        </w:tc>
        <w:tc>
          <w:tcPr>
            <w:tcW w:w="1999" w:type="dxa"/>
            <w:tcMar>
              <w:top w:w="70" w:type="dxa"/>
              <w:left w:w="80" w:type="dxa"/>
              <w:bottom w:w="70" w:type="dxa"/>
              <w:right w:w="80" w:type="dxa"/>
            </w:tcMar>
          </w:tcPr>
          <w:p w14:paraId="594BEB1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"must not give the Palestinians a veto"</w:t>
            </w:r>
          </w:p>
        </w:tc>
        <w:tc>
          <w:tcPr>
            <w:tcW w:w="1999" w:type="dxa"/>
            <w:tcMar>
              <w:top w:w="70" w:type="dxa"/>
              <w:left w:w="80" w:type="dxa"/>
              <w:bottom w:w="70" w:type="dxa"/>
              <w:right w:w="80" w:type="dxa"/>
            </w:tcMar>
          </w:tcPr>
          <w:p w14:paraId="5086800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Activation; assimilation</w:t>
            </w:r>
          </w:p>
        </w:tc>
        <w:tc>
          <w:tcPr>
            <w:tcW w:w="1615" w:type="dxa"/>
            <w:tcMar>
              <w:top w:w="70" w:type="dxa"/>
              <w:left w:w="80" w:type="dxa"/>
              <w:bottom w:w="70" w:type="dxa"/>
              <w:right w:w="80" w:type="dxa"/>
            </w:tcMar>
          </w:tcPr>
          <w:p w14:paraId="52EAB95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 agency is foregrounded chiefly as possible obstruction.</w:t>
            </w:r>
          </w:p>
        </w:tc>
      </w:tr>
      <w:tr w:rsidR="006713FB" w:rsidRPr="00F6204F" w14:paraId="748E7330" w14:textId="77777777" w:rsidTr="003F1F6A">
        <w:trPr>
          <w:cantSplit/>
          <w:jc w:val="center"/>
        </w:trPr>
        <w:tc>
          <w:tcPr>
            <w:tcW w:w="1267" w:type="dxa"/>
            <w:tcMar>
              <w:top w:w="70" w:type="dxa"/>
              <w:left w:w="80" w:type="dxa"/>
              <w:bottom w:w="70" w:type="dxa"/>
              <w:right w:w="80" w:type="dxa"/>
            </w:tcMar>
          </w:tcPr>
          <w:p w14:paraId="250F2EC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S0-03</w:t>
            </w:r>
          </w:p>
        </w:tc>
        <w:tc>
          <w:tcPr>
            <w:tcW w:w="1999" w:type="dxa"/>
            <w:tcMar>
              <w:top w:w="70" w:type="dxa"/>
              <w:left w:w="80" w:type="dxa"/>
              <w:bottom w:w="70" w:type="dxa"/>
              <w:right w:w="80" w:type="dxa"/>
            </w:tcMar>
          </w:tcPr>
          <w:p w14:paraId="52829BF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 section</w:t>
            </w:r>
          </w:p>
        </w:tc>
        <w:tc>
          <w:tcPr>
            <w:tcW w:w="1999" w:type="dxa"/>
            <w:tcMar>
              <w:top w:w="70" w:type="dxa"/>
              <w:left w:w="80" w:type="dxa"/>
              <w:bottom w:w="70" w:type="dxa"/>
              <w:right w:w="80" w:type="dxa"/>
            </w:tcMar>
          </w:tcPr>
          <w:p w14:paraId="77A6A02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Palestinians "could greatly benefit"</w:t>
            </w:r>
          </w:p>
        </w:tc>
        <w:tc>
          <w:tcPr>
            <w:tcW w:w="1999" w:type="dxa"/>
            <w:tcMar>
              <w:top w:w="70" w:type="dxa"/>
              <w:left w:w="80" w:type="dxa"/>
              <w:bottom w:w="70" w:type="dxa"/>
              <w:right w:w="80" w:type="dxa"/>
            </w:tcMar>
          </w:tcPr>
          <w:p w14:paraId="4E5C072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Passivation; beneficiary</w:t>
            </w:r>
          </w:p>
        </w:tc>
        <w:tc>
          <w:tcPr>
            <w:tcW w:w="1615" w:type="dxa"/>
            <w:tcMar>
              <w:top w:w="70" w:type="dxa"/>
              <w:left w:w="80" w:type="dxa"/>
              <w:bottom w:w="70" w:type="dxa"/>
              <w:right w:w="80" w:type="dxa"/>
            </w:tcMar>
          </w:tcPr>
          <w:p w14:paraId="3B8B92E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Palestinians are also positioned as beneficiaries of a process led by others.</w:t>
            </w:r>
          </w:p>
        </w:tc>
      </w:tr>
      <w:tr w:rsidR="006713FB" w:rsidRPr="00F6204F" w14:paraId="6E899198" w14:textId="77777777" w:rsidTr="003F1F6A">
        <w:trPr>
          <w:cantSplit/>
          <w:jc w:val="center"/>
        </w:trPr>
        <w:tc>
          <w:tcPr>
            <w:tcW w:w="1267" w:type="dxa"/>
            <w:tcMar>
              <w:top w:w="70" w:type="dxa"/>
              <w:left w:w="80" w:type="dxa"/>
              <w:bottom w:w="70" w:type="dxa"/>
              <w:right w:w="80" w:type="dxa"/>
            </w:tcMar>
          </w:tcPr>
          <w:p w14:paraId="17E5F42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lastRenderedPageBreak/>
              <w:t>S0-04</w:t>
            </w:r>
          </w:p>
        </w:tc>
        <w:tc>
          <w:tcPr>
            <w:tcW w:w="1999" w:type="dxa"/>
            <w:tcMar>
              <w:top w:w="70" w:type="dxa"/>
              <w:left w:w="80" w:type="dxa"/>
              <w:bottom w:w="70" w:type="dxa"/>
              <w:right w:w="80" w:type="dxa"/>
            </w:tcMar>
          </w:tcPr>
          <w:p w14:paraId="6BD40515"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Corridor section</w:t>
            </w:r>
          </w:p>
        </w:tc>
        <w:tc>
          <w:tcPr>
            <w:tcW w:w="1999" w:type="dxa"/>
            <w:tcMar>
              <w:top w:w="70" w:type="dxa"/>
              <w:left w:w="80" w:type="dxa"/>
              <w:bottom w:w="70" w:type="dxa"/>
              <w:right w:w="80" w:type="dxa"/>
            </w:tcMar>
          </w:tcPr>
          <w:p w14:paraId="3FD3E81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Israel can become a "bridge"</w:t>
            </w:r>
          </w:p>
        </w:tc>
        <w:tc>
          <w:tcPr>
            <w:tcW w:w="1999" w:type="dxa"/>
            <w:tcMar>
              <w:top w:w="70" w:type="dxa"/>
              <w:left w:w="80" w:type="dxa"/>
              <w:bottom w:w="70" w:type="dxa"/>
              <w:right w:w="80" w:type="dxa"/>
            </w:tcMar>
          </w:tcPr>
          <w:p w14:paraId="3F7AD4A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Activation; rationalization</w:t>
            </w:r>
          </w:p>
        </w:tc>
        <w:tc>
          <w:tcPr>
            <w:tcW w:w="1615" w:type="dxa"/>
            <w:tcMar>
              <w:top w:w="70" w:type="dxa"/>
              <w:left w:w="80" w:type="dxa"/>
              <w:bottom w:w="70" w:type="dxa"/>
              <w:right w:w="80" w:type="dxa"/>
            </w:tcMar>
          </w:tcPr>
          <w:p w14:paraId="663DDE6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Israel is constructed as the agent/infrastructure of regional connectivity.</w:t>
            </w:r>
          </w:p>
        </w:tc>
      </w:tr>
      <w:tr w:rsidR="006713FB" w:rsidRPr="00F6204F" w14:paraId="73ABA47D" w14:textId="77777777" w:rsidTr="003F1F6A">
        <w:trPr>
          <w:cantSplit/>
          <w:jc w:val="center"/>
        </w:trPr>
        <w:tc>
          <w:tcPr>
            <w:tcW w:w="1267" w:type="dxa"/>
            <w:tcMar>
              <w:top w:w="70" w:type="dxa"/>
              <w:left w:w="80" w:type="dxa"/>
              <w:bottom w:w="70" w:type="dxa"/>
              <w:right w:w="80" w:type="dxa"/>
            </w:tcMar>
          </w:tcPr>
          <w:p w14:paraId="2EA36A4F"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S0-05</w:t>
            </w:r>
          </w:p>
        </w:tc>
        <w:tc>
          <w:tcPr>
            <w:tcW w:w="1999" w:type="dxa"/>
            <w:tcMar>
              <w:top w:w="70" w:type="dxa"/>
              <w:left w:w="80" w:type="dxa"/>
              <w:bottom w:w="70" w:type="dxa"/>
              <w:right w:w="80" w:type="dxa"/>
            </w:tcMar>
          </w:tcPr>
          <w:p w14:paraId="4E32165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performance</w:t>
            </w:r>
          </w:p>
        </w:tc>
        <w:tc>
          <w:tcPr>
            <w:tcW w:w="1999" w:type="dxa"/>
            <w:tcMar>
              <w:top w:w="70" w:type="dxa"/>
              <w:left w:w="80" w:type="dxa"/>
              <w:bottom w:w="70" w:type="dxa"/>
              <w:right w:w="80" w:type="dxa"/>
            </w:tcMar>
          </w:tcPr>
          <w:p w14:paraId="7290DA6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Marker now shows a "great blessing"</w:t>
            </w:r>
          </w:p>
        </w:tc>
        <w:tc>
          <w:tcPr>
            <w:tcW w:w="1999" w:type="dxa"/>
            <w:tcMar>
              <w:top w:w="70" w:type="dxa"/>
              <w:left w:w="80" w:type="dxa"/>
              <w:bottom w:w="70" w:type="dxa"/>
              <w:right w:w="80" w:type="dxa"/>
            </w:tcMar>
          </w:tcPr>
          <w:p w14:paraId="3A18965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Resemiotization; gesture/prop</w:t>
            </w:r>
          </w:p>
        </w:tc>
        <w:tc>
          <w:tcPr>
            <w:tcW w:w="1615" w:type="dxa"/>
            <w:tcMar>
              <w:top w:w="70" w:type="dxa"/>
              <w:left w:w="80" w:type="dxa"/>
              <w:bottom w:w="70" w:type="dxa"/>
              <w:right w:w="80" w:type="dxa"/>
            </w:tcMar>
          </w:tcPr>
          <w:p w14:paraId="5C4C3C21"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A warning prop is reassigned to opportunity and connection.</w:t>
            </w:r>
          </w:p>
        </w:tc>
      </w:tr>
      <w:tr w:rsidR="006713FB" w:rsidRPr="00F6204F" w14:paraId="7B68CD6B" w14:textId="77777777" w:rsidTr="003F1F6A">
        <w:trPr>
          <w:cantSplit/>
          <w:jc w:val="center"/>
        </w:trPr>
        <w:tc>
          <w:tcPr>
            <w:tcW w:w="1267" w:type="dxa"/>
            <w:tcMar>
              <w:top w:w="70" w:type="dxa"/>
              <w:left w:w="80" w:type="dxa"/>
              <w:bottom w:w="70" w:type="dxa"/>
              <w:right w:w="80" w:type="dxa"/>
            </w:tcMar>
          </w:tcPr>
          <w:p w14:paraId="1AD23BD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M1-01</w:t>
            </w:r>
          </w:p>
        </w:tc>
        <w:tc>
          <w:tcPr>
            <w:tcW w:w="1999" w:type="dxa"/>
            <w:tcMar>
              <w:top w:w="70" w:type="dxa"/>
              <w:left w:w="80" w:type="dxa"/>
              <w:bottom w:w="70" w:type="dxa"/>
              <w:right w:w="80" w:type="dxa"/>
            </w:tcMar>
          </w:tcPr>
          <w:p w14:paraId="0E4E2DE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w:t>
            </w:r>
          </w:p>
        </w:tc>
        <w:tc>
          <w:tcPr>
            <w:tcW w:w="1999" w:type="dxa"/>
            <w:tcMar>
              <w:top w:w="70" w:type="dxa"/>
              <w:left w:w="80" w:type="dxa"/>
              <w:bottom w:w="70" w:type="dxa"/>
              <w:right w:w="80" w:type="dxa"/>
            </w:tcMar>
          </w:tcPr>
          <w:p w14:paraId="6844A4E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Palestinians placed before Arab-Israel deals</w:t>
            </w:r>
          </w:p>
        </w:tc>
        <w:tc>
          <w:tcPr>
            <w:tcW w:w="1999" w:type="dxa"/>
            <w:tcMar>
              <w:top w:w="70" w:type="dxa"/>
              <w:left w:w="80" w:type="dxa"/>
              <w:bottom w:w="70" w:type="dxa"/>
              <w:right w:w="80" w:type="dxa"/>
            </w:tcMar>
          </w:tcPr>
          <w:p w14:paraId="2C762607"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Selection; salience</w:t>
            </w:r>
          </w:p>
        </w:tc>
        <w:tc>
          <w:tcPr>
            <w:tcW w:w="1615" w:type="dxa"/>
            <w:tcMar>
              <w:top w:w="70" w:type="dxa"/>
              <w:left w:w="80" w:type="dxa"/>
              <w:bottom w:w="70" w:type="dxa"/>
              <w:right w:w="80" w:type="dxa"/>
            </w:tcMar>
          </w:tcPr>
          <w:p w14:paraId="4B9DAFA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report defines the event through Palestinian conditionality.</w:t>
            </w:r>
          </w:p>
        </w:tc>
      </w:tr>
      <w:tr w:rsidR="006713FB" w:rsidRPr="00F6204F" w14:paraId="2183121F" w14:textId="77777777" w:rsidTr="003F1F6A">
        <w:trPr>
          <w:cantSplit/>
          <w:jc w:val="center"/>
        </w:trPr>
        <w:tc>
          <w:tcPr>
            <w:tcW w:w="1267" w:type="dxa"/>
            <w:tcMar>
              <w:top w:w="70" w:type="dxa"/>
              <w:left w:w="80" w:type="dxa"/>
              <w:bottom w:w="70" w:type="dxa"/>
              <w:right w:w="80" w:type="dxa"/>
            </w:tcMar>
          </w:tcPr>
          <w:p w14:paraId="7E9D78B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M1-02</w:t>
            </w:r>
          </w:p>
        </w:tc>
        <w:tc>
          <w:tcPr>
            <w:tcW w:w="1999" w:type="dxa"/>
            <w:tcMar>
              <w:top w:w="70" w:type="dxa"/>
              <w:left w:w="80" w:type="dxa"/>
              <w:bottom w:w="70" w:type="dxa"/>
              <w:right w:w="80" w:type="dxa"/>
            </w:tcMar>
          </w:tcPr>
          <w:p w14:paraId="7A2C94E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section</w:t>
            </w:r>
          </w:p>
        </w:tc>
        <w:tc>
          <w:tcPr>
            <w:tcW w:w="1999" w:type="dxa"/>
            <w:tcMar>
              <w:top w:w="70" w:type="dxa"/>
              <w:left w:w="80" w:type="dxa"/>
              <w:bottom w:w="70" w:type="dxa"/>
              <w:right w:w="80" w:type="dxa"/>
            </w:tcMar>
          </w:tcPr>
          <w:p w14:paraId="1B58C047"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Maps described as lacking Palestine</w:t>
            </w:r>
          </w:p>
        </w:tc>
        <w:tc>
          <w:tcPr>
            <w:tcW w:w="1999" w:type="dxa"/>
            <w:tcMar>
              <w:top w:w="70" w:type="dxa"/>
              <w:left w:w="80" w:type="dxa"/>
              <w:bottom w:w="70" w:type="dxa"/>
              <w:right w:w="80" w:type="dxa"/>
            </w:tcMar>
          </w:tcPr>
          <w:p w14:paraId="36D5285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Contextual addition; resemiotization</w:t>
            </w:r>
          </w:p>
        </w:tc>
        <w:tc>
          <w:tcPr>
            <w:tcW w:w="1615" w:type="dxa"/>
            <w:tcMar>
              <w:top w:w="70" w:type="dxa"/>
              <w:left w:w="80" w:type="dxa"/>
              <w:bottom w:w="70" w:type="dxa"/>
              <w:right w:w="80" w:type="dxa"/>
            </w:tcMar>
          </w:tcPr>
          <w:p w14:paraId="2A79E641"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map becomes evidence of territorial non-differentiation.</w:t>
            </w:r>
          </w:p>
        </w:tc>
      </w:tr>
      <w:tr w:rsidR="006713FB" w:rsidRPr="00F6204F" w14:paraId="5A6D2898" w14:textId="77777777" w:rsidTr="003F1F6A">
        <w:trPr>
          <w:cantSplit/>
          <w:jc w:val="center"/>
        </w:trPr>
        <w:tc>
          <w:tcPr>
            <w:tcW w:w="1267" w:type="dxa"/>
            <w:tcMar>
              <w:top w:w="70" w:type="dxa"/>
              <w:left w:w="80" w:type="dxa"/>
              <w:bottom w:w="70" w:type="dxa"/>
              <w:right w:w="80" w:type="dxa"/>
            </w:tcMar>
          </w:tcPr>
          <w:p w14:paraId="3C5B062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lastRenderedPageBreak/>
              <w:t>M2-01</w:t>
            </w:r>
          </w:p>
        </w:tc>
        <w:tc>
          <w:tcPr>
            <w:tcW w:w="1999" w:type="dxa"/>
            <w:tcMar>
              <w:top w:w="70" w:type="dxa"/>
              <w:left w:w="80" w:type="dxa"/>
              <w:bottom w:w="70" w:type="dxa"/>
              <w:right w:w="80" w:type="dxa"/>
            </w:tcMar>
          </w:tcPr>
          <w:p w14:paraId="0B08E12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Israel subsection</w:t>
            </w:r>
          </w:p>
        </w:tc>
        <w:tc>
          <w:tcPr>
            <w:tcW w:w="1999" w:type="dxa"/>
            <w:tcMar>
              <w:top w:w="70" w:type="dxa"/>
              <w:left w:w="80" w:type="dxa"/>
              <w:bottom w:w="70" w:type="dxa"/>
              <w:right w:w="80" w:type="dxa"/>
            </w:tcMar>
          </w:tcPr>
          <w:p w14:paraId="6EB2C28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presented as a visual aid to breakthrough</w:t>
            </w:r>
          </w:p>
        </w:tc>
        <w:tc>
          <w:tcPr>
            <w:tcW w:w="1999" w:type="dxa"/>
            <w:tcMar>
              <w:top w:w="70" w:type="dxa"/>
              <w:left w:w="80" w:type="dxa"/>
              <w:bottom w:w="70" w:type="dxa"/>
              <w:right w:w="80" w:type="dxa"/>
            </w:tcMar>
          </w:tcPr>
          <w:p w14:paraId="5ADE813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Selection; visual anchoring</w:t>
            </w:r>
          </w:p>
        </w:tc>
        <w:tc>
          <w:tcPr>
            <w:tcW w:w="1615" w:type="dxa"/>
            <w:tcMar>
              <w:top w:w="70" w:type="dxa"/>
              <w:left w:w="80" w:type="dxa"/>
              <w:bottom w:w="70" w:type="dxa"/>
              <w:right w:w="80" w:type="dxa"/>
            </w:tcMar>
          </w:tcPr>
          <w:p w14:paraId="250F639C"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map retains the speaker's transformation narrative.</w:t>
            </w:r>
          </w:p>
        </w:tc>
      </w:tr>
      <w:tr w:rsidR="006713FB" w:rsidRPr="00F6204F" w14:paraId="1F20FBA9" w14:textId="77777777" w:rsidTr="003F1F6A">
        <w:trPr>
          <w:cantSplit/>
          <w:jc w:val="center"/>
        </w:trPr>
        <w:tc>
          <w:tcPr>
            <w:tcW w:w="1267" w:type="dxa"/>
            <w:tcMar>
              <w:top w:w="70" w:type="dxa"/>
              <w:left w:w="80" w:type="dxa"/>
              <w:bottom w:w="70" w:type="dxa"/>
              <w:right w:w="80" w:type="dxa"/>
            </w:tcMar>
          </w:tcPr>
          <w:p w14:paraId="28BB2FA7"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M2-02</w:t>
            </w:r>
          </w:p>
        </w:tc>
        <w:tc>
          <w:tcPr>
            <w:tcW w:w="1999" w:type="dxa"/>
            <w:tcMar>
              <w:top w:w="70" w:type="dxa"/>
              <w:left w:w="80" w:type="dxa"/>
              <w:bottom w:w="70" w:type="dxa"/>
              <w:right w:w="80" w:type="dxa"/>
            </w:tcMar>
          </w:tcPr>
          <w:p w14:paraId="301FEAB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Israel subsection</w:t>
            </w:r>
          </w:p>
        </w:tc>
        <w:tc>
          <w:tcPr>
            <w:tcW w:w="1999" w:type="dxa"/>
            <w:tcMar>
              <w:top w:w="70" w:type="dxa"/>
              <w:left w:w="80" w:type="dxa"/>
              <w:bottom w:w="70" w:type="dxa"/>
              <w:right w:w="80" w:type="dxa"/>
            </w:tcMar>
          </w:tcPr>
          <w:p w14:paraId="537D4307"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 statehood described as a hurdle</w:t>
            </w:r>
          </w:p>
        </w:tc>
        <w:tc>
          <w:tcPr>
            <w:tcW w:w="1999" w:type="dxa"/>
            <w:tcMar>
              <w:top w:w="70" w:type="dxa"/>
              <w:left w:w="80" w:type="dxa"/>
              <w:bottom w:w="70" w:type="dxa"/>
              <w:right w:w="80" w:type="dxa"/>
            </w:tcMar>
          </w:tcPr>
          <w:p w14:paraId="078152B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Contextual qualification</w:t>
            </w:r>
          </w:p>
        </w:tc>
        <w:tc>
          <w:tcPr>
            <w:tcW w:w="1615" w:type="dxa"/>
            <w:tcMar>
              <w:top w:w="70" w:type="dxa"/>
              <w:left w:w="80" w:type="dxa"/>
              <w:bottom w:w="70" w:type="dxa"/>
              <w:right w:w="80" w:type="dxa"/>
            </w:tcMar>
          </w:tcPr>
          <w:p w14:paraId="074FE56B"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Opportunity framing coexists with negotiation constraints.</w:t>
            </w:r>
          </w:p>
        </w:tc>
      </w:tr>
      <w:tr w:rsidR="006713FB" w:rsidRPr="00F6204F" w14:paraId="06A0A342" w14:textId="77777777" w:rsidTr="003F1F6A">
        <w:trPr>
          <w:cantSplit/>
          <w:jc w:val="center"/>
        </w:trPr>
        <w:tc>
          <w:tcPr>
            <w:tcW w:w="1267" w:type="dxa"/>
            <w:tcMar>
              <w:top w:w="70" w:type="dxa"/>
              <w:left w:w="80" w:type="dxa"/>
              <w:bottom w:w="70" w:type="dxa"/>
              <w:right w:w="80" w:type="dxa"/>
            </w:tcMar>
          </w:tcPr>
          <w:p w14:paraId="4F63484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M3-01</w:t>
            </w:r>
          </w:p>
        </w:tc>
        <w:tc>
          <w:tcPr>
            <w:tcW w:w="1999" w:type="dxa"/>
            <w:tcMar>
              <w:top w:w="70" w:type="dxa"/>
              <w:left w:w="80" w:type="dxa"/>
              <w:bottom w:w="70" w:type="dxa"/>
              <w:right w:w="80" w:type="dxa"/>
            </w:tcMar>
          </w:tcPr>
          <w:p w14:paraId="2ED99DDF"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Lead and body</w:t>
            </w:r>
          </w:p>
        </w:tc>
        <w:tc>
          <w:tcPr>
            <w:tcW w:w="1999" w:type="dxa"/>
            <w:tcMar>
              <w:top w:w="70" w:type="dxa"/>
              <w:left w:w="80" w:type="dxa"/>
              <w:bottom w:w="70" w:type="dxa"/>
              <w:right w:w="80" w:type="dxa"/>
            </w:tcMar>
          </w:tcPr>
          <w:p w14:paraId="6D8A3D1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Saudi peace foregrounded; Palestinian inclusion added</w:t>
            </w:r>
          </w:p>
        </w:tc>
        <w:tc>
          <w:tcPr>
            <w:tcW w:w="1999" w:type="dxa"/>
            <w:tcMar>
              <w:top w:w="70" w:type="dxa"/>
              <w:left w:w="80" w:type="dxa"/>
              <w:bottom w:w="70" w:type="dxa"/>
              <w:right w:w="80" w:type="dxa"/>
            </w:tcMar>
          </w:tcPr>
          <w:p w14:paraId="6B5592D5"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Selection; addition</w:t>
            </w:r>
          </w:p>
        </w:tc>
        <w:tc>
          <w:tcPr>
            <w:tcW w:w="1615" w:type="dxa"/>
            <w:tcMar>
              <w:top w:w="70" w:type="dxa"/>
              <w:left w:w="80" w:type="dxa"/>
              <w:bottom w:w="70" w:type="dxa"/>
              <w:right w:w="80" w:type="dxa"/>
            </w:tcMar>
          </w:tcPr>
          <w:p w14:paraId="4CEEF7A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breakthrough frame is qualified rather than unopposed.</w:t>
            </w:r>
          </w:p>
        </w:tc>
      </w:tr>
      <w:tr w:rsidR="006713FB" w:rsidRPr="00F6204F" w14:paraId="3F9EF7A1" w14:textId="77777777" w:rsidTr="003F1F6A">
        <w:trPr>
          <w:cantSplit/>
          <w:jc w:val="center"/>
        </w:trPr>
        <w:tc>
          <w:tcPr>
            <w:tcW w:w="1267" w:type="dxa"/>
            <w:tcMar>
              <w:top w:w="70" w:type="dxa"/>
              <w:left w:w="80" w:type="dxa"/>
              <w:bottom w:w="70" w:type="dxa"/>
              <w:right w:w="80" w:type="dxa"/>
            </w:tcMar>
          </w:tcPr>
          <w:p w14:paraId="5BA3D4AC"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M3-02</w:t>
            </w:r>
          </w:p>
        </w:tc>
        <w:tc>
          <w:tcPr>
            <w:tcW w:w="1999" w:type="dxa"/>
            <w:tcMar>
              <w:top w:w="70" w:type="dxa"/>
              <w:left w:w="80" w:type="dxa"/>
              <w:bottom w:w="70" w:type="dxa"/>
              <w:right w:w="80" w:type="dxa"/>
            </w:tcMar>
          </w:tcPr>
          <w:p w14:paraId="37229F14"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Final section</w:t>
            </w:r>
          </w:p>
        </w:tc>
        <w:tc>
          <w:tcPr>
            <w:tcW w:w="1999" w:type="dxa"/>
            <w:tcMar>
              <w:top w:w="70" w:type="dxa"/>
              <w:left w:w="80" w:type="dxa"/>
              <w:bottom w:w="70" w:type="dxa"/>
              <w:right w:w="80" w:type="dxa"/>
            </w:tcMar>
          </w:tcPr>
          <w:p w14:paraId="463D9EE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Nuclear/military threat wording corrected</w:t>
            </w:r>
          </w:p>
        </w:tc>
        <w:tc>
          <w:tcPr>
            <w:tcW w:w="1999" w:type="dxa"/>
            <w:tcMar>
              <w:top w:w="70" w:type="dxa"/>
              <w:left w:w="80" w:type="dxa"/>
              <w:bottom w:w="70" w:type="dxa"/>
              <w:right w:w="80" w:type="dxa"/>
            </w:tcMar>
          </w:tcPr>
          <w:p w14:paraId="4504E4B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Correction; contextual addition</w:t>
            </w:r>
          </w:p>
        </w:tc>
        <w:tc>
          <w:tcPr>
            <w:tcW w:w="1615" w:type="dxa"/>
            <w:tcMar>
              <w:top w:w="70" w:type="dxa"/>
              <w:left w:w="80" w:type="dxa"/>
              <w:bottom w:w="70" w:type="dxa"/>
              <w:right w:w="80" w:type="dxa"/>
            </w:tcMar>
          </w:tcPr>
          <w:p w14:paraId="67C65B07"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report supplies information not available in the spoken wording alone.</w:t>
            </w:r>
          </w:p>
        </w:tc>
      </w:tr>
      <w:tr w:rsidR="006713FB" w:rsidRPr="00F6204F" w14:paraId="0A140353" w14:textId="77777777" w:rsidTr="003F1F6A">
        <w:trPr>
          <w:cantSplit/>
          <w:jc w:val="center"/>
        </w:trPr>
        <w:tc>
          <w:tcPr>
            <w:tcW w:w="1267" w:type="dxa"/>
            <w:tcMar>
              <w:top w:w="70" w:type="dxa"/>
              <w:left w:w="80" w:type="dxa"/>
              <w:bottom w:w="70" w:type="dxa"/>
              <w:right w:w="80" w:type="dxa"/>
            </w:tcMar>
          </w:tcPr>
          <w:p w14:paraId="508EBE65"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M4-01</w:t>
            </w:r>
          </w:p>
        </w:tc>
        <w:tc>
          <w:tcPr>
            <w:tcW w:w="1999" w:type="dxa"/>
            <w:tcMar>
              <w:top w:w="70" w:type="dxa"/>
              <w:left w:w="80" w:type="dxa"/>
              <w:bottom w:w="70" w:type="dxa"/>
              <w:right w:w="80" w:type="dxa"/>
            </w:tcMar>
          </w:tcPr>
          <w:p w14:paraId="0F2AF98B"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Lead</w:t>
            </w:r>
          </w:p>
        </w:tc>
        <w:tc>
          <w:tcPr>
            <w:tcW w:w="1999" w:type="dxa"/>
            <w:tcMar>
              <w:top w:w="70" w:type="dxa"/>
              <w:left w:w="80" w:type="dxa"/>
              <w:bottom w:w="70" w:type="dxa"/>
              <w:right w:w="80" w:type="dxa"/>
            </w:tcMar>
          </w:tcPr>
          <w:p w14:paraId="7EB3FC98"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Historic breakthrough paired with "significant obstacles"</w:t>
            </w:r>
          </w:p>
        </w:tc>
        <w:tc>
          <w:tcPr>
            <w:tcW w:w="1999" w:type="dxa"/>
            <w:tcMar>
              <w:top w:w="70" w:type="dxa"/>
              <w:left w:w="80" w:type="dxa"/>
              <w:bottom w:w="70" w:type="dxa"/>
              <w:right w:w="80" w:type="dxa"/>
            </w:tcMar>
          </w:tcPr>
          <w:p w14:paraId="59EE4EC6"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Selection; qualification</w:t>
            </w:r>
          </w:p>
        </w:tc>
        <w:tc>
          <w:tcPr>
            <w:tcW w:w="1615" w:type="dxa"/>
            <w:tcMar>
              <w:top w:w="70" w:type="dxa"/>
              <w:left w:w="80" w:type="dxa"/>
              <w:bottom w:w="70" w:type="dxa"/>
              <w:right w:w="80" w:type="dxa"/>
            </w:tcMar>
          </w:tcPr>
          <w:p w14:paraId="2650F000"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The headline's optimism is moderated in the body.</w:t>
            </w:r>
          </w:p>
        </w:tc>
      </w:tr>
      <w:tr w:rsidR="006713FB" w:rsidRPr="00F6204F" w14:paraId="0C6C60E2" w14:textId="77777777" w:rsidTr="003F1F6A">
        <w:trPr>
          <w:cantSplit/>
          <w:jc w:val="center"/>
        </w:trPr>
        <w:tc>
          <w:tcPr>
            <w:tcW w:w="1267" w:type="dxa"/>
            <w:tcMar>
              <w:top w:w="70" w:type="dxa"/>
              <w:left w:w="80" w:type="dxa"/>
              <w:bottom w:w="70" w:type="dxa"/>
              <w:right w:w="80" w:type="dxa"/>
            </w:tcMar>
          </w:tcPr>
          <w:p w14:paraId="3CD03A07"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lastRenderedPageBreak/>
              <w:t>M4-02</w:t>
            </w:r>
          </w:p>
        </w:tc>
        <w:tc>
          <w:tcPr>
            <w:tcW w:w="1999" w:type="dxa"/>
            <w:tcMar>
              <w:top w:w="70" w:type="dxa"/>
              <w:left w:w="80" w:type="dxa"/>
              <w:bottom w:w="70" w:type="dxa"/>
              <w:right w:w="80" w:type="dxa"/>
            </w:tcMar>
          </w:tcPr>
          <w:p w14:paraId="1B4F0533"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paragraph</w:t>
            </w:r>
          </w:p>
        </w:tc>
        <w:tc>
          <w:tcPr>
            <w:tcW w:w="1999" w:type="dxa"/>
            <w:tcMar>
              <w:top w:w="70" w:type="dxa"/>
              <w:left w:w="80" w:type="dxa"/>
              <w:bottom w:w="70" w:type="dxa"/>
              <w:right w:w="80" w:type="dxa"/>
            </w:tcMar>
          </w:tcPr>
          <w:p w14:paraId="4187232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did not distinguish West Bank, Gaza, East Jerusalem</w:t>
            </w:r>
          </w:p>
        </w:tc>
        <w:tc>
          <w:tcPr>
            <w:tcW w:w="1999" w:type="dxa"/>
            <w:tcMar>
              <w:top w:w="70" w:type="dxa"/>
              <w:left w:w="80" w:type="dxa"/>
              <w:bottom w:w="70" w:type="dxa"/>
              <w:right w:w="80" w:type="dxa"/>
            </w:tcMar>
          </w:tcPr>
          <w:p w14:paraId="785CA71F"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Visual qualification</w:t>
            </w:r>
          </w:p>
        </w:tc>
        <w:tc>
          <w:tcPr>
            <w:tcW w:w="1615" w:type="dxa"/>
            <w:tcMar>
              <w:top w:w="70" w:type="dxa"/>
              <w:left w:w="80" w:type="dxa"/>
              <w:bottom w:w="70" w:type="dxa"/>
              <w:right w:w="80" w:type="dxa"/>
            </w:tcMar>
          </w:tcPr>
          <w:p w14:paraId="15843831"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AP makes territorial non-differentiation explicit within an opportunity story.</w:t>
            </w:r>
          </w:p>
        </w:tc>
      </w:tr>
      <w:tr w:rsidR="006713FB" w:rsidRPr="00F6204F" w14:paraId="3860451C" w14:textId="77777777" w:rsidTr="003F1F6A">
        <w:trPr>
          <w:cantSplit/>
          <w:jc w:val="center"/>
        </w:trPr>
        <w:tc>
          <w:tcPr>
            <w:tcW w:w="1267" w:type="dxa"/>
            <w:tcMar>
              <w:top w:w="70" w:type="dxa"/>
              <w:left w:w="80" w:type="dxa"/>
              <w:bottom w:w="70" w:type="dxa"/>
              <w:right w:w="80" w:type="dxa"/>
            </w:tcMar>
          </w:tcPr>
          <w:p w14:paraId="34CD709B"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M5-01</w:t>
            </w:r>
          </w:p>
        </w:tc>
        <w:tc>
          <w:tcPr>
            <w:tcW w:w="1999" w:type="dxa"/>
            <w:tcMar>
              <w:top w:w="70" w:type="dxa"/>
              <w:left w:w="80" w:type="dxa"/>
              <w:bottom w:w="70" w:type="dxa"/>
              <w:right w:w="80" w:type="dxa"/>
            </w:tcMar>
          </w:tcPr>
          <w:p w14:paraId="4865AE1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Headline/lead</w:t>
            </w:r>
          </w:p>
        </w:tc>
        <w:tc>
          <w:tcPr>
            <w:tcW w:w="1999" w:type="dxa"/>
            <w:tcMar>
              <w:top w:w="70" w:type="dxa"/>
              <w:left w:w="80" w:type="dxa"/>
              <w:bottom w:w="70" w:type="dxa"/>
              <w:right w:w="80" w:type="dxa"/>
            </w:tcMar>
          </w:tcPr>
          <w:p w14:paraId="7FD59D7F"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 officials call address "arrogant" and "racist"</w:t>
            </w:r>
          </w:p>
        </w:tc>
        <w:tc>
          <w:tcPr>
            <w:tcW w:w="1999" w:type="dxa"/>
            <w:tcMar>
              <w:top w:w="70" w:type="dxa"/>
              <w:left w:w="80" w:type="dxa"/>
              <w:bottom w:w="70" w:type="dxa"/>
              <w:right w:w="80" w:type="dxa"/>
            </w:tcMar>
          </w:tcPr>
          <w:p w14:paraId="410800DB"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Counter-voice; source reordering</w:t>
            </w:r>
          </w:p>
        </w:tc>
        <w:tc>
          <w:tcPr>
            <w:tcW w:w="1615" w:type="dxa"/>
            <w:tcMar>
              <w:top w:w="70" w:type="dxa"/>
              <w:left w:w="80" w:type="dxa"/>
              <w:bottom w:w="70" w:type="dxa"/>
              <w:right w:w="80" w:type="dxa"/>
            </w:tcMar>
          </w:tcPr>
          <w:p w14:paraId="6B15A4C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Palestinian evaluation defines the story before speech summary.</w:t>
            </w:r>
          </w:p>
        </w:tc>
      </w:tr>
      <w:tr w:rsidR="006713FB" w:rsidRPr="00F6204F" w14:paraId="1F04CB6E" w14:textId="77777777" w:rsidTr="003F1F6A">
        <w:trPr>
          <w:cantSplit/>
          <w:jc w:val="center"/>
        </w:trPr>
        <w:tc>
          <w:tcPr>
            <w:tcW w:w="1267" w:type="dxa"/>
            <w:tcMar>
              <w:top w:w="70" w:type="dxa"/>
              <w:left w:w="80" w:type="dxa"/>
              <w:bottom w:w="70" w:type="dxa"/>
              <w:right w:w="80" w:type="dxa"/>
            </w:tcMar>
          </w:tcPr>
          <w:p w14:paraId="604807BB"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M6-01</w:t>
            </w:r>
          </w:p>
        </w:tc>
        <w:tc>
          <w:tcPr>
            <w:tcW w:w="1999" w:type="dxa"/>
            <w:tcMar>
              <w:top w:w="70" w:type="dxa"/>
              <w:left w:w="80" w:type="dxa"/>
              <w:bottom w:w="70" w:type="dxa"/>
              <w:right w:w="80" w:type="dxa"/>
            </w:tcMar>
          </w:tcPr>
          <w:p w14:paraId="465D727D"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Headline/lead</w:t>
            </w:r>
          </w:p>
        </w:tc>
        <w:tc>
          <w:tcPr>
            <w:tcW w:w="1999" w:type="dxa"/>
            <w:tcMar>
              <w:top w:w="70" w:type="dxa"/>
              <w:left w:w="80" w:type="dxa"/>
              <w:bottom w:w="70" w:type="dxa"/>
              <w:right w:w="80" w:type="dxa"/>
            </w:tcMar>
          </w:tcPr>
          <w:p w14:paraId="09FE1249"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placed West Bank and Gaza within Israel</w:t>
            </w:r>
          </w:p>
        </w:tc>
        <w:tc>
          <w:tcPr>
            <w:tcW w:w="1999" w:type="dxa"/>
            <w:tcMar>
              <w:top w:w="70" w:type="dxa"/>
              <w:left w:w="80" w:type="dxa"/>
              <w:bottom w:w="70" w:type="dxa"/>
              <w:right w:w="80" w:type="dxa"/>
            </w:tcMar>
          </w:tcPr>
          <w:p w14:paraId="73102B1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Resemiotization; territorial context</w:t>
            </w:r>
          </w:p>
        </w:tc>
        <w:tc>
          <w:tcPr>
            <w:tcW w:w="1615" w:type="dxa"/>
            <w:tcMar>
              <w:top w:w="70" w:type="dxa"/>
              <w:left w:w="80" w:type="dxa"/>
              <w:bottom w:w="70" w:type="dxa"/>
              <w:right w:w="80" w:type="dxa"/>
            </w:tcMar>
          </w:tcPr>
          <w:p w14:paraId="4E51465A"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Map controversy becomes the primary event definition.</w:t>
            </w:r>
          </w:p>
        </w:tc>
      </w:tr>
      <w:tr w:rsidR="006713FB" w14:paraId="159B97FD" w14:textId="77777777" w:rsidTr="003F1F6A">
        <w:trPr>
          <w:cantSplit/>
          <w:jc w:val="center"/>
        </w:trPr>
        <w:tc>
          <w:tcPr>
            <w:tcW w:w="1267" w:type="dxa"/>
            <w:tcMar>
              <w:top w:w="70" w:type="dxa"/>
              <w:left w:w="80" w:type="dxa"/>
              <w:bottom w:w="70" w:type="dxa"/>
              <w:right w:w="80" w:type="dxa"/>
            </w:tcMar>
          </w:tcPr>
          <w:p w14:paraId="15FD018C"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M6-02</w:t>
            </w:r>
          </w:p>
        </w:tc>
        <w:tc>
          <w:tcPr>
            <w:tcW w:w="1999" w:type="dxa"/>
            <w:tcMar>
              <w:top w:w="70" w:type="dxa"/>
              <w:left w:w="80" w:type="dxa"/>
              <w:bottom w:w="70" w:type="dxa"/>
              <w:right w:w="80" w:type="dxa"/>
            </w:tcMar>
          </w:tcPr>
          <w:p w14:paraId="26310F62"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Body</w:t>
            </w:r>
          </w:p>
        </w:tc>
        <w:tc>
          <w:tcPr>
            <w:tcW w:w="1999" w:type="dxa"/>
            <w:tcMar>
              <w:top w:w="70" w:type="dxa"/>
              <w:left w:w="80" w:type="dxa"/>
              <w:bottom w:w="70" w:type="dxa"/>
              <w:right w:w="80" w:type="dxa"/>
            </w:tcMar>
          </w:tcPr>
          <w:p w14:paraId="4327ECE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Critics interpret the map against peace rhetoric</w:t>
            </w:r>
          </w:p>
        </w:tc>
        <w:tc>
          <w:tcPr>
            <w:tcW w:w="1999" w:type="dxa"/>
            <w:tcMar>
              <w:top w:w="70" w:type="dxa"/>
              <w:left w:w="80" w:type="dxa"/>
              <w:bottom w:w="70" w:type="dxa"/>
              <w:right w:w="80" w:type="dxa"/>
            </w:tcMar>
          </w:tcPr>
          <w:p w14:paraId="6DB9477E" w14:textId="77777777" w:rsidR="006713FB" w:rsidRPr="00F6204F" w:rsidRDefault="006713FB" w:rsidP="003F1F6A">
            <w:pPr>
              <w:spacing w:after="0" w:line="360" w:lineRule="auto"/>
              <w:jc w:val="both"/>
              <w:rPr>
                <w:rFonts w:ascii="Arial" w:hAnsi="Arial" w:cs="Arial"/>
                <w:sz w:val="24"/>
                <w:szCs w:val="24"/>
              </w:rPr>
            </w:pPr>
            <w:r w:rsidRPr="00F6204F">
              <w:rPr>
                <w:rFonts w:ascii="Arial" w:hAnsi="Arial" w:cs="Arial"/>
                <w:sz w:val="24"/>
                <w:szCs w:val="24"/>
              </w:rPr>
              <w:t>Counter-voice; contextualization</w:t>
            </w:r>
          </w:p>
        </w:tc>
        <w:tc>
          <w:tcPr>
            <w:tcW w:w="1615" w:type="dxa"/>
            <w:tcMar>
              <w:top w:w="70" w:type="dxa"/>
              <w:left w:w="80" w:type="dxa"/>
              <w:bottom w:w="70" w:type="dxa"/>
              <w:right w:w="80" w:type="dxa"/>
            </w:tcMar>
          </w:tcPr>
          <w:p w14:paraId="77F88F3A" w14:textId="77777777" w:rsidR="006713FB" w:rsidRDefault="006713FB" w:rsidP="003F1F6A">
            <w:pPr>
              <w:spacing w:after="0" w:line="360" w:lineRule="auto"/>
              <w:jc w:val="both"/>
              <w:rPr>
                <w:rFonts w:ascii="Arial" w:hAnsi="Arial" w:cs="Arial"/>
                <w:sz w:val="24"/>
                <w:szCs w:val="24"/>
              </w:rPr>
            </w:pPr>
            <w:r w:rsidRPr="00F6204F">
              <w:rPr>
                <w:rFonts w:ascii="Arial" w:hAnsi="Arial" w:cs="Arial"/>
                <w:sz w:val="24"/>
                <w:szCs w:val="24"/>
              </w:rPr>
              <w:t>The report authorizes alternative readings of the visual prop.</w:t>
            </w:r>
          </w:p>
        </w:tc>
      </w:tr>
    </w:tbl>
    <w:p w14:paraId="0D227864" w14:textId="77777777" w:rsidR="006713FB" w:rsidRDefault="006713FB" w:rsidP="006713FB">
      <w:pPr>
        <w:spacing w:after="0" w:line="360" w:lineRule="auto"/>
        <w:jc w:val="both"/>
        <w:rPr>
          <w:rFonts w:ascii="Arial" w:hAnsi="Arial" w:cs="Arial"/>
          <w:sz w:val="24"/>
          <w:szCs w:val="24"/>
        </w:rPr>
      </w:pPr>
    </w:p>
    <w:p w14:paraId="473BCB60" w14:textId="77777777" w:rsidR="00DC2479" w:rsidRDefault="00DC2479"/>
    <w:sectPr w:rsidR="00DC2479" w:rsidSect="006713FB">
      <w:headerReference w:type="default" r:id="rId12"/>
      <w:footerReference w:type="default" r:id="rId13"/>
      <w:pgSz w:w="11906" w:h="16838"/>
      <w:pgMar w:top="1440" w:right="1440" w:bottom="1440" w:left="1440" w:header="360" w:footer="432"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ED9B" w14:textId="77777777" w:rsidR="006713FB" w:rsidRDefault="006713FB">
    <w:pPr>
      <w:pStyle w:val="Footer"/>
      <w:jc w:val="center"/>
    </w:pPr>
    <w:r>
      <w:rPr>
        <w:sz w:val="18"/>
      </w:rPr>
      <w:t xml:space="preserve"> |  </w:t>
    </w:r>
    <w:r>
      <w:fldChar w:fldCharType="begin"/>
    </w:r>
    <w:r>
      <w:instrText>PAGE</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3FA2" w14:textId="77777777" w:rsidR="006713FB" w:rsidRDefault="006713FB">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3FB"/>
    <w:rsid w:val="00043210"/>
    <w:rsid w:val="005B6877"/>
    <w:rsid w:val="006713FB"/>
    <w:rsid w:val="00AA0C39"/>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5E617"/>
  <w15:chartTrackingRefBased/>
  <w15:docId w15:val="{2D61E475-BF8A-4DF9-9C70-9C47904D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3FB"/>
    <w:pPr>
      <w:spacing w:after="120" w:line="276" w:lineRule="auto"/>
    </w:pPr>
    <w:rPr>
      <w:rFonts w:ascii="Times New Roman" w:eastAsia="Times New Roman" w:hAnsi="Times New Roman"/>
      <w:kern w:val="0"/>
      <w:sz w:val="22"/>
      <w:szCs w:val="22"/>
      <w:lang w:val="en-US"/>
      <w14:ligatures w14:val="none"/>
    </w:rPr>
  </w:style>
  <w:style w:type="paragraph" w:styleId="Heading1">
    <w:name w:val="heading 1"/>
    <w:basedOn w:val="Normal"/>
    <w:next w:val="Normal"/>
    <w:link w:val="Heading1Char"/>
    <w:uiPriority w:val="9"/>
    <w:qFormat/>
    <w:rsid w:val="006713F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6713F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6713F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6713F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6713F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6713F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6713F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6713F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6713FB"/>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713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3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3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3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3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3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3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3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3FB"/>
    <w:rPr>
      <w:rFonts w:eastAsiaTheme="majorEastAsia" w:cstheme="majorBidi"/>
      <w:color w:val="272727" w:themeColor="text1" w:themeTint="D8"/>
    </w:rPr>
  </w:style>
  <w:style w:type="paragraph" w:styleId="Title">
    <w:name w:val="Title"/>
    <w:basedOn w:val="Normal"/>
    <w:next w:val="Normal"/>
    <w:link w:val="TitleChar"/>
    <w:uiPriority w:val="10"/>
    <w:qFormat/>
    <w:rsid w:val="006713FB"/>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6713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3F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6713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3FB"/>
    <w:pPr>
      <w:spacing w:before="160" w:after="160" w:line="278" w:lineRule="auto"/>
      <w:jc w:val="center"/>
    </w:pPr>
    <w:rPr>
      <w:rFonts w:asciiTheme="minorHAnsi" w:eastAsiaTheme="minorHAnsi" w:hAnsiTheme="minorHAns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6713FB"/>
    <w:rPr>
      <w:i/>
      <w:iCs/>
      <w:color w:val="404040" w:themeColor="text1" w:themeTint="BF"/>
    </w:rPr>
  </w:style>
  <w:style w:type="paragraph" w:styleId="ListParagraph">
    <w:name w:val="List Paragraph"/>
    <w:basedOn w:val="Normal"/>
    <w:uiPriority w:val="34"/>
    <w:qFormat/>
    <w:rsid w:val="006713FB"/>
    <w:pPr>
      <w:spacing w:after="160" w:line="278" w:lineRule="auto"/>
      <w:ind w:left="720"/>
      <w:contextualSpacing/>
    </w:pPr>
    <w:rPr>
      <w:rFonts w:asciiTheme="minorHAnsi" w:eastAsiaTheme="minorHAnsi" w:hAnsiTheme="minorHAnsi"/>
      <w:kern w:val="2"/>
      <w:sz w:val="24"/>
      <w:szCs w:val="24"/>
      <w:lang w:val="en-IN"/>
      <w14:ligatures w14:val="standardContextual"/>
    </w:rPr>
  </w:style>
  <w:style w:type="character" w:styleId="IntenseEmphasis">
    <w:name w:val="Intense Emphasis"/>
    <w:basedOn w:val="DefaultParagraphFont"/>
    <w:uiPriority w:val="21"/>
    <w:qFormat/>
    <w:rsid w:val="006713FB"/>
    <w:rPr>
      <w:i/>
      <w:iCs/>
      <w:color w:val="0F4761" w:themeColor="accent1" w:themeShade="BF"/>
    </w:rPr>
  </w:style>
  <w:style w:type="paragraph" w:styleId="IntenseQuote">
    <w:name w:val="Intense Quote"/>
    <w:basedOn w:val="Normal"/>
    <w:next w:val="Normal"/>
    <w:link w:val="IntenseQuoteChar"/>
    <w:uiPriority w:val="30"/>
    <w:qFormat/>
    <w:rsid w:val="006713F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6713FB"/>
    <w:rPr>
      <w:i/>
      <w:iCs/>
      <w:color w:val="0F4761" w:themeColor="accent1" w:themeShade="BF"/>
    </w:rPr>
  </w:style>
  <w:style w:type="character" w:styleId="IntenseReference">
    <w:name w:val="Intense Reference"/>
    <w:basedOn w:val="DefaultParagraphFont"/>
    <w:uiPriority w:val="32"/>
    <w:qFormat/>
    <w:rsid w:val="006713FB"/>
    <w:rPr>
      <w:b/>
      <w:bCs/>
      <w:smallCaps/>
      <w:color w:val="0F4761" w:themeColor="accent1" w:themeShade="BF"/>
      <w:spacing w:val="5"/>
    </w:rPr>
  </w:style>
  <w:style w:type="paragraph" w:styleId="Footer">
    <w:name w:val="footer"/>
    <w:basedOn w:val="Normal"/>
    <w:link w:val="FooterChar"/>
    <w:uiPriority w:val="99"/>
    <w:unhideWhenUsed/>
    <w:qFormat/>
    <w:rsid w:val="006713FB"/>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713FB"/>
    <w:rPr>
      <w:rFonts w:ascii="Times New Roman" w:eastAsia="Times New Roman" w:hAnsi="Times New Roman"/>
      <w:kern w:val="0"/>
      <w:sz w:val="22"/>
      <w:szCs w:val="22"/>
      <w:lang w:val="en-US"/>
      <w14:ligatures w14:val="none"/>
    </w:rPr>
  </w:style>
  <w:style w:type="paragraph" w:styleId="Header">
    <w:name w:val="header"/>
    <w:basedOn w:val="Normal"/>
    <w:link w:val="HeaderChar"/>
    <w:uiPriority w:val="99"/>
    <w:unhideWhenUsed/>
    <w:qFormat/>
    <w:rsid w:val="006713FB"/>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6713FB"/>
    <w:rPr>
      <w:rFonts w:ascii="Times New Roman" w:eastAsia="Times New Roman" w:hAnsi="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world/middle-east/israel-cusp-region-reshaping-peace-with-saudi-arabia-netanyahu-says-2023-09-22/"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foxnews.com/world/united-nations-general-assembly-meets-fourth-day-discuss-middle-east-climate-chang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jazeera.com/news/2023/9/22/palestinians-must-not-have-veto-over-arab-israel-deals-netanyahu-tells-un" TargetMode="External"/><Relationship Id="rId11" Type="http://schemas.openxmlformats.org/officeDocument/2006/relationships/hyperlink" Target="https://www.jpost.com/israel-news/politics-and-diplomacy/article-760189" TargetMode="External"/><Relationship Id="rId5" Type="http://schemas.openxmlformats.org/officeDocument/2006/relationships/hyperlink" Target="https://www.timesofisrael.com/full-text-of-netanyahus-un-address-on-the-cusp-of-historic-saudi-israel-peace/" TargetMode="External"/><Relationship Id="rId15" Type="http://schemas.openxmlformats.org/officeDocument/2006/relationships/theme" Target="theme/theme1.xml"/><Relationship Id="rId10" Type="http://schemas.openxmlformats.org/officeDocument/2006/relationships/hyperlink" Target="https://www.timesofisrael.com/palestinian-officials-fume-after-netanyahu-un-speech-call-address-arrogant-racist/" TargetMode="External"/><Relationship Id="rId4" Type="http://schemas.openxmlformats.org/officeDocument/2006/relationships/hyperlink" Target="https://gadebate.un.org/en/78/israel" TargetMode="External"/><Relationship Id="rId9" Type="http://schemas.openxmlformats.org/officeDocument/2006/relationships/hyperlink" Target="https://apnews.com/article/4d07d9fd0413c6893d1ddfb944919ae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2026-10-20T15:52:00Z</dcterms:created>
  <dcterms:modified xsi:type="dcterms:W3CDTF">2026-10-20T15:52:00Z</dcterms:modified>
</cp:coreProperties>
</file>