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6"/>
          <w:szCs w:val="26"/>
        </w:rPr>
        <w:t xml:space="preserve">Supplementary File: STROBE Statement</w:t>
      </w:r>
    </w:p>
    <w:p>
      <w:pPr>
        <w:spacing w:after="240"/>
      </w:pPr>
      <w:r>
        <w:rPr>
          <w:i/>
          <w:iCs/>
          <w:sz w:val="20"/>
          <w:szCs w:val="20"/>
        </w:rPr>
        <w:t xml:space="preserve">Checklist of items that should be included in reports of cross-sectional studies, applied to: “Diagnosis-Associated Antimicrobial Prescribing Patterns in a Resource-Limited Veterinary District Setting: Evidence from Mongar, Bhutan (2023–2026).” Page numbers refer to the final assembled manuscript (Paper3_Full_Manuscript.docx).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00"/>
        <w:gridCol w:w="4600"/>
        <w:gridCol w:w="3100"/>
      </w:tblGrid>
      <w:tr>
        <w:tc>
          <w:tcPr>
            <w:tcW w:type="dxa" w:w="1600"/>
            <w:shd w:fill="D9D9D9" w:val="clear"/>
          </w:tcPr>
          <w:p>
            <w:r>
              <w:rPr>
                <w:b/>
                <w:bCs/>
                <w:sz w:val="18"/>
                <w:szCs w:val="18"/>
              </w:rPr>
              <w:t xml:space="preserve">Section/Topic</w:t>
            </w:r>
          </w:p>
        </w:tc>
        <w:tc>
          <w:tcPr>
            <w:tcW w:type="dxa" w:w="700"/>
            <w:shd w:fill="D9D9D9" w:val="clear"/>
          </w:tcPr>
          <w:p>
            <w:r>
              <w:rPr>
                <w:b/>
                <w:bCs/>
                <w:sz w:val="18"/>
                <w:szCs w:val="18"/>
              </w:rPr>
              <w:t xml:space="preserve">Item #</w:t>
            </w:r>
          </w:p>
        </w:tc>
        <w:tc>
          <w:tcPr>
            <w:tcW w:type="dxa" w:w="4600"/>
            <w:shd w:fill="D9D9D9" w:val="clear"/>
          </w:tcPr>
          <w:p>
            <w:r>
              <w:rPr>
                <w:b/>
                <w:bCs/>
                <w:sz w:val="18"/>
                <w:szCs w:val="18"/>
              </w:rPr>
              <w:t xml:space="preserve">Recommendation</w:t>
            </w:r>
          </w:p>
        </w:tc>
        <w:tc>
          <w:tcPr>
            <w:tcW w:type="dxa" w:w="3100"/>
            <w:shd w:fill="D9D9D9" w:val="clear"/>
          </w:tcPr>
          <w:p>
            <w:r>
              <w:rPr>
                <w:b/>
                <w:bCs/>
                <w:sz w:val="18"/>
                <w:szCs w:val="18"/>
              </w:rPr>
              <w:t xml:space="preserve">Reported in manuscript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Title and abstract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(a) Indicate the study's design with a commonly used term in the title or abstract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Title (p. 1); Abstract (p. 1)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(b) Provide an informative and balanced summary of what was done and what was found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Abstract, p. 1</w:t>
            </w:r>
          </w:p>
        </w:tc>
      </w:tr>
      <w:tr>
        <w:tc>
          <w:tcPr>
            <w:tcW w:type="dxa" w:w="10000"/>
            <w:gridSpan w:val="4"/>
            <w:shd w:fill="EFEFEF" w:val="clear"/>
          </w:tcPr>
          <w:p>
            <w:r>
              <w:rPr>
                <w:b/>
                <w:bCs/>
                <w:sz w:val="19"/>
                <w:szCs w:val="19"/>
              </w:rPr>
              <w:t xml:space="preserve">Introduction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Background/rationale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Explain the scientific background and rationale for the investigation being reported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Introduction, pp. 2–3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Objectives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State specific objectives, including any prespecified hypotheses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Introduction, p. 3, final paragraph</w:t>
            </w:r>
          </w:p>
        </w:tc>
      </w:tr>
      <w:tr>
        <w:tc>
          <w:tcPr>
            <w:tcW w:type="dxa" w:w="10000"/>
            <w:gridSpan w:val="4"/>
            <w:shd w:fill="EFEFEF" w:val="clear"/>
          </w:tcPr>
          <w:p>
            <w:r>
              <w:rPr>
                <w:b/>
                <w:bCs/>
                <w:sz w:val="19"/>
                <w:szCs w:val="19"/>
              </w:rPr>
              <w:t xml:space="preserve">Methods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Study design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Present key elements of study design early in the paper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Methods, p. 4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Setting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Study site (p. 5); Data source and eligibility (p. 5)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(a) Give the eligibility criteria, and the sources and methods of selection of participants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Data source and eligibility (p. 5); Case definition and unit of analysis (p. 6)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Variables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Clearly define all outcomes, exposures, predictors, potential confounders, and effect modifiers. Give diagnostic criteria, if applicable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>Methods – Case definition and unit of analysis (p. 6); Antimicrobial classification (p. 6); Course-completion counselling (p. 6)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Data sources/measurement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8*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Data source and eligibility (p. 5); Antimicrobial classification (p. 6)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Bias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Describe any efforts to address potential sources of bias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>Methods – Data cleaning and missing data (p. 6); Course-completion counselling, keyword-matching limitation (p. 6)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Study size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Explain how the study size was arrived at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Data source and eligibility, p. 5 (complete enumeration, no sampling)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Quantitative variables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Explain how quantitative variables were handled in the analyses. If applicable, describe which groupings were chosen and why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Statistical analysis, p. 6 (≥20-visit threshold for diagnosis-level rates)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Statistical methods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(a) Describe all statistical methods, including those used to control for confounding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Statistical analysis, p. 6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(b) Describe any methods used to examine subgroups and interactions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Statistical analysis, p. 6 (species-stratified analyses)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(c) Explain how missing data were addressed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Data cleaning and missing data, p. 6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(d) If applicable, describe analytical methods taking account of sampling strategy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Not applicable – complete enumeration, not a sample survey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(e) Describe any sensitivity analyses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Not applicable</w:t>
            </w:r>
          </w:p>
        </w:tc>
      </w:tr>
      <w:tr>
        <w:tc>
          <w:tcPr>
            <w:tcW w:type="dxa" w:w="10000"/>
            <w:gridSpan w:val="4"/>
            <w:shd w:fill="EFEFEF" w:val="clear"/>
          </w:tcPr>
          <w:p>
            <w:r>
              <w:rPr>
                <w:b/>
                <w:bCs/>
                <w:sz w:val="19"/>
                <w:szCs w:val="19"/>
              </w:rPr>
              <w:t xml:space="preserve">Results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13*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Results, p. 11, paragraph 1 (8881 visits; 17482 line items; 290 excluded from diagnosis-specific analyses); Table 1, p. 27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(b) Give reasons for non-participation at each stage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Results, p. 11; Methods – Data cleaning, p. 6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(c) Consider use of a flow diagram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Not included – single-stage complete enumeration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Descriptive data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14*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(a) Give characteristics of study participants (eg demographic, clinical, social) and information on exposures and potential confounders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Table 1, p. 27 (species, diagnosis system distribution)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(b) Indicate number of participants with missing data for each variable of interest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Data cleaning and missing data, p. 6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Outcome data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15*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Report numbers of outcome events or summary measures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>Results, pp. 11–17; Table 3, p. 30 (AWaRe tier distribution)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Main results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(a) Give unadjusted estimates and, if applicable, confounder-adjusted estimates and their precision. Make clear which confounders were adjusted for and why they were included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>Results, p. 11 (χ2 = 470.53, df = 77, p &lt; 0.001; Table 2, p. 29); 95% Wilson CIs reported throughout Results and Table 4, p. 30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(b) Report category boundaries when continuous variables were categorized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Methods – Statistical analysis, p. 6 (≥20-visit threshold)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(c) If relevant, consider translating estimates of relative risk into absolute risk for a meaningful time period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Not applicable – cross-sectional prevalence-type estimates reported directly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Other analyses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Report other analyses done—eg analyses of subgroups and interactions, and sensitivity analyses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>Results, pp. 11–13 (species-stratified analyses; course-completion counselling by diagnosis system and AWaRe tier)</w:t>
            </w:r>
          </w:p>
        </w:tc>
      </w:tr>
      <w:tr>
        <w:tc>
          <w:tcPr>
            <w:tcW w:type="dxa" w:w="10000"/>
            <w:gridSpan w:val="4"/>
            <w:shd w:fill="EFEFEF" w:val="clear"/>
          </w:tcPr>
          <w:p>
            <w:r>
              <w:rPr>
                <w:b/>
                <w:bCs/>
                <w:sz w:val="19"/>
                <w:szCs w:val="19"/>
              </w:rPr>
              <w:t xml:space="preserve">Discussion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Key results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Summarise key results with reference to study objectives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Discussion, p. 17, paragraph 1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Limitations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Discuss limitations of the study, taking into account sources of potential bias or imprecision. Discuss both direction and magnitude of any potential bias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Discussion – Limitations, p. 21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Interpretation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Discussion, pp. 17–21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Generalisability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Discuss the generalisability (external validity) of the study results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>Discussion – Generalizability, p. 22</w:t>
            </w:r>
          </w:p>
        </w:tc>
      </w:tr>
      <w:tr>
        <w:tc>
          <w:tcPr>
            <w:tcW w:type="dxa" w:w="10000"/>
            <w:gridSpan w:val="4"/>
            <w:shd w:fill="EFEFEF" w:val="clear"/>
          </w:tcPr>
          <w:p>
            <w:r>
              <w:rPr>
                <w:b/>
                <w:bCs/>
                <w:sz w:val="19"/>
                <w:szCs w:val="19"/>
              </w:rPr>
              <w:t xml:space="preserve">Other information</w:t>
            </w:r>
          </w:p>
        </w:tc>
      </w:tr>
      <w:tr>
        <w:tc>
          <w:tcPr>
            <w:tcW w:type="dxa" w:w="1600"/>
          </w:tcPr>
          <w:p>
            <w:r>
              <w:rPr>
                <w:b/>
                <w:bCs/>
                <w:sz w:val="18"/>
                <w:szCs w:val="18"/>
              </w:rPr>
              <w:t xml:space="preserve">Funding</w:t>
            </w:r>
          </w:p>
        </w:tc>
        <w:tc>
          <w:tcPr>
            <w:tcW w:type="dxa" w:w="7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Give the source of funding and the role of the funders for the present study and, if applicable, for the original study on which the present article is based</w:t>
            </w:r>
          </w:p>
        </w:tc>
        <w:tc>
          <w:tcPr>
            <w:tcW w:type="dxa" w:w="3100"/>
          </w:tcPr>
          <w:p>
            <w:r>
              <w:rPr>
                <w:b w:val="false"/>
                <w:bCs w:val="false"/>
                <w:sz w:val="18"/>
                <w:szCs w:val="18"/>
              </w:rPr>
              <w:t>Declarations – Funding, p. 23</w:t>
            </w:r>
          </w:p>
        </w:tc>
      </w:tr>
    </w:tbl>
    <w:p>
      <w:pPr>
        <w:spacing w:before="240"/>
      </w:pPr>
    </w:p>
    <w:p>
      <w:r>
        <w:rPr>
          <w:i/>
          <w:iCs/>
          <w:sz w:val="16"/>
          <w:szCs w:val="16"/>
        </w:rPr>
        <w:t xml:space="preserve">*Give information separately for exposed and unexposed groups, if applicable. Note: An explanation for this checklist is available at www.strobe-statement.org.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2026-08-16T04:39:17.446Z</dcterms:created>
  <dcterms:modified xsi:type="dcterms:W3CDTF">2026-08-16T04:39:17.446Z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