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24"/>
          <w:szCs w:val="24"/>
        </w:rPr>
        <w:t xml:space="preserve">Supplementary Table S3.</w:t>
      </w:r>
    </w:p>
    <w:p>
      <w:pPr>
        <w:spacing w:after="240"/>
      </w:pPr>
      <w:r>
        <w:rPr>
          <w:i/>
          <w:iCs/>
          <w:sz w:val="18"/>
          <w:szCs w:val="18"/>
        </w:rPr>
        <w:t xml:space="preserve">Sensitivity of the food-producing versus companion-animal Watch-tier comparison to the classification of oxytetracycline. Scenario A (Watch tier) reflects the WHO 2023 AWaRe classification used throughout the main text. Scenario B (Access tier) reflects an alternative classification used in some agricultural or WOAH-oriented frameworks. Under Scenario B, the direction of the food-producing versus companion-animal comparison reverses.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600"/>
          </w:tcPr>
          <w:p>
            <w:r>
              <w:rPr>
                <w:b/>
                <w:bCs/>
                <w:sz w:val="18"/>
                <w:szCs w:val="18"/>
                <w:u w:val="single"/>
              </w:rPr>
              <w:t xml:space="preserve">Species group</w:t>
            </w:r>
          </w:p>
        </w:tc>
        <w:tc>
          <w:tcPr>
            <w:tcW w:type="dxa" w:w="2200"/>
          </w:tcPr>
          <w:p>
            <w:r>
              <w:rPr>
                <w:b/>
                <w:bCs/>
                <w:sz w:val="18"/>
                <w:szCs w:val="18"/>
                <w:u w:val="single"/>
              </w:rPr>
              <w:t xml:space="preserve">n (line items)</w:t>
            </w:r>
          </w:p>
        </w:tc>
        <w:tc>
          <w:tcPr>
            <w:tcW w:type="dxa" w:w="2600"/>
          </w:tcPr>
          <w:p>
            <w:r>
              <w:rPr>
                <w:b/>
                <w:bCs/>
                <w:sz w:val="18"/>
                <w:szCs w:val="18"/>
                <w:u w:val="single"/>
              </w:rPr>
              <w:t xml:space="preserve">Watch-tier %
(Scenario A: oxytetracycline = Watch, WHO 2023 AWaRe, as used in main text)</w:t>
            </w:r>
          </w:p>
        </w:tc>
        <w:tc>
          <w:tcPr>
            <w:tcW w:type="dxa" w:w="2600"/>
          </w:tcPr>
          <w:p>
            <w:r>
              <w:rPr>
                <w:b/>
                <w:bCs/>
                <w:sz w:val="18"/>
                <w:szCs w:val="18"/>
                <w:u w:val="single"/>
              </w:rPr>
              <w:t xml:space="preserve">Watch-tier %
(Scenario B: oxytetracycline = Access, as in some agricultural/WOAH-oriented frameworks)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  <w:sz w:val="18"/>
                <w:szCs w:val="18"/>
              </w:rPr>
              <w:t xml:space="preserve">Food-producing (bovine, caprine, swine, poultry)</w:t>
            </w:r>
          </w:p>
        </w:tc>
        <w:tc>
          <w:tcPr>
            <w:tcW w:type="dxa" w:w="22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735</w:t>
            </w:r>
          </w:p>
        </w:tc>
        <w:tc>
          <w:tcPr>
            <w:tcW w:type="dxa" w:w="2600"/>
          </w:tcPr>
          <w:p>
            <w:r>
              <w:rPr>
                <w:b/>
                <w:bCs/>
                <w:sz w:val="18"/>
                <w:szCs w:val="18"/>
              </w:rPr>
              <w:t xml:space="preserve">29.8%</w:t>
            </w:r>
          </w:p>
        </w:tc>
        <w:tc>
          <w:tcPr>
            <w:tcW w:type="dxa" w:w="2600"/>
          </w:tcPr>
          <w:p>
            <w:r>
              <w:rPr>
                <w:b/>
                <w:bCs/>
                <w:sz w:val="18"/>
                <w:szCs w:val="18"/>
              </w:rPr>
              <w:t xml:space="preserve">2.9%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  <w:sz w:val="18"/>
                <w:szCs w:val="18"/>
              </w:rPr>
              <w:t xml:space="preserve">Companion (canine, feline)</w:t>
            </w:r>
          </w:p>
        </w:tc>
        <w:tc>
          <w:tcPr>
            <w:tcW w:type="dxa" w:w="22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271</w:t>
            </w:r>
          </w:p>
        </w:tc>
        <w:tc>
          <w:tcPr>
            <w:tcW w:type="dxa" w:w="2600"/>
          </w:tcPr>
          <w:p>
            <w:r>
              <w:rPr>
                <w:b/>
                <w:bCs/>
                <w:sz w:val="18"/>
                <w:szCs w:val="18"/>
              </w:rPr>
              <w:t xml:space="preserve">23.2%</w:t>
            </w:r>
          </w:p>
        </w:tc>
        <w:tc>
          <w:tcPr>
            <w:tcW w:type="dxa" w:w="2600"/>
          </w:tcPr>
          <w:p>
            <w:r>
              <w:rPr>
                <w:b/>
                <w:bCs/>
                <w:sz w:val="18"/>
                <w:szCs w:val="18"/>
              </w:rPr>
              <w:t xml:space="preserve">22.5%</w:t>
            </w:r>
          </w:p>
        </w:tc>
      </w:tr>
    </w:tbl>
    <w:p>
      <w:pPr>
        <w:spacing w:before="240"/>
      </w:pPr>
    </w:p>
    <w:p>
      <w:r>
        <w:rPr>
          <w:i/>
          <w:iCs/>
          <w:sz w:val="14"/>
          <w:szCs w:val="14"/>
        </w:rPr>
        <w:t xml:space="preserve">Percentages are calculated among antimicrobial line items with a valid AWaRe classification in each species group and scenario (denominators exclude the single unclassified sulfaquinoxaline–diaveridine–menadione combination product where relevant). See Discussion for interpretation.</w:t>
      </w:r>
    </w:p>
    <w:sectPr>
      <w:pgSz w:w="12240" w:h="15840" w:orient="portrait"/>
      <w:pgMar w:top="8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2026-08-07T03:14:55.545Z</dcterms:created>
  <dcterms:modified xsi:type="dcterms:W3CDTF">2026-08-07T03:14:55.571Z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