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24"/>
          <w:szCs w:val="24"/>
        </w:rPr>
        <w:t xml:space="preserve">Supplementary Table S1.</w:t>
      </w:r>
    </w:p>
    <w:p>
      <w:pPr>
        <w:spacing w:after="240"/>
      </w:pPr>
      <w:r>
        <w:rPr>
          <w:i/>
          <w:iCs/>
          <w:sz w:val="20"/>
          <w:szCs w:val="20"/>
        </w:rPr>
        <w:t xml:space="preserve">Classification of antimicrobial formulations recorded in the Mongar District Veterinary Hospital Veterinary Information System (VIS) dataset (2023–2026) by pharmacological class and WHO AWaRe (Access, Watch, Reserve) tier.</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3333"/>
        <w:gridCol w:w="3333"/>
        <w:gridCol w:w="3334"/>
      </w:tblGrid>
      <w:tr>
        <w:tc>
          <w:tcPr>
            <w:tcW w:type="dxa" w:w="3333"/>
            <w:shd w:fill="D9D9D9" w:val="clear"/>
          </w:tcPr>
          <w:p>
            <w:r>
              <w:rPr>
                <w:b/>
                <w:bCs/>
                <w:sz w:val="20"/>
                <w:szCs w:val="20"/>
              </w:rPr>
              <w:t xml:space="preserve">Antimicrobial formulation</w:t>
            </w:r>
          </w:p>
        </w:tc>
        <w:tc>
          <w:tcPr>
            <w:tcW w:type="dxa" w:w="3333"/>
            <w:shd w:fill="D9D9D9" w:val="clear"/>
          </w:tcPr>
          <w:p>
            <w:r>
              <w:rPr>
                <w:b/>
                <w:bCs/>
                <w:sz w:val="20"/>
                <w:szCs w:val="20"/>
              </w:rPr>
              <w:t xml:space="preserve">Pharmacological class</w:t>
            </w:r>
          </w:p>
        </w:tc>
        <w:tc>
          <w:tcPr>
            <w:tcW w:type="dxa" w:w="3333"/>
            <w:shd w:fill="D9D9D9" w:val="clear"/>
          </w:tcPr>
          <w:p>
            <w:r>
              <w:rPr>
                <w:b/>
                <w:bCs/>
                <w:sz w:val="20"/>
                <w:szCs w:val="20"/>
              </w:rPr>
              <w:t xml:space="preserve">WHO AWaRe tier</w:t>
            </w:r>
          </w:p>
        </w:tc>
      </w:tr>
      <w:tr>
        <w:tc>
          <w:tcPr>
            <w:tcW w:type="dxa" w:w="3333"/>
          </w:tcPr>
          <w:p>
            <w:r>
              <w:rPr>
                <w:sz w:val="20"/>
                <w:szCs w:val="20"/>
              </w:rPr>
              <w:t xml:space="preserve">Tetracycline HCl W/S</w:t>
            </w:r>
          </w:p>
        </w:tc>
        <w:tc>
          <w:tcPr>
            <w:tcW w:type="dxa" w:w="3333"/>
          </w:tcPr>
          <w:p>
            <w:r>
              <w:rPr>
                <w:sz w:val="20"/>
                <w:szCs w:val="20"/>
              </w:rPr>
              <w:t xml:space="preserve">Tetracyclines</w:t>
            </w:r>
          </w:p>
        </w:tc>
        <w:tc>
          <w:tcPr>
            <w:tcW w:type="dxa" w:w="3333"/>
          </w:tcPr>
          <w:p>
            <w:r>
              <w:rPr>
                <w:sz w:val="20"/>
                <w:szCs w:val="20"/>
              </w:rPr>
              <w:t xml:space="preserve">Access</w:t>
            </w:r>
          </w:p>
        </w:tc>
      </w:tr>
      <w:tr>
        <w:tc>
          <w:tcPr>
            <w:tcW w:type="dxa" w:w="3333"/>
          </w:tcPr>
          <w:p>
            <w:r>
              <w:rPr>
                <w:sz w:val="20"/>
                <w:szCs w:val="20"/>
              </w:rPr>
              <w:t xml:space="preserve">Oxytetracycline LA Inj.</w:t>
            </w:r>
          </w:p>
        </w:tc>
        <w:tc>
          <w:tcPr>
            <w:tcW w:type="dxa" w:w="3333"/>
          </w:tcPr>
          <w:p>
            <w:r>
              <w:rPr>
                <w:sz w:val="20"/>
                <w:szCs w:val="20"/>
              </w:rPr>
              <w:t xml:space="preserve">Tetracyclines</w:t>
            </w:r>
          </w:p>
        </w:tc>
        <w:tc>
          <w:tcPr>
            <w:tcW w:type="dxa" w:w="3333"/>
          </w:tcPr>
          <w:p>
            <w:r>
              <w:rPr>
                <w:sz w:val="20"/>
                <w:szCs w:val="20"/>
              </w:rPr>
              <w:t xml:space="preserve">Watch</w:t>
            </w:r>
          </w:p>
        </w:tc>
      </w:tr>
      <w:tr>
        <w:tc>
          <w:tcPr>
            <w:tcW w:type="dxa" w:w="3333"/>
          </w:tcPr>
          <w:p>
            <w:r>
              <w:rPr>
                <w:sz w:val="20"/>
                <w:szCs w:val="20"/>
              </w:rPr>
              <w:t xml:space="preserve">Oxytetracycline SA</w:t>
            </w:r>
          </w:p>
        </w:tc>
        <w:tc>
          <w:tcPr>
            <w:tcW w:type="dxa" w:w="3333"/>
          </w:tcPr>
          <w:p>
            <w:r>
              <w:rPr>
                <w:sz w:val="20"/>
                <w:szCs w:val="20"/>
              </w:rPr>
              <w:t xml:space="preserve">Tetracyclines</w:t>
            </w:r>
          </w:p>
        </w:tc>
        <w:tc>
          <w:tcPr>
            <w:tcW w:type="dxa" w:w="3333"/>
          </w:tcPr>
          <w:p>
            <w:r>
              <w:rPr>
                <w:sz w:val="20"/>
                <w:szCs w:val="20"/>
              </w:rPr>
              <w:t xml:space="preserve">Watch</w:t>
            </w:r>
          </w:p>
        </w:tc>
      </w:tr>
      <w:tr>
        <w:tc>
          <w:tcPr>
            <w:tcW w:type="dxa" w:w="3333"/>
          </w:tcPr>
          <w:p>
            <w:r>
              <w:rPr>
                <w:sz w:val="20"/>
                <w:szCs w:val="20"/>
              </w:rPr>
              <w:t xml:space="preserve">Doxycycline hyclate tab</w:t>
            </w:r>
          </w:p>
        </w:tc>
        <w:tc>
          <w:tcPr>
            <w:tcW w:type="dxa" w:w="3333"/>
          </w:tcPr>
          <w:p>
            <w:r>
              <w:rPr>
                <w:sz w:val="20"/>
                <w:szCs w:val="20"/>
              </w:rPr>
              <w:t xml:space="preserve">Tetracyclines</w:t>
            </w:r>
          </w:p>
        </w:tc>
        <w:tc>
          <w:tcPr>
            <w:tcW w:type="dxa" w:w="3333"/>
          </w:tcPr>
          <w:p>
            <w:r>
              <w:rPr>
                <w:sz w:val="20"/>
                <w:szCs w:val="20"/>
              </w:rPr>
              <w:t xml:space="preserve">Access</w:t>
            </w:r>
          </w:p>
        </w:tc>
      </w:tr>
      <w:tr>
        <w:tc>
          <w:tcPr>
            <w:tcW w:type="dxa" w:w="3333"/>
          </w:tcPr>
          <w:p>
            <w:r>
              <w:rPr>
                <w:sz w:val="20"/>
                <w:szCs w:val="20"/>
              </w:rPr>
              <w:t xml:space="preserve">Amoxycillin Trihydrate bolus</w:t>
            </w:r>
          </w:p>
        </w:tc>
        <w:tc>
          <w:tcPr>
            <w:tcW w:type="dxa" w:w="3333"/>
          </w:tcPr>
          <w:p>
            <w:r>
              <w:rPr>
                <w:sz w:val="20"/>
                <w:szCs w:val="20"/>
              </w:rPr>
              <w:t xml:space="preserve">Penicillins</w:t>
            </w:r>
          </w:p>
        </w:tc>
        <w:tc>
          <w:tcPr>
            <w:tcW w:type="dxa" w:w="3333"/>
          </w:tcPr>
          <w:p>
            <w:r>
              <w:rPr>
                <w:sz w:val="20"/>
                <w:szCs w:val="20"/>
              </w:rPr>
              <w:t xml:space="preserve">Access</w:t>
            </w:r>
          </w:p>
        </w:tc>
      </w:tr>
      <w:tr>
        <w:tc>
          <w:tcPr>
            <w:tcW w:type="dxa" w:w="3333"/>
          </w:tcPr>
          <w:p>
            <w:r>
              <w:rPr>
                <w:sz w:val="20"/>
                <w:szCs w:val="20"/>
              </w:rPr>
              <w:t xml:space="preserve">Amoxycillin Trihydrate Susp. (250 mg)</w:t>
            </w:r>
          </w:p>
        </w:tc>
        <w:tc>
          <w:tcPr>
            <w:tcW w:type="dxa" w:w="3333"/>
          </w:tcPr>
          <w:p>
            <w:r>
              <w:rPr>
                <w:sz w:val="20"/>
                <w:szCs w:val="20"/>
              </w:rPr>
              <w:t xml:space="preserve">Penicillins</w:t>
            </w:r>
          </w:p>
        </w:tc>
        <w:tc>
          <w:tcPr>
            <w:tcW w:type="dxa" w:w="3333"/>
          </w:tcPr>
          <w:p>
            <w:r>
              <w:rPr>
                <w:sz w:val="20"/>
                <w:szCs w:val="20"/>
              </w:rPr>
              <w:t xml:space="preserve">Access</w:t>
            </w:r>
          </w:p>
        </w:tc>
      </w:tr>
      <w:tr>
        <w:tc>
          <w:tcPr>
            <w:tcW w:type="dxa" w:w="3333"/>
          </w:tcPr>
          <w:p>
            <w:r>
              <w:rPr>
                <w:sz w:val="20"/>
                <w:szCs w:val="20"/>
              </w:rPr>
              <w:t xml:space="preserve">Benzathine Penicillin LA Inj.</w:t>
            </w:r>
          </w:p>
        </w:tc>
        <w:tc>
          <w:tcPr>
            <w:tcW w:type="dxa" w:w="3333"/>
          </w:tcPr>
          <w:p>
            <w:r>
              <w:rPr>
                <w:sz w:val="20"/>
                <w:szCs w:val="20"/>
              </w:rPr>
              <w:t xml:space="preserve">Penicillins</w:t>
            </w:r>
          </w:p>
        </w:tc>
        <w:tc>
          <w:tcPr>
            <w:tcW w:type="dxa" w:w="3333"/>
          </w:tcPr>
          <w:p>
            <w:r>
              <w:rPr>
                <w:sz w:val="20"/>
                <w:szCs w:val="20"/>
              </w:rPr>
              <w:t xml:space="preserve">Access</w:t>
            </w:r>
          </w:p>
        </w:tc>
      </w:tr>
      <w:tr>
        <w:tc>
          <w:tcPr>
            <w:tcW w:type="dxa" w:w="3333"/>
          </w:tcPr>
          <w:p>
            <w:r>
              <w:rPr>
                <w:sz w:val="20"/>
                <w:szCs w:val="20"/>
              </w:rPr>
              <w:t xml:space="preserve">Benzathine Penicillin Inj.</w:t>
            </w:r>
          </w:p>
        </w:tc>
        <w:tc>
          <w:tcPr>
            <w:tcW w:type="dxa" w:w="3333"/>
          </w:tcPr>
          <w:p>
            <w:r>
              <w:rPr>
                <w:sz w:val="20"/>
                <w:szCs w:val="20"/>
              </w:rPr>
              <w:t xml:space="preserve">Penicillins</w:t>
            </w:r>
          </w:p>
        </w:tc>
        <w:tc>
          <w:tcPr>
            <w:tcW w:type="dxa" w:w="3333"/>
          </w:tcPr>
          <w:p>
            <w:r>
              <w:rPr>
                <w:sz w:val="20"/>
                <w:szCs w:val="20"/>
              </w:rPr>
              <w:t xml:space="preserve">Access</w:t>
            </w:r>
          </w:p>
        </w:tc>
      </w:tr>
      <w:tr>
        <w:tc>
          <w:tcPr>
            <w:tcW w:type="dxa" w:w="3333"/>
          </w:tcPr>
          <w:p>
            <w:r>
              <w:rPr>
                <w:sz w:val="20"/>
                <w:szCs w:val="20"/>
              </w:rPr>
              <w:t xml:space="preserve">Ampicillin + Cloxacillin Inj.</w:t>
            </w:r>
          </w:p>
        </w:tc>
        <w:tc>
          <w:tcPr>
            <w:tcW w:type="dxa" w:w="3333"/>
          </w:tcPr>
          <w:p>
            <w:r>
              <w:rPr>
                <w:sz w:val="20"/>
                <w:szCs w:val="20"/>
              </w:rPr>
              <w:t xml:space="preserve">Penicillins</w:t>
            </w:r>
          </w:p>
        </w:tc>
        <w:tc>
          <w:tcPr>
            <w:tcW w:type="dxa" w:w="3333"/>
          </w:tcPr>
          <w:p>
            <w:r>
              <w:rPr>
                <w:sz w:val="20"/>
                <w:szCs w:val="20"/>
              </w:rPr>
              <w:t xml:space="preserve">Access</w:t>
            </w:r>
          </w:p>
        </w:tc>
      </w:tr>
      <w:tr>
        <w:tc>
          <w:tcPr>
            <w:tcW w:type="dxa" w:w="3333"/>
          </w:tcPr>
          <w:p>
            <w:r>
              <w:rPr>
                <w:sz w:val="20"/>
                <w:szCs w:val="20"/>
              </w:rPr>
              <w:t xml:space="preserve">Sulphadiazine + Trimethoprim powder</w:t>
            </w:r>
          </w:p>
        </w:tc>
        <w:tc>
          <w:tcPr>
            <w:tcW w:type="dxa" w:w="3333"/>
          </w:tcPr>
          <w:p>
            <w:r>
              <w:rPr>
                <w:sz w:val="20"/>
                <w:szCs w:val="20"/>
              </w:rPr>
              <w:t xml:space="preserve">Sulfonamides + Trimethoprim</w:t>
            </w:r>
          </w:p>
        </w:tc>
        <w:tc>
          <w:tcPr>
            <w:tcW w:type="dxa" w:w="3333"/>
          </w:tcPr>
          <w:p>
            <w:r>
              <w:rPr>
                <w:sz w:val="20"/>
                <w:szCs w:val="20"/>
              </w:rPr>
              <w:t xml:space="preserve">Access</w:t>
            </w:r>
          </w:p>
        </w:tc>
      </w:tr>
      <w:tr>
        <w:tc>
          <w:tcPr>
            <w:tcW w:type="dxa" w:w="3333"/>
          </w:tcPr>
          <w:p>
            <w:r>
              <w:rPr>
                <w:sz w:val="20"/>
                <w:szCs w:val="20"/>
              </w:rPr>
              <w:t xml:space="preserve">Trimethoprim + Sulphadiazine bolus</w:t>
            </w:r>
          </w:p>
        </w:tc>
        <w:tc>
          <w:tcPr>
            <w:tcW w:type="dxa" w:w="3333"/>
          </w:tcPr>
          <w:p>
            <w:r>
              <w:rPr>
                <w:sz w:val="20"/>
                <w:szCs w:val="20"/>
              </w:rPr>
              <w:t xml:space="preserve">Sulfonamides + Trimethoprim</w:t>
            </w:r>
          </w:p>
        </w:tc>
        <w:tc>
          <w:tcPr>
            <w:tcW w:type="dxa" w:w="3333"/>
          </w:tcPr>
          <w:p>
            <w:r>
              <w:rPr>
                <w:sz w:val="20"/>
                <w:szCs w:val="20"/>
              </w:rPr>
              <w:t xml:space="preserve">Access</w:t>
            </w:r>
          </w:p>
        </w:tc>
      </w:tr>
      <w:tr>
        <w:tc>
          <w:tcPr>
            <w:tcW w:type="dxa" w:w="3333"/>
          </w:tcPr>
          <w:p>
            <w:r>
              <w:rPr>
                <w:sz w:val="20"/>
                <w:szCs w:val="20"/>
              </w:rPr>
              <w:t xml:space="preserve">Sulphadimidine Inj.</w:t>
            </w:r>
          </w:p>
        </w:tc>
        <w:tc>
          <w:tcPr>
            <w:tcW w:type="dxa" w:w="3333"/>
          </w:tcPr>
          <w:p>
            <w:r>
              <w:rPr>
                <w:sz w:val="20"/>
                <w:szCs w:val="20"/>
              </w:rPr>
              <w:t xml:space="preserve">Sulfonamides</w:t>
            </w:r>
          </w:p>
        </w:tc>
        <w:tc>
          <w:tcPr>
            <w:tcW w:type="dxa" w:w="3333"/>
          </w:tcPr>
          <w:p>
            <w:r>
              <w:rPr>
                <w:sz w:val="20"/>
                <w:szCs w:val="20"/>
              </w:rPr>
              <w:t xml:space="preserve">Access</w:t>
            </w:r>
          </w:p>
        </w:tc>
      </w:tr>
      <w:tr>
        <w:tc>
          <w:tcPr>
            <w:tcW w:type="dxa" w:w="3333"/>
          </w:tcPr>
          <w:p>
            <w:r>
              <w:rPr>
                <w:sz w:val="20"/>
                <w:szCs w:val="20"/>
              </w:rPr>
              <w:t xml:space="preserve">Sulfaquinoxaline, Diaveridine, Menadione</w:t>
            </w:r>
          </w:p>
        </w:tc>
        <w:tc>
          <w:tcPr>
            <w:tcW w:type="dxa" w:w="3333"/>
          </w:tcPr>
          <w:p>
            <w:r>
              <w:rPr>
                <w:sz w:val="20"/>
                <w:szCs w:val="20"/>
              </w:rPr>
              <w:t xml:space="preserve">Sulfonamides (combination)</w:t>
            </w:r>
          </w:p>
        </w:tc>
        <w:tc>
          <w:tcPr>
            <w:tcW w:type="dxa" w:w="3333"/>
          </w:tcPr>
          <w:p>
            <w:r>
              <w:rPr>
                <w:sz w:val="20"/>
                <w:szCs w:val="20"/>
              </w:rPr>
              <w:t xml:space="preserve">Not classified (not on WHO EML)</w:t>
            </w:r>
          </w:p>
        </w:tc>
      </w:tr>
      <w:tr>
        <w:tc>
          <w:tcPr>
            <w:tcW w:type="dxa" w:w="3333"/>
          </w:tcPr>
          <w:p>
            <w:r>
              <w:rPr>
                <w:sz w:val="20"/>
                <w:szCs w:val="20"/>
              </w:rPr>
              <w:t xml:space="preserve">Enrofloxacin tab</w:t>
            </w:r>
          </w:p>
        </w:tc>
        <w:tc>
          <w:tcPr>
            <w:tcW w:type="dxa" w:w="3333"/>
          </w:tcPr>
          <w:p>
            <w:r>
              <w:rPr>
                <w:sz w:val="20"/>
                <w:szCs w:val="20"/>
              </w:rPr>
              <w:t xml:space="preserve">Fluoroquinolones</w:t>
            </w:r>
          </w:p>
        </w:tc>
        <w:tc>
          <w:tcPr>
            <w:tcW w:type="dxa" w:w="3333"/>
          </w:tcPr>
          <w:p>
            <w:r>
              <w:rPr>
                <w:sz w:val="20"/>
                <w:szCs w:val="20"/>
              </w:rPr>
              <w:t xml:space="preserve">Watch</w:t>
            </w:r>
          </w:p>
        </w:tc>
      </w:tr>
      <w:tr>
        <w:tc>
          <w:tcPr>
            <w:tcW w:type="dxa" w:w="3333"/>
          </w:tcPr>
          <w:p>
            <w:r>
              <w:rPr>
                <w:sz w:val="20"/>
                <w:szCs w:val="20"/>
              </w:rPr>
              <w:t xml:space="preserve">Enrofloxacin inj.</w:t>
            </w:r>
          </w:p>
        </w:tc>
        <w:tc>
          <w:tcPr>
            <w:tcW w:type="dxa" w:w="3333"/>
          </w:tcPr>
          <w:p>
            <w:r>
              <w:rPr>
                <w:sz w:val="20"/>
                <w:szCs w:val="20"/>
              </w:rPr>
              <w:t xml:space="preserve">Fluoroquinolones</w:t>
            </w:r>
          </w:p>
        </w:tc>
        <w:tc>
          <w:tcPr>
            <w:tcW w:type="dxa" w:w="3333"/>
          </w:tcPr>
          <w:p>
            <w:r>
              <w:rPr>
                <w:sz w:val="20"/>
                <w:szCs w:val="20"/>
              </w:rPr>
              <w:t xml:space="preserve">Watch</w:t>
            </w:r>
          </w:p>
        </w:tc>
      </w:tr>
      <w:tr>
        <w:tc>
          <w:tcPr>
            <w:tcW w:type="dxa" w:w="3333"/>
          </w:tcPr>
          <w:p>
            <w:r>
              <w:rPr>
                <w:sz w:val="20"/>
                <w:szCs w:val="20"/>
              </w:rPr>
              <w:t xml:space="preserve">Gentamicin inj.</w:t>
            </w:r>
          </w:p>
        </w:tc>
        <w:tc>
          <w:tcPr>
            <w:tcW w:type="dxa" w:w="3333"/>
          </w:tcPr>
          <w:p>
            <w:r>
              <w:rPr>
                <w:sz w:val="20"/>
                <w:szCs w:val="20"/>
              </w:rPr>
              <w:t xml:space="preserve">Aminoglycosides</w:t>
            </w:r>
          </w:p>
        </w:tc>
        <w:tc>
          <w:tcPr>
            <w:tcW w:type="dxa" w:w="3333"/>
          </w:tcPr>
          <w:p>
            <w:r>
              <w:rPr>
                <w:sz w:val="20"/>
                <w:szCs w:val="20"/>
              </w:rPr>
              <w:t xml:space="preserve">Access</w:t>
            </w:r>
          </w:p>
        </w:tc>
      </w:tr>
      <w:tr>
        <w:tc>
          <w:tcPr>
            <w:tcW w:type="dxa" w:w="3333"/>
          </w:tcPr>
          <w:p>
            <w:r>
              <w:rPr>
                <w:sz w:val="20"/>
                <w:szCs w:val="20"/>
              </w:rPr>
              <w:t xml:space="preserve">Cefotaxime Inj.</w:t>
            </w:r>
          </w:p>
        </w:tc>
        <w:tc>
          <w:tcPr>
            <w:tcW w:type="dxa" w:w="3333"/>
          </w:tcPr>
          <w:p>
            <w:r>
              <w:rPr>
                <w:sz w:val="20"/>
                <w:szCs w:val="20"/>
              </w:rPr>
              <w:t xml:space="preserve">Cephalosporins (3rd generation)</w:t>
            </w:r>
          </w:p>
        </w:tc>
        <w:tc>
          <w:tcPr>
            <w:tcW w:type="dxa" w:w="3333"/>
          </w:tcPr>
          <w:p>
            <w:r>
              <w:rPr>
                <w:sz w:val="20"/>
                <w:szCs w:val="20"/>
              </w:rPr>
              <w:t xml:space="preserve">Watch</w:t>
            </w:r>
          </w:p>
        </w:tc>
      </w:tr>
      <w:tr>
        <w:tc>
          <w:tcPr>
            <w:tcW w:type="dxa" w:w="3333"/>
          </w:tcPr>
          <w:p>
            <w:r>
              <w:rPr>
                <w:sz w:val="20"/>
                <w:szCs w:val="20"/>
              </w:rPr>
              <w:t xml:space="preserve">Cephalexin bolus</w:t>
            </w:r>
          </w:p>
        </w:tc>
        <w:tc>
          <w:tcPr>
            <w:tcW w:type="dxa" w:w="3333"/>
          </w:tcPr>
          <w:p>
            <w:r>
              <w:rPr>
                <w:sz w:val="20"/>
                <w:szCs w:val="20"/>
              </w:rPr>
              <w:t xml:space="preserve">Cephalosporins (1st generation)</w:t>
            </w:r>
          </w:p>
        </w:tc>
        <w:tc>
          <w:tcPr>
            <w:tcW w:type="dxa" w:w="3333"/>
          </w:tcPr>
          <w:p>
            <w:r>
              <w:rPr>
                <w:sz w:val="20"/>
                <w:szCs w:val="20"/>
              </w:rPr>
              <w:t xml:space="preserve">Access</w:t>
            </w:r>
          </w:p>
        </w:tc>
      </w:tr>
      <w:tr>
        <w:tc>
          <w:tcPr>
            <w:tcW w:type="dxa" w:w="3333"/>
          </w:tcPr>
          <w:p>
            <w:r>
              <w:rPr>
                <w:sz w:val="20"/>
                <w:szCs w:val="20"/>
              </w:rPr>
              <w:t xml:space="preserve">Strepto-penicillin Inj.</w:t>
            </w:r>
          </w:p>
        </w:tc>
        <w:tc>
          <w:tcPr>
            <w:tcW w:type="dxa" w:w="3333"/>
          </w:tcPr>
          <w:p>
            <w:r>
              <w:rPr>
                <w:sz w:val="20"/>
                <w:szCs w:val="20"/>
              </w:rPr>
              <w:t xml:space="preserve">Aminoglycoside + Penicillin combination</w:t>
            </w:r>
          </w:p>
        </w:tc>
        <w:tc>
          <w:tcPr>
            <w:tcW w:type="dxa" w:w="3333"/>
          </w:tcPr>
          <w:p>
            <w:r>
              <w:rPr>
                <w:sz w:val="20"/>
                <w:szCs w:val="20"/>
              </w:rPr>
              <w:t xml:space="preserve">Access</w:t>
            </w:r>
          </w:p>
        </w:tc>
      </w:tr>
      <w:tr>
        <w:tc>
          <w:tcPr>
            <w:tcW w:type="dxa" w:w="3333"/>
          </w:tcPr>
          <w:p>
            <w:r>
              <w:rPr>
                <w:sz w:val="20"/>
                <w:szCs w:val="20"/>
              </w:rPr>
              <w:t xml:space="preserve">Metronidazole inj.</w:t>
            </w:r>
          </w:p>
        </w:tc>
        <w:tc>
          <w:tcPr>
            <w:tcW w:type="dxa" w:w="3333"/>
          </w:tcPr>
          <w:p>
            <w:r>
              <w:rPr>
                <w:sz w:val="20"/>
                <w:szCs w:val="20"/>
              </w:rPr>
              <w:t xml:space="preserve">Nitroimidazoles</w:t>
            </w:r>
          </w:p>
        </w:tc>
        <w:tc>
          <w:tcPr>
            <w:tcW w:type="dxa" w:w="3333"/>
          </w:tcPr>
          <w:p>
            <w:r>
              <w:rPr>
                <w:sz w:val="20"/>
                <w:szCs w:val="20"/>
              </w:rPr>
              <w:t xml:space="preserve">Access</w:t>
            </w:r>
          </w:p>
        </w:tc>
      </w:tr>
      <w:tr>
        <w:tc>
          <w:tcPr>
            <w:tcW w:type="dxa" w:w="3333"/>
          </w:tcPr>
          <w:p>
            <w:r>
              <w:rPr>
                <w:sz w:val="20"/>
                <w:szCs w:val="20"/>
              </w:rPr>
              <w:t xml:space="preserve">Metronidazole Tab</w:t>
            </w:r>
          </w:p>
        </w:tc>
        <w:tc>
          <w:tcPr>
            <w:tcW w:type="dxa" w:w="3333"/>
          </w:tcPr>
          <w:p>
            <w:r>
              <w:rPr>
                <w:sz w:val="20"/>
                <w:szCs w:val="20"/>
              </w:rPr>
              <w:t xml:space="preserve">Nitroimidazoles</w:t>
            </w:r>
          </w:p>
        </w:tc>
        <w:tc>
          <w:tcPr>
            <w:tcW w:type="dxa" w:w="3333"/>
          </w:tcPr>
          <w:p>
            <w:r>
              <w:rPr>
                <w:sz w:val="20"/>
                <w:szCs w:val="20"/>
              </w:rPr>
              <w:t xml:space="preserve">Access</w:t>
            </w:r>
          </w:p>
        </w:tc>
      </w:tr>
    </w:tbl>
    <w:p>
      <w:pPr>
        <w:spacing w:before="240"/>
      </w:pPr>
    </w:p>
    <w:p>
      <w:r>
        <w:rPr>
          <w:i/>
          <w:iCs/>
          <w:sz w:val="18"/>
          <w:szCs w:val="18"/>
        </w:rPr>
        <w:t xml:space="preserve">Classification based on the World Health Organization's 2023 AWaRe classification and the 2024 WHO list of medically important antimicrobials. Consistent with the antimicrobial classification applied in the companion papers from this dataset (Papers 1 and 2), including the classification of oxytetracycline as Watch rather than Access. The sulfaquinoxaline–diaveridine–menadione combination product is not included in the WHO AWaRe classification or the WHO Essential Medicines List and is therefore reported as unclassified.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2026-08-03T11:06:56.489Z</dcterms:created>
  <dcterms:modified xsi:type="dcterms:W3CDTF">2026-08-03T11:06:56.514Z</dcterms:modified>
</cp:coreProperties>
</file>

<file path=docProps/custom.xml><?xml version="1.0" encoding="utf-8"?>
<Properties xmlns="http://schemas.openxmlformats.org/officeDocument/2006/custom-properties" xmlns:vt="http://schemas.openxmlformats.org/officeDocument/2006/docPropsVTypes"/>
</file>