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before="0" w:line="360" w:lineRule="auto"/>
        <w:jc w:val="center"/>
      </w:pPr>
      <w:r>
        <w:rPr>
          <w:rFonts w:ascii="Times New Roman" w:hAnsi="Times New Roman" w:eastAsia="Times New Roman"/>
          <w:b/>
          <w:i w:val="0"/>
          <w:sz w:val="28"/>
        </w:rPr>
        <w:t>Supplementary Information</w:t>
      </w:r>
    </w:p>
    <w:p>
      <w:pPr>
        <w:spacing w:after="160" w:before="0" w:line="360" w:lineRule="auto"/>
        <w:jc w:val="center"/>
      </w:pPr>
      <w:r>
        <w:rPr>
          <w:rFonts w:ascii="Times New Roman" w:hAnsi="Times New Roman" w:eastAsia="Times New Roman"/>
          <w:b/>
          <w:i w:val="0"/>
          <w:sz w:val="24"/>
        </w:rPr>
        <w:t>Digital Transformation and Firm Performance in Chinese Listed New-Energy Companies: The Potential Mediating Role of Dynamic Capability</w:t>
      </w:r>
    </w:p>
    <w:p>
      <w:pPr>
        <w:spacing w:before="280" w:after="160"/>
        <w:ind w:firstLine="0"/>
      </w:pPr>
      <w:r>
        <w:rPr>
          <w:rFonts w:ascii="Times New Roman" w:hAnsi="Times New Roman" w:eastAsia="Times New Roman"/>
          <w:b/>
          <w:i w:val="0"/>
          <w:sz w:val="28"/>
        </w:rPr>
        <w:t>S1. Public sources</w:t>
      </w:r>
    </w:p>
    <w:p>
      <w:pPr>
        <w:spacing w:after="160" w:before="0" w:line="360" w:lineRule="auto"/>
      </w:pPr>
      <w:r>
        <w:rPr>
          <w:rFonts w:ascii="Times New Roman" w:hAnsi="Times New Roman" w:eastAsia="Times New Roman"/>
          <w:b w:val="0"/>
          <w:i w:val="0"/>
          <w:sz w:val="22"/>
        </w:rPr>
        <w:t>CSI New Energy Index (399808) constituents from Sina Finance, snapshot 28 August 2026. Company profiles from East Money F10 and CNINFO. Financial statements from East Money. Annual reports from CNINFO. No CSMAR, WIND, RESSET or iFinD.</w:t>
      </w:r>
    </w:p>
    <w:p>
      <w:pPr>
        <w:spacing w:before="280" w:after="160"/>
        <w:ind w:firstLine="0"/>
      </w:pPr>
      <w:r>
        <w:rPr>
          <w:rFonts w:ascii="Times New Roman" w:hAnsi="Times New Roman" w:eastAsia="Times New Roman"/>
          <w:b/>
          <w:i w:val="0"/>
          <w:sz w:val="28"/>
        </w:rPr>
        <w:t>S2. Sample rules</w:t>
      </w:r>
    </w:p>
    <w:p>
      <w:pPr>
        <w:spacing w:after="160" w:before="0" w:line="360" w:lineRule="auto"/>
      </w:pPr>
      <w:r>
        <w:rPr>
          <w:rFonts w:ascii="Times New Roman" w:hAnsi="Times New Roman" w:eastAsia="Times New Roman"/>
          <w:b w:val="0"/>
          <w:i w:val="0"/>
          <w:sz w:val="22"/>
        </w:rPr>
        <w:t>Operational definition: SSE/SZSE A-share issuers whose principal business is solar/PV, wind, hydro, geothermal, renewable equipment, batteries/storage, battery materials, hydrogen, or renewable power electronics. Excluded: 601985, 003816 (nuclear); 000009 (conglomerate); 000958 (industrial-finance); 002335 (data-centre power); 920185 (BSE). Retained: 74 firms.</w:t>
      </w:r>
    </w:p>
    <w:p>
      <w:pPr>
        <w:spacing w:before="280" w:after="160"/>
        <w:ind w:firstLine="0"/>
      </w:pPr>
      <w:r>
        <w:rPr>
          <w:rFonts w:ascii="Times New Roman" w:hAnsi="Times New Roman" w:eastAsia="Times New Roman"/>
          <w:b/>
          <w:i w:val="0"/>
          <w:sz w:val="28"/>
        </w:rPr>
        <w:t>S3. Digital-transformation dictionary</w:t>
      </w:r>
    </w:p>
    <w:p>
      <w:pPr>
        <w:spacing w:after="160" w:before="0" w:line="360" w:lineRule="auto"/>
      </w:pPr>
      <w:r>
        <w:rPr>
          <w:rFonts w:ascii="Times New Roman" w:hAnsi="Times New Roman" w:eastAsia="Times New Roman"/>
          <w:b w:val="0"/>
          <w:i w:val="0"/>
          <w:sz w:val="22"/>
        </w:rPr>
        <w:t>Primary dictionary follows Wu et al. (2021): artificial intelligence, big data, cloud computing, blockchain and digital applications. 5G is matched with a regular expression that rejects GW capacity strings. The full list is in supplementary_data/keyword_dictionary.csv.</w:t>
      </w:r>
    </w:p>
    <w:p>
      <w:pPr>
        <w:spacing w:before="280" w:after="160"/>
        <w:ind w:firstLine="0"/>
      </w:pPr>
      <w:r>
        <w:rPr>
          <w:rFonts w:ascii="Times New Roman" w:hAnsi="Times New Roman" w:eastAsia="Times New Roman"/>
          <w:b/>
          <w:i w:val="0"/>
          <w:sz w:val="28"/>
        </w:rPr>
        <w:t>S4. Variable formulae</w:t>
      </w:r>
    </w:p>
    <w:p>
      <w:pPr>
        <w:spacing w:after="160" w:before="0" w:line="360" w:lineRule="auto"/>
      </w:pPr>
      <w:r>
        <w:rPr>
          <w:rFonts w:ascii="Times New Roman" w:hAnsi="Times New Roman" w:eastAsia="Times New Roman"/>
          <w:b w:val="0"/>
          <w:i w:val="0"/>
          <w:sz w:val="22"/>
        </w:rPr>
        <w:t>ROE = parent net profit / parent ending equity. ROA = parent net profit / ending total assets. DT = ln(1 + Wu frequency). DC = equal-weight z-score of R&amp;D intensity, revenue growth and asset turnover after 1%/99% winsorisation of inputs. Controls: ln assets, listing age, leverage, current ratio.</w:t>
      </w:r>
    </w:p>
    <w:p>
      <w:pPr>
        <w:spacing w:before="280" w:after="160"/>
        <w:ind w:firstLine="0"/>
      </w:pPr>
      <w:r>
        <w:rPr>
          <w:rFonts w:ascii="Times New Roman" w:hAnsi="Times New Roman" w:eastAsia="Times New Roman"/>
          <w:b/>
          <w:i w:val="0"/>
          <w:sz w:val="28"/>
        </w:rPr>
        <w:t>S5. Estimation</w:t>
      </w:r>
    </w:p>
    <w:p>
      <w:pPr>
        <w:spacing w:after="160" w:before="0" w:line="360" w:lineRule="auto"/>
      </w:pPr>
      <w:r>
        <w:rPr>
          <w:rFonts w:ascii="Times New Roman" w:hAnsi="Times New Roman" w:eastAsia="Times New Roman"/>
          <w:b w:val="0"/>
          <w:i w:val="0"/>
          <w:sz w:val="22"/>
        </w:rPr>
        <w:t>Two-tailed tests, alpha = 0.05, firm-clustered standard errors. Models: pooled OLS, year FE, firm FE, two-way FE, winsorised DT, lagged DT, DT share, combined dictionary, ROA, SOE/non-SOE, VIF, missingness, 1,000-replication firm-cluster bootstrap of a × b.</w:t>
      </w:r>
    </w:p>
    <w:p>
      <w:pPr>
        <w:spacing w:before="280" w:after="160"/>
        <w:ind w:firstLine="0"/>
      </w:pPr>
      <w:r>
        <w:rPr>
          <w:rFonts w:ascii="Times New Roman" w:hAnsi="Times New Roman" w:eastAsia="Times New Roman"/>
          <w:b/>
          <w:i w:val="0"/>
          <w:sz w:val="28"/>
        </w:rPr>
        <w:t>S6. Additional files</w:t>
      </w:r>
    </w:p>
    <w:p>
      <w:pPr>
        <w:spacing w:after="160" w:before="0" w:line="360" w:lineRule="auto"/>
      </w:pPr>
      <w:r>
        <w:rPr>
          <w:rFonts w:ascii="Times New Roman" w:hAnsi="Times New Roman" w:eastAsia="Times New Roman"/>
          <w:b w:val="0"/>
          <w:i w:val="0"/>
          <w:sz w:val="22"/>
        </w:rPr>
        <w:t>supplementary_data/company_list.csv; sample_selection.csv; cleaned_analysis_dataset.csv; keyword_dictionary.csv; Tables.xlsx; figures/Fig1.png–Fig5.png.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