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microsoft.com/office/2011/relationships/webextensiontaskpanes" Target="word/webextensions/taskpanes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3B37" w14:textId="77777777" w:rsidR="00543B3B" w:rsidRDefault="00543B3B" w:rsidP="00543B3B">
      <w:pPr>
        <w:pStyle w:val="Title"/>
        <w:keepNext/>
        <w:spacing w:before="560" w:after="200"/>
        <w:rPr>
          <w:rFonts w:eastAsia="Calibri"/>
          <w:color w:val="1F4D78"/>
          <w:sz w:val="28"/>
          <w:szCs w:val="28"/>
        </w:rPr>
      </w:pPr>
      <w:r w:rsidRPr="00AC3056">
        <w:rPr>
          <w:rFonts w:ascii="Times New Roman" w:eastAsia="Times New Roman" w:hAnsi="Times New Roman" w:cs="Times New Roman"/>
          <w:sz w:val="28"/>
          <w:szCs w:val="28"/>
        </w:rPr>
        <w:t>From Enrolment Parity to Academic Representation: Global Pathways in Higher Education Systems</w:t>
      </w:r>
    </w:p>
    <w:p w14:paraId="74B49AA5" w14:textId="339DEE39" w:rsidR="00B506C2" w:rsidRPr="00493381" w:rsidRDefault="00964985" w:rsidP="00B506C2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493381">
        <w:rPr>
          <w:rFonts w:asciiTheme="majorHAnsi" w:hAnsiTheme="majorHAnsi" w:cstheme="majorHAnsi"/>
          <w:b/>
          <w:bCs/>
          <w:color w:val="595959"/>
        </w:rPr>
        <w:t>Justice K.G.A. Boateng</w:t>
      </w:r>
      <w:r w:rsidRPr="00493381">
        <w:rPr>
          <w:rFonts w:asciiTheme="majorHAnsi" w:hAnsiTheme="majorHAnsi" w:cstheme="majorHAnsi"/>
          <w:b/>
          <w:bCs/>
          <w:color w:val="595959"/>
          <w:vertAlign w:val="superscript"/>
        </w:rPr>
        <w:t>1</w:t>
      </w:r>
      <w:r w:rsidRPr="00493381">
        <w:rPr>
          <w:rFonts w:asciiTheme="majorHAnsi" w:hAnsiTheme="majorHAnsi" w:cstheme="majorHAnsi"/>
          <w:b/>
          <w:bCs/>
          <w:color w:val="595959"/>
        </w:rPr>
        <w:t xml:space="preserve">, </w:t>
      </w:r>
      <w:r w:rsidR="00B506C2" w:rsidRPr="00493381">
        <w:rPr>
          <w:rFonts w:asciiTheme="majorHAnsi" w:hAnsiTheme="majorHAnsi" w:cstheme="majorHAnsi"/>
          <w:b/>
          <w:bCs/>
        </w:rPr>
        <w:t>Andrew Kwesi Deroy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>2</w:t>
      </w:r>
      <w:r w:rsidR="00B506C2" w:rsidRPr="00493381">
        <w:rPr>
          <w:rFonts w:asciiTheme="majorHAnsi" w:hAnsiTheme="majorHAnsi" w:cstheme="majorHAnsi"/>
          <w:b/>
          <w:bCs/>
        </w:rPr>
        <w:t>, Daisy Ofosuhene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>3</w:t>
      </w:r>
      <w:r w:rsidR="00B506C2" w:rsidRPr="00493381">
        <w:rPr>
          <w:rFonts w:asciiTheme="majorHAnsi" w:hAnsiTheme="majorHAnsi" w:cstheme="majorHAnsi"/>
          <w:b/>
          <w:bCs/>
        </w:rPr>
        <w:t>, Dorothy Amfo-Antiri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>4</w:t>
      </w:r>
      <w:r w:rsidR="00B506C2" w:rsidRPr="00493381">
        <w:rPr>
          <w:rFonts w:asciiTheme="majorHAnsi" w:hAnsiTheme="majorHAnsi" w:cstheme="majorHAnsi"/>
          <w:b/>
          <w:bCs/>
        </w:rPr>
        <w:t>, Emmanuel Arthur-Nyarko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>5</w:t>
      </w:r>
      <w:r w:rsidR="00B506C2" w:rsidRPr="00493381">
        <w:rPr>
          <w:rFonts w:asciiTheme="majorHAnsi" w:hAnsiTheme="majorHAnsi" w:cstheme="majorHAnsi"/>
          <w:b/>
          <w:bCs/>
        </w:rPr>
        <w:t>, Priscilla Boafowaa Oppong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>6</w:t>
      </w:r>
      <w:r w:rsidR="00B506C2" w:rsidRPr="00493381">
        <w:rPr>
          <w:rFonts w:asciiTheme="majorHAnsi" w:hAnsiTheme="majorHAnsi" w:cstheme="majorHAnsi"/>
          <w:b/>
          <w:bCs/>
          <w:vertAlign w:val="superscript"/>
        </w:rPr>
        <w:t xml:space="preserve"> </w:t>
      </w:r>
    </w:p>
    <w:p w14:paraId="7C26880D" w14:textId="3010E0FA" w:rsidR="00496C9C" w:rsidRPr="00493381" w:rsidRDefault="00B506C2" w:rsidP="00B506C2">
      <w:pPr>
        <w:pStyle w:val="Subtitle"/>
        <w:jc w:val="left"/>
        <w:rPr>
          <w:rFonts w:eastAsia="Times New Roman" w:cstheme="majorHAnsi"/>
          <w:b/>
          <w:bCs/>
          <w:color w:val="595959"/>
        </w:rPr>
      </w:pPr>
      <w:r w:rsidRPr="00493381">
        <w:rPr>
          <w:rFonts w:eastAsia="Times New Roman" w:cstheme="majorHAnsi"/>
          <w:b/>
          <w:bCs/>
          <w:color w:val="595959"/>
        </w:rPr>
        <w:t xml:space="preserve">1Department of Education </w:t>
      </w:r>
      <w:proofErr w:type="spellStart"/>
      <w:r w:rsidRPr="00493381">
        <w:rPr>
          <w:rFonts w:eastAsia="Times New Roman" w:cstheme="majorHAnsi"/>
          <w:b/>
          <w:bCs/>
          <w:color w:val="595959"/>
        </w:rPr>
        <w:t>Programmmes</w:t>
      </w:r>
      <w:proofErr w:type="spellEnd"/>
      <w:r w:rsidRPr="00493381">
        <w:rPr>
          <w:rFonts w:eastAsia="Times New Roman" w:cstheme="majorHAnsi"/>
          <w:b/>
          <w:bCs/>
          <w:color w:val="595959"/>
        </w:rPr>
        <w:t>, College of Distance Education, University of Cape Coast, Cape Coast, Ghana</w:t>
      </w:r>
    </w:p>
    <w:p w14:paraId="0EDA630D" w14:textId="40B21F68" w:rsidR="00B506C2" w:rsidRPr="00493381" w:rsidRDefault="00B506C2" w:rsidP="00493381">
      <w:pPr>
        <w:spacing w:after="0"/>
        <w:rPr>
          <w:rFonts w:asciiTheme="majorHAnsi" w:hAnsiTheme="majorHAnsi" w:cstheme="majorHAnsi"/>
          <w:b/>
          <w:bCs/>
        </w:rPr>
      </w:pPr>
      <w:r w:rsidRPr="00493381">
        <w:rPr>
          <w:rFonts w:asciiTheme="majorHAnsi" w:hAnsiTheme="majorHAnsi" w:cstheme="majorHAnsi"/>
          <w:b/>
          <w:bCs/>
        </w:rPr>
        <w:t xml:space="preserve">2 </w:t>
      </w:r>
      <w:r w:rsidRPr="00493381">
        <w:rPr>
          <w:rFonts w:asciiTheme="majorHAnsi" w:hAnsiTheme="majorHAnsi" w:cstheme="majorHAnsi"/>
          <w:b/>
          <w:bCs/>
        </w:rPr>
        <w:t>Training and Development Section</w:t>
      </w:r>
      <w:r w:rsidRPr="00493381">
        <w:rPr>
          <w:rFonts w:asciiTheme="majorHAnsi" w:hAnsiTheme="majorHAnsi" w:cstheme="majorHAnsi"/>
          <w:b/>
          <w:bCs/>
        </w:rPr>
        <w:t xml:space="preserve">, </w:t>
      </w:r>
      <w:r w:rsidRPr="00493381">
        <w:rPr>
          <w:rFonts w:asciiTheme="majorHAnsi" w:hAnsiTheme="majorHAnsi" w:cstheme="majorHAnsi"/>
          <w:b/>
          <w:bCs/>
        </w:rPr>
        <w:t xml:space="preserve">University of Media, Arts and </w:t>
      </w:r>
      <w:proofErr w:type="gramStart"/>
      <w:r w:rsidRPr="00493381">
        <w:rPr>
          <w:rFonts w:asciiTheme="majorHAnsi" w:hAnsiTheme="majorHAnsi" w:cstheme="majorHAnsi"/>
          <w:b/>
          <w:bCs/>
        </w:rPr>
        <w:t>Communication</w:t>
      </w:r>
      <w:r w:rsidRPr="00493381">
        <w:rPr>
          <w:rFonts w:asciiTheme="majorHAnsi" w:hAnsiTheme="majorHAnsi" w:cstheme="majorHAnsi"/>
          <w:b/>
          <w:bCs/>
        </w:rPr>
        <w:t xml:space="preserve">, </w:t>
      </w:r>
      <w:r w:rsidRPr="00493381">
        <w:rPr>
          <w:rFonts w:asciiTheme="majorHAnsi" w:hAnsiTheme="majorHAnsi" w:cstheme="majorHAnsi"/>
          <w:b/>
          <w:bCs/>
        </w:rPr>
        <w:t xml:space="preserve"> </w:t>
      </w:r>
      <w:r w:rsidRPr="00493381">
        <w:rPr>
          <w:rFonts w:asciiTheme="majorHAnsi" w:hAnsiTheme="majorHAnsi" w:cstheme="majorHAnsi"/>
          <w:b/>
          <w:bCs/>
        </w:rPr>
        <w:t>Accra</w:t>
      </w:r>
      <w:proofErr w:type="gramEnd"/>
      <w:r w:rsidRPr="00493381">
        <w:rPr>
          <w:rFonts w:asciiTheme="majorHAnsi" w:hAnsiTheme="majorHAnsi" w:cstheme="majorHAnsi"/>
          <w:b/>
          <w:bCs/>
        </w:rPr>
        <w:t>, Ghana</w:t>
      </w:r>
    </w:p>
    <w:p w14:paraId="197CBD46" w14:textId="78444055" w:rsidR="00B506C2" w:rsidRPr="00493381" w:rsidRDefault="00B506C2" w:rsidP="00493381">
      <w:pPr>
        <w:spacing w:after="0"/>
        <w:rPr>
          <w:rFonts w:asciiTheme="majorHAnsi" w:hAnsiTheme="majorHAnsi" w:cstheme="majorHAnsi"/>
          <w:b/>
          <w:bCs/>
        </w:rPr>
      </w:pPr>
      <w:r w:rsidRPr="00493381">
        <w:rPr>
          <w:rFonts w:asciiTheme="majorHAnsi" w:hAnsiTheme="majorHAnsi" w:cstheme="majorHAnsi"/>
          <w:b/>
          <w:bCs/>
        </w:rPr>
        <w:t xml:space="preserve">3 Department </w:t>
      </w:r>
      <w:r w:rsidRPr="00493381">
        <w:rPr>
          <w:rFonts w:asciiTheme="majorHAnsi" w:hAnsiTheme="majorHAnsi" w:cstheme="majorHAnsi"/>
          <w:b/>
          <w:bCs/>
          <w:color w:val="595959"/>
        </w:rPr>
        <w:t xml:space="preserve">of </w:t>
      </w:r>
      <w:r w:rsidRPr="00493381">
        <w:rPr>
          <w:rFonts w:asciiTheme="majorHAnsi" w:hAnsiTheme="majorHAnsi" w:cstheme="majorHAnsi"/>
          <w:b/>
          <w:bCs/>
          <w:color w:val="595959"/>
        </w:rPr>
        <w:t>Business</w:t>
      </w:r>
      <w:r w:rsidRPr="00493381">
        <w:rPr>
          <w:rFonts w:asciiTheme="majorHAnsi" w:hAnsiTheme="majorHAnsi" w:cstheme="majorHAnsi"/>
          <w:b/>
          <w:bCs/>
          <w:color w:val="595959"/>
        </w:rPr>
        <w:t xml:space="preserve"> </w:t>
      </w:r>
      <w:proofErr w:type="spellStart"/>
      <w:r w:rsidRPr="00493381">
        <w:rPr>
          <w:rFonts w:asciiTheme="majorHAnsi" w:hAnsiTheme="majorHAnsi" w:cstheme="majorHAnsi"/>
          <w:b/>
          <w:bCs/>
          <w:color w:val="595959"/>
        </w:rPr>
        <w:t>Programmmes</w:t>
      </w:r>
      <w:proofErr w:type="spellEnd"/>
      <w:r w:rsidRPr="00493381">
        <w:rPr>
          <w:rFonts w:asciiTheme="majorHAnsi" w:hAnsiTheme="majorHAnsi" w:cstheme="majorHAnsi"/>
          <w:b/>
          <w:bCs/>
          <w:color w:val="595959"/>
        </w:rPr>
        <w:t>, College of Distance Education, University of Cape Coast, Cape Coast, Ghana</w:t>
      </w:r>
    </w:p>
    <w:p w14:paraId="45748602" w14:textId="7E1FB051" w:rsidR="00B506C2" w:rsidRPr="00493381" w:rsidRDefault="00493381" w:rsidP="00B506C2">
      <w:pPr>
        <w:rPr>
          <w:rFonts w:asciiTheme="majorHAnsi" w:hAnsiTheme="majorHAnsi" w:cstheme="majorHAnsi"/>
          <w:b/>
          <w:bCs/>
        </w:rPr>
      </w:pPr>
      <w:r w:rsidRPr="00493381">
        <w:rPr>
          <w:rFonts w:asciiTheme="majorHAnsi" w:hAnsiTheme="majorHAnsi" w:cstheme="majorHAnsi"/>
          <w:b/>
          <w:bCs/>
        </w:rPr>
        <w:t>4 Department of Human Resource Management, University of Cape Coast, Cape Coast, Ghana</w:t>
      </w:r>
    </w:p>
    <w:p w14:paraId="03453CD2" w14:textId="62643F5B" w:rsidR="00493381" w:rsidRPr="00493381" w:rsidRDefault="00493381" w:rsidP="00B506C2">
      <w:pPr>
        <w:rPr>
          <w:rFonts w:asciiTheme="majorHAnsi" w:hAnsiTheme="majorHAnsi" w:cstheme="majorHAnsi"/>
          <w:b/>
          <w:bCs/>
          <w:color w:val="595959"/>
        </w:rPr>
      </w:pPr>
      <w:r w:rsidRPr="00493381">
        <w:rPr>
          <w:rFonts w:asciiTheme="majorHAnsi" w:hAnsiTheme="majorHAnsi" w:cstheme="majorHAnsi"/>
          <w:b/>
          <w:bCs/>
        </w:rPr>
        <w:t xml:space="preserve">5 Department of </w:t>
      </w:r>
      <w:proofErr w:type="spellStart"/>
      <w:r w:rsidRPr="00493381">
        <w:rPr>
          <w:rFonts w:asciiTheme="majorHAnsi" w:hAnsiTheme="majorHAnsi" w:cstheme="majorHAnsi"/>
          <w:b/>
          <w:bCs/>
          <w:color w:val="595959"/>
        </w:rPr>
        <w:t>Maths</w:t>
      </w:r>
      <w:proofErr w:type="spellEnd"/>
      <w:r w:rsidRPr="00493381">
        <w:rPr>
          <w:rFonts w:asciiTheme="majorHAnsi" w:hAnsiTheme="majorHAnsi" w:cstheme="majorHAnsi"/>
          <w:b/>
          <w:bCs/>
          <w:color w:val="595959"/>
        </w:rPr>
        <w:t xml:space="preserve"> and Science</w:t>
      </w:r>
      <w:r w:rsidRPr="00493381">
        <w:rPr>
          <w:rFonts w:asciiTheme="majorHAnsi" w:hAnsiTheme="majorHAnsi" w:cstheme="majorHAnsi"/>
          <w:b/>
          <w:bCs/>
          <w:color w:val="595959"/>
        </w:rPr>
        <w:t xml:space="preserve"> </w:t>
      </w:r>
      <w:proofErr w:type="spellStart"/>
      <w:r w:rsidRPr="00493381">
        <w:rPr>
          <w:rFonts w:asciiTheme="majorHAnsi" w:hAnsiTheme="majorHAnsi" w:cstheme="majorHAnsi"/>
          <w:b/>
          <w:bCs/>
          <w:color w:val="595959"/>
        </w:rPr>
        <w:t>Programmmes</w:t>
      </w:r>
      <w:proofErr w:type="spellEnd"/>
      <w:r w:rsidRPr="00493381">
        <w:rPr>
          <w:rFonts w:asciiTheme="majorHAnsi" w:hAnsiTheme="majorHAnsi" w:cstheme="majorHAnsi"/>
          <w:b/>
          <w:bCs/>
          <w:color w:val="595959"/>
        </w:rPr>
        <w:t>, College of Distance Education, University of Cape Coast, Cape Coast, Ghana</w:t>
      </w:r>
    </w:p>
    <w:p w14:paraId="27210436" w14:textId="2EE3648C" w:rsidR="00493381" w:rsidRPr="00493381" w:rsidRDefault="00493381" w:rsidP="00B506C2">
      <w:pPr>
        <w:rPr>
          <w:rFonts w:asciiTheme="majorHAnsi" w:hAnsiTheme="majorHAnsi" w:cstheme="majorHAnsi"/>
          <w:b/>
          <w:bCs/>
        </w:rPr>
      </w:pPr>
      <w:r w:rsidRPr="00493381">
        <w:rPr>
          <w:rFonts w:asciiTheme="majorHAnsi" w:hAnsiTheme="majorHAnsi" w:cstheme="majorHAnsi"/>
          <w:b/>
          <w:bCs/>
          <w:color w:val="595959"/>
        </w:rPr>
        <w:t>6 Department of Marketing and Supply Chain Management, University of Cape Coast, Cape Coast, Ghana</w:t>
      </w:r>
    </w:p>
    <w:p w14:paraId="6D3E524E" w14:textId="38143FB3" w:rsidR="00496C9C" w:rsidRPr="00493381" w:rsidRDefault="00000000">
      <w:pPr>
        <w:pStyle w:val="Subtitle"/>
        <w:rPr>
          <w:rFonts w:cstheme="majorHAnsi"/>
          <w:b/>
          <w:bCs/>
        </w:rPr>
      </w:pPr>
      <w:r w:rsidRPr="00493381">
        <w:rPr>
          <w:rFonts w:eastAsia="Times New Roman" w:cstheme="majorHAnsi"/>
          <w:b/>
          <w:bCs/>
          <w:color w:val="595959"/>
        </w:rPr>
        <w:t xml:space="preserve">Corresponding author: </w:t>
      </w:r>
      <w:r w:rsidR="00493381" w:rsidRPr="00493381">
        <w:rPr>
          <w:rFonts w:eastAsia="Times New Roman" w:cstheme="majorHAnsi"/>
          <w:b/>
          <w:bCs/>
          <w:color w:val="595959"/>
        </w:rPr>
        <w:t>Justice K.G.A. Boaten</w:t>
      </w:r>
      <w:r w:rsidR="00493381" w:rsidRPr="00493381">
        <w:rPr>
          <w:rFonts w:eastAsia="Times New Roman" w:cstheme="majorHAnsi"/>
          <w:b/>
          <w:bCs/>
          <w:color w:val="595959"/>
        </w:rPr>
        <w:t xml:space="preserve">g, </w:t>
      </w:r>
      <w:hyperlink r:id="rId8" w:history="1">
        <w:r w:rsidR="00493381" w:rsidRPr="00493381">
          <w:rPr>
            <w:rStyle w:val="Hyperlink"/>
            <w:rFonts w:eastAsia="Times New Roman" w:cstheme="majorHAnsi"/>
            <w:b/>
            <w:bCs/>
          </w:rPr>
          <w:t>aboateng@ucc.edu.gh</w:t>
        </w:r>
      </w:hyperlink>
      <w:r w:rsidR="00493381" w:rsidRPr="00493381">
        <w:rPr>
          <w:rFonts w:eastAsia="Times New Roman" w:cstheme="majorHAnsi"/>
          <w:b/>
          <w:bCs/>
          <w:color w:val="595959"/>
        </w:rPr>
        <w:t xml:space="preserve"> </w:t>
      </w:r>
    </w:p>
    <w:p w14:paraId="3FFC8F39" w14:textId="436295A9" w:rsidR="00493381" w:rsidRPr="00493381" w:rsidRDefault="00493381" w:rsidP="00493381">
      <w:pPr>
        <w:pStyle w:val="Subtitle"/>
        <w:rPr>
          <w:rFonts w:cstheme="majorHAnsi"/>
          <w:b/>
          <w:bCs/>
          <w:lang w:val="en-GH"/>
        </w:rPr>
      </w:pPr>
      <w:hyperlink r:id="rId9" w:history="1">
        <w:r w:rsidRPr="00493381">
          <w:rPr>
            <w:rStyle w:val="Hyperlink"/>
            <w:rFonts w:cstheme="majorHAnsi"/>
            <w:b/>
            <w:bCs/>
            <w:lang w:val="en-GH"/>
          </w:rPr>
          <w:t>https://orcid.org/0009-0002-1609-872X</w:t>
        </w:r>
      </w:hyperlink>
      <w:r w:rsidRPr="00493381">
        <w:rPr>
          <w:rFonts w:cstheme="majorHAnsi"/>
          <w:b/>
          <w:bCs/>
          <w:lang w:val="en-GH"/>
        </w:rPr>
        <w:t xml:space="preserve"> </w:t>
      </w:r>
    </w:p>
    <w:p w14:paraId="0AE876A5" w14:textId="237CA5C0" w:rsidR="00496C9C" w:rsidRDefault="00496C9C">
      <w:pPr>
        <w:pStyle w:val="Heading1"/>
        <w:keepNext/>
      </w:pPr>
      <w:r>
        <w:t>Supplementary Appendices</w:t>
      </w:r>
    </w:p>
    <w:p w14:paraId="131C589C" w14:textId="77777777" w:rsidR="004777D0" w:rsidRPr="00BC7B9C" w:rsidRDefault="004777D0" w:rsidP="00713F0A">
      <w:pPr>
        <w:keepNext/>
        <w:spacing w:before="560" w:after="200"/>
        <w:jc w:val="center"/>
        <w:rPr>
          <w:sz w:val="28"/>
          <w:szCs w:val="28"/>
        </w:rPr>
      </w:pPr>
    </w:p>
    <w:p w14:paraId="0F252301" w14:textId="77777777" w:rsidR="004D5ECC" w:rsidRDefault="00691727">
      <w:pPr>
        <w:pStyle w:val="Heading1"/>
        <w:pageBreakBefore/>
      </w:pPr>
      <w:r>
        <w:rPr>
          <w:rFonts w:ascii="Times New Roman" w:eastAsia="Times New Roman" w:hAnsi="Times New Roman" w:cs="Times New Roman"/>
        </w:rPr>
        <w:lastRenderedPageBreak/>
        <w:t>Appendix A. Measures and model details</w:t>
      </w:r>
    </w:p>
    <w:p w14:paraId="1EBC8F31" w14:textId="77777777" w:rsidR="004D5ECC" w:rsidRDefault="00691727">
      <w:pPr>
        <w:pStyle w:val="TableCaption"/>
      </w:pPr>
      <w:r>
        <w:rPr>
          <w:b/>
        </w:rPr>
        <w:t>Table A1</w:t>
      </w:r>
      <w:r>
        <w:t xml:space="preserve"> Variables and operational definitions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20"/>
        <w:gridCol w:w="2160"/>
        <w:gridCol w:w="4080"/>
        <w:gridCol w:w="1200"/>
      </w:tblGrid>
      <w:tr w:rsidR="004D5ECC" w14:paraId="1CA9EFED" w14:textId="77777777">
        <w:trPr>
          <w:cantSplit/>
          <w:tblHeader/>
        </w:trPr>
        <w:tc>
          <w:tcPr>
            <w:tcW w:w="192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E1C9F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Construct</w:t>
            </w:r>
          </w:p>
        </w:tc>
        <w:tc>
          <w:tcPr>
            <w:tcW w:w="21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2CE716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WDI code</w:t>
            </w:r>
          </w:p>
        </w:tc>
        <w:tc>
          <w:tcPr>
            <w:tcW w:w="408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A2356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Operational definition</w:t>
            </w:r>
          </w:p>
        </w:tc>
        <w:tc>
          <w:tcPr>
            <w:tcW w:w="120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A8D42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Use</w:t>
            </w:r>
          </w:p>
        </w:tc>
      </w:tr>
      <w:tr w:rsidR="004D5ECC" w14:paraId="0644E51B" w14:textId="77777777">
        <w:trPr>
          <w:cantSplit/>
        </w:trPr>
        <w:tc>
          <w:tcPr>
            <w:tcW w:w="1920" w:type="dxa"/>
            <w:vAlign w:val="center"/>
          </w:tcPr>
          <w:p w14:paraId="3E660D7F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Primary enrolment GPI</w:t>
            </w:r>
          </w:p>
        </w:tc>
        <w:tc>
          <w:tcPr>
            <w:tcW w:w="2160" w:type="dxa"/>
            <w:vAlign w:val="center"/>
          </w:tcPr>
          <w:p w14:paraId="6C20960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SE.ENR.PRIM.FM.ZS</w:t>
            </w:r>
          </w:p>
        </w:tc>
        <w:tc>
          <w:tcPr>
            <w:tcW w:w="4080" w:type="dxa"/>
            <w:vAlign w:val="center"/>
          </w:tcPr>
          <w:p w14:paraId="3928830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gross enrolment ratio divided by male gross enrolment ratio.</w:t>
            </w:r>
          </w:p>
        </w:tc>
        <w:tc>
          <w:tcPr>
            <w:tcW w:w="1200" w:type="dxa"/>
            <w:vAlign w:val="center"/>
          </w:tcPr>
          <w:p w14:paraId="6237806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Pathway</w:t>
            </w:r>
          </w:p>
        </w:tc>
      </w:tr>
      <w:tr w:rsidR="004D5ECC" w14:paraId="5045ECFE" w14:textId="77777777">
        <w:trPr>
          <w:cantSplit/>
        </w:trPr>
        <w:tc>
          <w:tcPr>
            <w:tcW w:w="1920" w:type="dxa"/>
            <w:vAlign w:val="center"/>
          </w:tcPr>
          <w:p w14:paraId="1C15E47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Secondary enrolment GPI</w:t>
            </w:r>
          </w:p>
        </w:tc>
        <w:tc>
          <w:tcPr>
            <w:tcW w:w="2160" w:type="dxa"/>
            <w:vAlign w:val="center"/>
          </w:tcPr>
          <w:p w14:paraId="0EE9C6A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SE.ENR.SECO.FM.ZS</w:t>
            </w:r>
          </w:p>
        </w:tc>
        <w:tc>
          <w:tcPr>
            <w:tcW w:w="4080" w:type="dxa"/>
            <w:vAlign w:val="center"/>
          </w:tcPr>
          <w:p w14:paraId="3975C07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gross enrolment ratio divided by male gross enrolment ratio.</w:t>
            </w:r>
          </w:p>
        </w:tc>
        <w:tc>
          <w:tcPr>
            <w:tcW w:w="1200" w:type="dxa"/>
            <w:vAlign w:val="center"/>
          </w:tcPr>
          <w:p w14:paraId="756574FC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Pathway</w:t>
            </w:r>
          </w:p>
        </w:tc>
      </w:tr>
      <w:tr w:rsidR="004D5ECC" w14:paraId="1B5BA494" w14:textId="77777777">
        <w:trPr>
          <w:cantSplit/>
        </w:trPr>
        <w:tc>
          <w:tcPr>
            <w:tcW w:w="1920" w:type="dxa"/>
            <w:vAlign w:val="center"/>
          </w:tcPr>
          <w:p w14:paraId="25A1B97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Tertiary enrolment GPI</w:t>
            </w:r>
          </w:p>
        </w:tc>
        <w:tc>
          <w:tcPr>
            <w:tcW w:w="2160" w:type="dxa"/>
            <w:vAlign w:val="center"/>
          </w:tcPr>
          <w:p w14:paraId="485416D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SE.ENR.TERT.FM.ZS</w:t>
            </w:r>
          </w:p>
        </w:tc>
        <w:tc>
          <w:tcPr>
            <w:tcW w:w="4080" w:type="dxa"/>
            <w:vAlign w:val="center"/>
          </w:tcPr>
          <w:p w14:paraId="5CFD1A6F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gross enrolment ratio divided by male gross enrolment ratio.</w:t>
            </w:r>
          </w:p>
        </w:tc>
        <w:tc>
          <w:tcPr>
            <w:tcW w:w="1200" w:type="dxa"/>
            <w:vAlign w:val="center"/>
          </w:tcPr>
          <w:p w14:paraId="74EBF67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Pathway / focal</w:t>
            </w:r>
          </w:p>
        </w:tc>
      </w:tr>
      <w:tr w:rsidR="004D5ECC" w14:paraId="60D192DC" w14:textId="77777777">
        <w:trPr>
          <w:cantSplit/>
        </w:trPr>
        <w:tc>
          <w:tcPr>
            <w:tcW w:w="1920" w:type="dxa"/>
            <w:vAlign w:val="center"/>
          </w:tcPr>
          <w:p w14:paraId="25C577C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academic staff</w:t>
            </w:r>
          </w:p>
        </w:tc>
        <w:tc>
          <w:tcPr>
            <w:tcW w:w="2160" w:type="dxa"/>
            <w:vAlign w:val="center"/>
          </w:tcPr>
          <w:p w14:paraId="239158C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SE.TER.TCHR.</w:t>
            </w:r>
            <w:proofErr w:type="gramStart"/>
            <w:r>
              <w:rPr>
                <w:sz w:val="17"/>
              </w:rPr>
              <w:t>FE.ZS</w:t>
            </w:r>
            <w:proofErr w:type="gramEnd"/>
          </w:p>
        </w:tc>
        <w:tc>
          <w:tcPr>
            <w:tcW w:w="4080" w:type="dxa"/>
            <w:vAlign w:val="center"/>
          </w:tcPr>
          <w:p w14:paraId="1A0870D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Women as a percentage of tertiary academic staff.</w:t>
            </w:r>
          </w:p>
        </w:tc>
        <w:tc>
          <w:tcPr>
            <w:tcW w:w="1200" w:type="dxa"/>
            <w:vAlign w:val="center"/>
          </w:tcPr>
          <w:p w14:paraId="50DD9CB4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Outcome</w:t>
            </w:r>
          </w:p>
        </w:tc>
      </w:tr>
      <w:tr w:rsidR="004D5ECC" w14:paraId="66864BDA" w14:textId="77777777">
        <w:trPr>
          <w:cantSplit/>
        </w:trPr>
        <w:tc>
          <w:tcPr>
            <w:tcW w:w="1920" w:type="dxa"/>
            <w:vAlign w:val="center"/>
          </w:tcPr>
          <w:p w14:paraId="62FBEA3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Academic staff GPI</w:t>
            </w:r>
          </w:p>
        </w:tc>
        <w:tc>
          <w:tcPr>
            <w:tcW w:w="2160" w:type="dxa"/>
            <w:vAlign w:val="center"/>
          </w:tcPr>
          <w:p w14:paraId="7555608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Derived</w:t>
            </w:r>
          </w:p>
        </w:tc>
        <w:tc>
          <w:tcPr>
            <w:tcW w:w="4080" w:type="dxa"/>
            <w:vAlign w:val="center"/>
          </w:tcPr>
          <w:p w14:paraId="6765E4E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staff share divided by male staff share.</w:t>
            </w:r>
          </w:p>
        </w:tc>
        <w:tc>
          <w:tcPr>
            <w:tcW w:w="1200" w:type="dxa"/>
            <w:vAlign w:val="center"/>
          </w:tcPr>
          <w:p w14:paraId="4B0A55B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Pathway</w:t>
            </w:r>
          </w:p>
        </w:tc>
      </w:tr>
      <w:tr w:rsidR="004D5ECC" w14:paraId="3B14131B" w14:textId="77777777">
        <w:trPr>
          <w:cantSplit/>
        </w:trPr>
        <w:tc>
          <w:tcPr>
            <w:tcW w:w="1920" w:type="dxa"/>
            <w:vAlign w:val="center"/>
          </w:tcPr>
          <w:p w14:paraId="4918E14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Tertiary benchmark</w:t>
            </w:r>
          </w:p>
        </w:tc>
        <w:tc>
          <w:tcPr>
            <w:tcW w:w="2160" w:type="dxa"/>
            <w:vAlign w:val="center"/>
          </w:tcPr>
          <w:p w14:paraId="5A866C8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Derived</w:t>
            </w:r>
          </w:p>
        </w:tc>
        <w:tc>
          <w:tcPr>
            <w:tcW w:w="4080" w:type="dxa"/>
            <w:vAlign w:val="center"/>
          </w:tcPr>
          <w:p w14:paraId="71FD6E4C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100 × tertiary GPI / (1 + tertiary GPI).</w:t>
            </w:r>
          </w:p>
        </w:tc>
        <w:tc>
          <w:tcPr>
            <w:tcW w:w="1200" w:type="dxa"/>
            <w:vAlign w:val="center"/>
          </w:tcPr>
          <w:p w14:paraId="227D46D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Focal predictor</w:t>
            </w:r>
          </w:p>
        </w:tc>
      </w:tr>
      <w:tr w:rsidR="004D5ECC" w14:paraId="39646C4B" w14:textId="77777777">
        <w:trPr>
          <w:cantSplit/>
        </w:trPr>
        <w:tc>
          <w:tcPr>
            <w:tcW w:w="1920" w:type="dxa"/>
            <w:vAlign w:val="center"/>
          </w:tcPr>
          <w:p w14:paraId="0C2DBA9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Conversion gap</w:t>
            </w:r>
          </w:p>
        </w:tc>
        <w:tc>
          <w:tcPr>
            <w:tcW w:w="2160" w:type="dxa"/>
            <w:vAlign w:val="center"/>
          </w:tcPr>
          <w:p w14:paraId="515C0D25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Derived</w:t>
            </w:r>
          </w:p>
        </w:tc>
        <w:tc>
          <w:tcPr>
            <w:tcW w:w="4080" w:type="dxa"/>
            <w:vAlign w:val="center"/>
          </w:tcPr>
          <w:p w14:paraId="5371198F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staff percentage minus tertiary benchmark.</w:t>
            </w:r>
          </w:p>
        </w:tc>
        <w:tc>
          <w:tcPr>
            <w:tcW w:w="1200" w:type="dxa"/>
            <w:vAlign w:val="center"/>
          </w:tcPr>
          <w:p w14:paraId="34EE69F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Descriptive</w:t>
            </w:r>
          </w:p>
        </w:tc>
      </w:tr>
      <w:tr w:rsidR="004D5ECC" w14:paraId="4DB45328" w14:textId="77777777">
        <w:trPr>
          <w:cantSplit/>
        </w:trPr>
        <w:tc>
          <w:tcPr>
            <w:tcW w:w="1920" w:type="dxa"/>
            <w:vAlign w:val="center"/>
          </w:tcPr>
          <w:p w14:paraId="5C9B563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Tertiary GER</w:t>
            </w:r>
          </w:p>
        </w:tc>
        <w:tc>
          <w:tcPr>
            <w:tcW w:w="2160" w:type="dxa"/>
            <w:vAlign w:val="center"/>
          </w:tcPr>
          <w:p w14:paraId="4E47FF3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SE.TER.ENRR</w:t>
            </w:r>
          </w:p>
        </w:tc>
        <w:tc>
          <w:tcPr>
            <w:tcW w:w="4080" w:type="dxa"/>
            <w:vAlign w:val="center"/>
          </w:tcPr>
          <w:p w14:paraId="3B17668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Total tertiary gross enrolment ratio (%).</w:t>
            </w:r>
          </w:p>
        </w:tc>
        <w:tc>
          <w:tcPr>
            <w:tcW w:w="1200" w:type="dxa"/>
            <w:vAlign w:val="center"/>
          </w:tcPr>
          <w:p w14:paraId="0BC6338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Control</w:t>
            </w:r>
          </w:p>
        </w:tc>
      </w:tr>
      <w:tr w:rsidR="004D5ECC" w14:paraId="49CC8263" w14:textId="77777777">
        <w:trPr>
          <w:cantSplit/>
        </w:trPr>
        <w:tc>
          <w:tcPr>
            <w:tcW w:w="1920" w:type="dxa"/>
            <w:vAlign w:val="center"/>
          </w:tcPr>
          <w:p w14:paraId="19E7027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Education expenditure</w:t>
            </w:r>
          </w:p>
        </w:tc>
        <w:tc>
          <w:tcPr>
            <w:tcW w:w="2160" w:type="dxa"/>
            <w:vAlign w:val="center"/>
          </w:tcPr>
          <w:p w14:paraId="4E558BE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SE.XPD.TOTL.GD.ZS</w:t>
            </w:r>
          </w:p>
        </w:tc>
        <w:tc>
          <w:tcPr>
            <w:tcW w:w="4080" w:type="dxa"/>
            <w:vAlign w:val="center"/>
          </w:tcPr>
          <w:p w14:paraId="42E426F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 xml:space="preserve">Government education expenditure </w:t>
            </w:r>
            <w:proofErr w:type="gramStart"/>
            <w:r>
              <w:rPr>
                <w:sz w:val="17"/>
              </w:rPr>
              <w:t>as</w:t>
            </w:r>
            <w:proofErr w:type="gramEnd"/>
            <w:r>
              <w:rPr>
                <w:sz w:val="17"/>
              </w:rPr>
              <w:t xml:space="preserve"> % of GDP.</w:t>
            </w:r>
          </w:p>
        </w:tc>
        <w:tc>
          <w:tcPr>
            <w:tcW w:w="1200" w:type="dxa"/>
            <w:vAlign w:val="center"/>
          </w:tcPr>
          <w:p w14:paraId="45B848C5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Control</w:t>
            </w:r>
          </w:p>
        </w:tc>
      </w:tr>
      <w:tr w:rsidR="004D5ECC" w14:paraId="61150D6C" w14:textId="77777777">
        <w:trPr>
          <w:cantSplit/>
        </w:trPr>
        <w:tc>
          <w:tcPr>
            <w:tcW w:w="1920" w:type="dxa"/>
            <w:vAlign w:val="center"/>
          </w:tcPr>
          <w:p w14:paraId="45B2DB1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labour-force share</w:t>
            </w:r>
          </w:p>
        </w:tc>
        <w:tc>
          <w:tcPr>
            <w:tcW w:w="2160" w:type="dxa"/>
            <w:vAlign w:val="center"/>
          </w:tcPr>
          <w:p w14:paraId="798CEED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SL.TLF.TOTL.</w:t>
            </w:r>
            <w:proofErr w:type="gramStart"/>
            <w:r>
              <w:rPr>
                <w:sz w:val="17"/>
              </w:rPr>
              <w:t>FE.ZS</w:t>
            </w:r>
            <w:proofErr w:type="gramEnd"/>
          </w:p>
        </w:tc>
        <w:tc>
          <w:tcPr>
            <w:tcW w:w="4080" w:type="dxa"/>
            <w:vAlign w:val="center"/>
          </w:tcPr>
          <w:p w14:paraId="2EB4230C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Women as % of the total labour force.</w:t>
            </w:r>
          </w:p>
        </w:tc>
        <w:tc>
          <w:tcPr>
            <w:tcW w:w="1200" w:type="dxa"/>
            <w:vAlign w:val="center"/>
          </w:tcPr>
          <w:p w14:paraId="4FB154F5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Control</w:t>
            </w:r>
          </w:p>
        </w:tc>
      </w:tr>
      <w:tr w:rsidR="004D5ECC" w14:paraId="18FFD505" w14:textId="77777777">
        <w:trPr>
          <w:cantSplit/>
        </w:trPr>
        <w:tc>
          <w:tcPr>
            <w:tcW w:w="1920" w:type="dxa"/>
            <w:vAlign w:val="center"/>
          </w:tcPr>
          <w:p w14:paraId="7FB0E0F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Working-age population</w:t>
            </w:r>
          </w:p>
        </w:tc>
        <w:tc>
          <w:tcPr>
            <w:tcW w:w="2160" w:type="dxa"/>
            <w:vAlign w:val="center"/>
          </w:tcPr>
          <w:p w14:paraId="3FB26F4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SP.POP.1564.TO.ZS</w:t>
            </w:r>
          </w:p>
        </w:tc>
        <w:tc>
          <w:tcPr>
            <w:tcW w:w="4080" w:type="dxa"/>
            <w:vAlign w:val="center"/>
          </w:tcPr>
          <w:p w14:paraId="3B645FE5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Population aged 15–64 as % of total population.</w:t>
            </w:r>
          </w:p>
        </w:tc>
        <w:tc>
          <w:tcPr>
            <w:tcW w:w="1200" w:type="dxa"/>
            <w:vAlign w:val="center"/>
          </w:tcPr>
          <w:p w14:paraId="14BFB14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Control</w:t>
            </w:r>
          </w:p>
        </w:tc>
      </w:tr>
      <w:tr w:rsidR="004D5ECC" w14:paraId="6695CDAB" w14:textId="77777777">
        <w:trPr>
          <w:cantSplit/>
        </w:trPr>
        <w:tc>
          <w:tcPr>
            <w:tcW w:w="1920" w:type="dxa"/>
            <w:vAlign w:val="center"/>
          </w:tcPr>
          <w:p w14:paraId="299BE275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Unemployment gender gap</w:t>
            </w:r>
          </w:p>
        </w:tc>
        <w:tc>
          <w:tcPr>
            <w:tcW w:w="2160" w:type="dxa"/>
            <w:vAlign w:val="center"/>
          </w:tcPr>
          <w:p w14:paraId="5C4B5A7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Derived from SL.UEM.TOTL.</w:t>
            </w:r>
            <w:proofErr w:type="gramStart"/>
            <w:r>
              <w:rPr>
                <w:sz w:val="17"/>
              </w:rPr>
              <w:t>FE.ZS</w:t>
            </w:r>
            <w:proofErr w:type="gramEnd"/>
            <w:r>
              <w:rPr>
                <w:sz w:val="17"/>
              </w:rPr>
              <w:t xml:space="preserve"> and SL.UEM.TOTL.MA.ZS</w:t>
            </w:r>
          </w:p>
        </w:tc>
        <w:tc>
          <w:tcPr>
            <w:tcW w:w="4080" w:type="dxa"/>
            <w:vAlign w:val="center"/>
          </w:tcPr>
          <w:p w14:paraId="51DAC81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unemployment rate minus male unemployment rate.</w:t>
            </w:r>
          </w:p>
        </w:tc>
        <w:tc>
          <w:tcPr>
            <w:tcW w:w="1200" w:type="dxa"/>
            <w:vAlign w:val="center"/>
          </w:tcPr>
          <w:p w14:paraId="513B2F6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Control</w:t>
            </w:r>
          </w:p>
        </w:tc>
      </w:tr>
      <w:tr w:rsidR="004D5ECC" w14:paraId="09007B27" w14:textId="77777777">
        <w:trPr>
          <w:cantSplit/>
        </w:trPr>
        <w:tc>
          <w:tcPr>
            <w:tcW w:w="1920" w:type="dxa"/>
            <w:vAlign w:val="center"/>
          </w:tcPr>
          <w:p w14:paraId="1BFFF7C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Doctoral benchmark</w:t>
            </w:r>
          </w:p>
        </w:tc>
        <w:tc>
          <w:tcPr>
            <w:tcW w:w="2160" w:type="dxa"/>
            <w:vAlign w:val="center"/>
          </w:tcPr>
          <w:p w14:paraId="45D090C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 xml:space="preserve">Derived from </w:t>
            </w:r>
            <w:proofErr w:type="gramStart"/>
            <w:r>
              <w:rPr>
                <w:sz w:val="17"/>
              </w:rPr>
              <w:t>SE.TER.CUAT.DO.FE.ZS</w:t>
            </w:r>
            <w:proofErr w:type="gramEnd"/>
            <w:r>
              <w:rPr>
                <w:sz w:val="17"/>
              </w:rPr>
              <w:t xml:space="preserve"> and SE.TER.CUAT.DO.MA.ZS</w:t>
            </w:r>
          </w:p>
        </w:tc>
        <w:tc>
          <w:tcPr>
            <w:tcW w:w="4080" w:type="dxa"/>
            <w:vAlign w:val="center"/>
          </w:tcPr>
          <w:p w14:paraId="6D4E6706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100 × female doctoral attainment / sum of female and male attainment rates.</w:t>
            </w:r>
          </w:p>
        </w:tc>
        <w:tc>
          <w:tcPr>
            <w:tcW w:w="1200" w:type="dxa"/>
            <w:vAlign w:val="center"/>
          </w:tcPr>
          <w:p w14:paraId="73D3376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Extension</w:t>
            </w:r>
          </w:p>
        </w:tc>
      </w:tr>
    </w:tbl>
    <w:p w14:paraId="728144D5" w14:textId="77777777" w:rsidR="004D5ECC" w:rsidRDefault="00691727">
      <w:pPr>
        <w:pStyle w:val="TableNote"/>
      </w:pPr>
      <w:r>
        <w:t>Note. GER = gross enrolment ratio; GPI = gender parity index; WDI = World Development Indicators. Education measures are sourced by WDI mainly from UNESCO UIS.</w:t>
      </w:r>
    </w:p>
    <w:p w14:paraId="643A8C06" w14:textId="77777777" w:rsidR="004D5ECC" w:rsidRDefault="00691727">
      <w:pPr>
        <w:pStyle w:val="Heading1"/>
        <w:pageBreakBefore/>
      </w:pPr>
      <w:r>
        <w:rPr>
          <w:rFonts w:ascii="Times New Roman" w:eastAsia="Times New Roman" w:hAnsi="Times New Roman" w:cs="Times New Roman"/>
        </w:rPr>
        <w:lastRenderedPageBreak/>
        <w:t>Appendix B. Adjacent-period pathway transitions</w:t>
      </w:r>
    </w:p>
    <w:p w14:paraId="351AAAB5" w14:textId="77777777" w:rsidR="004D5ECC" w:rsidRDefault="00691727">
      <w:pPr>
        <w:pStyle w:val="TableCaption"/>
      </w:pPr>
      <w:r>
        <w:rPr>
          <w:b/>
        </w:rPr>
        <w:t>Table B1</w:t>
      </w:r>
      <w:r>
        <w:t xml:space="preserve"> Adjacent-period pathway transitions, row percentages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40"/>
        <w:gridCol w:w="1440"/>
        <w:gridCol w:w="1560"/>
        <w:gridCol w:w="1800"/>
        <w:gridCol w:w="840"/>
        <w:gridCol w:w="1080"/>
      </w:tblGrid>
      <w:tr w:rsidR="004D5ECC" w14:paraId="32C4E9BF" w14:textId="77777777">
        <w:trPr>
          <w:cantSplit/>
          <w:tblHeader/>
        </w:trPr>
        <w:tc>
          <w:tcPr>
            <w:tcW w:w="264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3A424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From pathway</w:t>
            </w:r>
          </w:p>
        </w:tc>
        <w:tc>
          <w:tcPr>
            <w:tcW w:w="144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CD05F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Academic bottleneck</w:t>
            </w:r>
          </w:p>
        </w:tc>
        <w:tc>
          <w:tcPr>
            <w:tcW w:w="15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29772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Cumulative disadvantage</w:t>
            </w:r>
          </w:p>
        </w:tc>
        <w:tc>
          <w:tcPr>
            <w:tcW w:w="180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8961A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Female advantage to workforce</w:t>
            </w:r>
          </w:p>
        </w:tc>
        <w:tc>
          <w:tcPr>
            <w:tcW w:w="84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34B4C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Mixed</w:t>
            </w:r>
          </w:p>
        </w:tc>
        <w:tc>
          <w:tcPr>
            <w:tcW w:w="108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C7302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Tertiary lag</w:t>
            </w:r>
          </w:p>
        </w:tc>
      </w:tr>
      <w:tr w:rsidR="004D5ECC" w14:paraId="56C7F639" w14:textId="77777777">
        <w:trPr>
          <w:cantSplit/>
        </w:trPr>
        <w:tc>
          <w:tcPr>
            <w:tcW w:w="2640" w:type="dxa"/>
            <w:vAlign w:val="center"/>
          </w:tcPr>
          <w:p w14:paraId="47480BF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Academic bottleneck</w:t>
            </w:r>
          </w:p>
        </w:tc>
        <w:tc>
          <w:tcPr>
            <w:tcW w:w="1440" w:type="dxa"/>
            <w:vAlign w:val="center"/>
          </w:tcPr>
          <w:p w14:paraId="31FF084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86.4</w:t>
            </w:r>
          </w:p>
        </w:tc>
        <w:tc>
          <w:tcPr>
            <w:tcW w:w="1560" w:type="dxa"/>
            <w:vAlign w:val="center"/>
          </w:tcPr>
          <w:p w14:paraId="1FEE2D1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0.6</w:t>
            </w:r>
          </w:p>
        </w:tc>
        <w:tc>
          <w:tcPr>
            <w:tcW w:w="1800" w:type="dxa"/>
            <w:vAlign w:val="center"/>
          </w:tcPr>
          <w:p w14:paraId="0F44B14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4.9</w:t>
            </w:r>
          </w:p>
        </w:tc>
        <w:tc>
          <w:tcPr>
            <w:tcW w:w="840" w:type="dxa"/>
            <w:vAlign w:val="center"/>
          </w:tcPr>
          <w:p w14:paraId="59510C0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7.4</w:t>
            </w:r>
          </w:p>
        </w:tc>
        <w:tc>
          <w:tcPr>
            <w:tcW w:w="1080" w:type="dxa"/>
            <w:vAlign w:val="center"/>
          </w:tcPr>
          <w:p w14:paraId="1546C38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0.6</w:t>
            </w:r>
          </w:p>
        </w:tc>
      </w:tr>
      <w:tr w:rsidR="004D5ECC" w14:paraId="4D9F9509" w14:textId="77777777">
        <w:trPr>
          <w:cantSplit/>
        </w:trPr>
        <w:tc>
          <w:tcPr>
            <w:tcW w:w="2640" w:type="dxa"/>
            <w:vAlign w:val="center"/>
          </w:tcPr>
          <w:p w14:paraId="503DBCE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Cumulative disadvantage</w:t>
            </w:r>
          </w:p>
        </w:tc>
        <w:tc>
          <w:tcPr>
            <w:tcW w:w="1440" w:type="dxa"/>
            <w:vAlign w:val="center"/>
          </w:tcPr>
          <w:p w14:paraId="6B85B03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11.1</w:t>
            </w:r>
          </w:p>
        </w:tc>
        <w:tc>
          <w:tcPr>
            <w:tcW w:w="1560" w:type="dxa"/>
            <w:vAlign w:val="center"/>
          </w:tcPr>
          <w:p w14:paraId="02C6A30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72.2</w:t>
            </w:r>
          </w:p>
        </w:tc>
        <w:tc>
          <w:tcPr>
            <w:tcW w:w="1800" w:type="dxa"/>
            <w:vAlign w:val="center"/>
          </w:tcPr>
          <w:p w14:paraId="1967E94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0.0</w:t>
            </w:r>
          </w:p>
        </w:tc>
        <w:tc>
          <w:tcPr>
            <w:tcW w:w="840" w:type="dxa"/>
            <w:vAlign w:val="center"/>
          </w:tcPr>
          <w:p w14:paraId="426D1E1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13.9</w:t>
            </w:r>
          </w:p>
        </w:tc>
        <w:tc>
          <w:tcPr>
            <w:tcW w:w="1080" w:type="dxa"/>
            <w:vAlign w:val="center"/>
          </w:tcPr>
          <w:p w14:paraId="6F27316A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2.8</w:t>
            </w:r>
          </w:p>
        </w:tc>
      </w:tr>
      <w:tr w:rsidR="004D5ECC" w14:paraId="2A1EC78D" w14:textId="77777777">
        <w:trPr>
          <w:cantSplit/>
        </w:trPr>
        <w:tc>
          <w:tcPr>
            <w:tcW w:w="2640" w:type="dxa"/>
            <w:vAlign w:val="center"/>
          </w:tcPr>
          <w:p w14:paraId="7E2558E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Female advantage to workforce</w:t>
            </w:r>
          </w:p>
        </w:tc>
        <w:tc>
          <w:tcPr>
            <w:tcW w:w="1440" w:type="dxa"/>
            <w:vAlign w:val="center"/>
          </w:tcPr>
          <w:p w14:paraId="79D07F9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2.0</w:t>
            </w:r>
          </w:p>
        </w:tc>
        <w:tc>
          <w:tcPr>
            <w:tcW w:w="1560" w:type="dxa"/>
            <w:vAlign w:val="center"/>
          </w:tcPr>
          <w:p w14:paraId="4EBABC0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0.0</w:t>
            </w:r>
          </w:p>
        </w:tc>
        <w:tc>
          <w:tcPr>
            <w:tcW w:w="1800" w:type="dxa"/>
            <w:vAlign w:val="center"/>
          </w:tcPr>
          <w:p w14:paraId="6CCB8CF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96.1</w:t>
            </w:r>
          </w:p>
        </w:tc>
        <w:tc>
          <w:tcPr>
            <w:tcW w:w="840" w:type="dxa"/>
            <w:vAlign w:val="center"/>
          </w:tcPr>
          <w:p w14:paraId="57EAC8D3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2.0</w:t>
            </w:r>
          </w:p>
        </w:tc>
        <w:tc>
          <w:tcPr>
            <w:tcW w:w="1080" w:type="dxa"/>
            <w:vAlign w:val="center"/>
          </w:tcPr>
          <w:p w14:paraId="6527276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0.0</w:t>
            </w:r>
          </w:p>
        </w:tc>
      </w:tr>
      <w:tr w:rsidR="004D5ECC" w14:paraId="3ACDECD9" w14:textId="77777777">
        <w:trPr>
          <w:cantSplit/>
        </w:trPr>
        <w:tc>
          <w:tcPr>
            <w:tcW w:w="2640" w:type="dxa"/>
            <w:vAlign w:val="center"/>
          </w:tcPr>
          <w:p w14:paraId="79DA23B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Mixed</w:t>
            </w:r>
          </w:p>
        </w:tc>
        <w:tc>
          <w:tcPr>
            <w:tcW w:w="1440" w:type="dxa"/>
            <w:vAlign w:val="center"/>
          </w:tcPr>
          <w:p w14:paraId="409A20B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18.8</w:t>
            </w:r>
          </w:p>
        </w:tc>
        <w:tc>
          <w:tcPr>
            <w:tcW w:w="1560" w:type="dxa"/>
            <w:vAlign w:val="center"/>
          </w:tcPr>
          <w:p w14:paraId="73E5ED8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3.1</w:t>
            </w:r>
          </w:p>
        </w:tc>
        <w:tc>
          <w:tcPr>
            <w:tcW w:w="1800" w:type="dxa"/>
            <w:vAlign w:val="center"/>
          </w:tcPr>
          <w:p w14:paraId="56D59D0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28.1</w:t>
            </w:r>
          </w:p>
        </w:tc>
        <w:tc>
          <w:tcPr>
            <w:tcW w:w="840" w:type="dxa"/>
            <w:vAlign w:val="center"/>
          </w:tcPr>
          <w:p w14:paraId="5BF6A2E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31.2</w:t>
            </w:r>
          </w:p>
        </w:tc>
        <w:tc>
          <w:tcPr>
            <w:tcW w:w="1080" w:type="dxa"/>
            <w:vAlign w:val="center"/>
          </w:tcPr>
          <w:p w14:paraId="1FD49E6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18.8</w:t>
            </w:r>
          </w:p>
        </w:tc>
      </w:tr>
      <w:tr w:rsidR="004D5ECC" w14:paraId="63D2CB04" w14:textId="77777777">
        <w:trPr>
          <w:cantSplit/>
        </w:trPr>
        <w:tc>
          <w:tcPr>
            <w:tcW w:w="2640" w:type="dxa"/>
            <w:vAlign w:val="center"/>
          </w:tcPr>
          <w:p w14:paraId="09041E5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Tertiary lag</w:t>
            </w:r>
          </w:p>
        </w:tc>
        <w:tc>
          <w:tcPr>
            <w:tcW w:w="1440" w:type="dxa"/>
            <w:vAlign w:val="center"/>
          </w:tcPr>
          <w:p w14:paraId="7E0CE3D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25.0</w:t>
            </w:r>
          </w:p>
        </w:tc>
        <w:tc>
          <w:tcPr>
            <w:tcW w:w="1560" w:type="dxa"/>
            <w:vAlign w:val="center"/>
          </w:tcPr>
          <w:p w14:paraId="4F8CBE9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0.0</w:t>
            </w:r>
          </w:p>
        </w:tc>
        <w:tc>
          <w:tcPr>
            <w:tcW w:w="1800" w:type="dxa"/>
            <w:vAlign w:val="center"/>
          </w:tcPr>
          <w:p w14:paraId="65777B0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0.0</w:t>
            </w:r>
          </w:p>
        </w:tc>
        <w:tc>
          <w:tcPr>
            <w:tcW w:w="840" w:type="dxa"/>
            <w:vAlign w:val="center"/>
          </w:tcPr>
          <w:p w14:paraId="33B841F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4.2</w:t>
            </w:r>
          </w:p>
        </w:tc>
        <w:tc>
          <w:tcPr>
            <w:tcW w:w="1080" w:type="dxa"/>
            <w:vAlign w:val="center"/>
          </w:tcPr>
          <w:p w14:paraId="3EC6987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70.8</w:t>
            </w:r>
          </w:p>
        </w:tc>
      </w:tr>
    </w:tbl>
    <w:p w14:paraId="28C3397D" w14:textId="77777777" w:rsidR="004D5ECC" w:rsidRDefault="00691727">
      <w:r>
        <w:t>Note. Cells are row percentages. The table includes 305 transitions from 121 economies with complete profiles in adjacent periods. Rows may not sum to 100.0 because of rounding.</w:t>
      </w:r>
    </w:p>
    <w:p w14:paraId="64812C80" w14:textId="77777777" w:rsidR="004D5ECC" w:rsidRDefault="00691727">
      <w:pPr>
        <w:pStyle w:val="Heading1"/>
        <w:pageBreakBefore/>
      </w:pPr>
      <w:r>
        <w:rPr>
          <w:rFonts w:ascii="Times New Roman" w:eastAsia="Times New Roman" w:hAnsi="Times New Roman" w:cs="Times New Roman"/>
        </w:rPr>
        <w:lastRenderedPageBreak/>
        <w:t>Appendix C. Model specification summary</w:t>
      </w:r>
    </w:p>
    <w:p w14:paraId="4A951E44" w14:textId="77777777" w:rsidR="004D5ECC" w:rsidRDefault="00691727">
      <w:pPr>
        <w:pStyle w:val="TableCaption"/>
      </w:pPr>
      <w:r>
        <w:rPr>
          <w:b/>
        </w:rPr>
        <w:t>Table C1</w:t>
      </w:r>
      <w:r>
        <w:t xml:space="preserve"> Regression model specifications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20"/>
        <w:gridCol w:w="2160"/>
        <w:gridCol w:w="2160"/>
        <w:gridCol w:w="4320"/>
      </w:tblGrid>
      <w:tr w:rsidR="004D5ECC" w14:paraId="3CD94B2D" w14:textId="77777777">
        <w:trPr>
          <w:cantSplit/>
          <w:tblHeader/>
        </w:trPr>
        <w:tc>
          <w:tcPr>
            <w:tcW w:w="72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B6E288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Model</w:t>
            </w:r>
          </w:p>
        </w:tc>
        <w:tc>
          <w:tcPr>
            <w:tcW w:w="21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D4E5A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Sample</w:t>
            </w:r>
          </w:p>
        </w:tc>
        <w:tc>
          <w:tcPr>
            <w:tcW w:w="21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3AF75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Fixed effects / context</w:t>
            </w:r>
          </w:p>
        </w:tc>
        <w:tc>
          <w:tcPr>
            <w:tcW w:w="432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EF066" w14:textId="77777777" w:rsidR="004D5ECC" w:rsidRDefault="00691727">
            <w:pPr>
              <w:spacing w:after="0" w:line="240" w:lineRule="auto"/>
            </w:pPr>
            <w:r>
              <w:rPr>
                <w:b/>
                <w:sz w:val="17"/>
              </w:rPr>
              <w:t>Purpose</w:t>
            </w:r>
          </w:p>
        </w:tc>
      </w:tr>
      <w:tr w:rsidR="004D5ECC" w14:paraId="037BDE6D" w14:textId="77777777">
        <w:trPr>
          <w:cantSplit/>
        </w:trPr>
        <w:tc>
          <w:tcPr>
            <w:tcW w:w="720" w:type="dxa"/>
            <w:vAlign w:val="center"/>
          </w:tcPr>
          <w:p w14:paraId="7725DA2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M1</w:t>
            </w:r>
          </w:p>
        </w:tc>
        <w:tc>
          <w:tcPr>
            <w:tcW w:w="2160" w:type="dxa"/>
            <w:vAlign w:val="center"/>
          </w:tcPr>
          <w:p w14:paraId="023018F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Pooled economy-years</w:t>
            </w:r>
          </w:p>
        </w:tc>
        <w:tc>
          <w:tcPr>
            <w:tcW w:w="2160" w:type="dxa"/>
            <w:vAlign w:val="center"/>
          </w:tcPr>
          <w:p w14:paraId="0A397D5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Year, region, income group</w:t>
            </w:r>
          </w:p>
        </w:tc>
        <w:tc>
          <w:tcPr>
            <w:tcW w:w="4320" w:type="dxa"/>
            <w:vAlign w:val="center"/>
          </w:tcPr>
          <w:p w14:paraId="5A8A3764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Contextual cross-system association with full covariates.</w:t>
            </w:r>
          </w:p>
        </w:tc>
      </w:tr>
      <w:tr w:rsidR="004D5ECC" w14:paraId="5DFD5720" w14:textId="77777777">
        <w:trPr>
          <w:cantSplit/>
        </w:trPr>
        <w:tc>
          <w:tcPr>
            <w:tcW w:w="720" w:type="dxa"/>
            <w:vAlign w:val="center"/>
          </w:tcPr>
          <w:p w14:paraId="42109D64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M2</w:t>
            </w:r>
          </w:p>
        </w:tc>
        <w:tc>
          <w:tcPr>
            <w:tcW w:w="2160" w:type="dxa"/>
            <w:vAlign w:val="center"/>
          </w:tcPr>
          <w:p w14:paraId="1272DC1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means, 2000–2022</w:t>
            </w:r>
          </w:p>
        </w:tc>
        <w:tc>
          <w:tcPr>
            <w:tcW w:w="2160" w:type="dxa"/>
            <w:vAlign w:val="center"/>
          </w:tcPr>
          <w:p w14:paraId="5B726B9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Region, income group</w:t>
            </w:r>
          </w:p>
        </w:tc>
        <w:tc>
          <w:tcPr>
            <w:tcW w:w="4320" w:type="dxa"/>
            <w:vAlign w:val="center"/>
          </w:tcPr>
          <w:p w14:paraId="4F968F1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Between-economy relationship.</w:t>
            </w:r>
          </w:p>
        </w:tc>
      </w:tr>
      <w:tr w:rsidR="004D5ECC" w14:paraId="58A798C1" w14:textId="77777777">
        <w:trPr>
          <w:cantSplit/>
        </w:trPr>
        <w:tc>
          <w:tcPr>
            <w:tcW w:w="720" w:type="dxa"/>
            <w:vAlign w:val="center"/>
          </w:tcPr>
          <w:p w14:paraId="5B044FAC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M3</w:t>
            </w:r>
          </w:p>
        </w:tc>
        <w:tc>
          <w:tcPr>
            <w:tcW w:w="2160" w:type="dxa"/>
            <w:vAlign w:val="center"/>
          </w:tcPr>
          <w:p w14:paraId="4F716CA6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Pooled economy-years</w:t>
            </w:r>
          </w:p>
        </w:tc>
        <w:tc>
          <w:tcPr>
            <w:tcW w:w="2160" w:type="dxa"/>
            <w:vAlign w:val="center"/>
          </w:tcPr>
          <w:p w14:paraId="4D61FD1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43380F16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Within-economy relationship with full covariates.</w:t>
            </w:r>
          </w:p>
        </w:tc>
      </w:tr>
      <w:tr w:rsidR="004D5ECC" w14:paraId="32237B3D" w14:textId="77777777">
        <w:trPr>
          <w:cantSplit/>
        </w:trPr>
        <w:tc>
          <w:tcPr>
            <w:tcW w:w="720" w:type="dxa"/>
            <w:vAlign w:val="center"/>
          </w:tcPr>
          <w:p w14:paraId="309C152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M4</w:t>
            </w:r>
          </w:p>
        </w:tc>
        <w:tc>
          <w:tcPr>
            <w:tcW w:w="2160" w:type="dxa"/>
            <w:vAlign w:val="center"/>
          </w:tcPr>
          <w:p w14:paraId="6EE5633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Outcome at t; tertiary measures at t−5</w:t>
            </w:r>
          </w:p>
        </w:tc>
        <w:tc>
          <w:tcPr>
            <w:tcW w:w="2160" w:type="dxa"/>
            <w:vAlign w:val="center"/>
          </w:tcPr>
          <w:p w14:paraId="711C4F8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6624F04C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Five-year temporal ordering with full covariates.</w:t>
            </w:r>
          </w:p>
        </w:tc>
      </w:tr>
      <w:tr w:rsidR="004D5ECC" w14:paraId="6D32D354" w14:textId="77777777">
        <w:trPr>
          <w:cantSplit/>
        </w:trPr>
        <w:tc>
          <w:tcPr>
            <w:tcW w:w="720" w:type="dxa"/>
            <w:vAlign w:val="center"/>
          </w:tcPr>
          <w:p w14:paraId="163B8EA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M5</w:t>
            </w:r>
          </w:p>
        </w:tc>
        <w:tc>
          <w:tcPr>
            <w:tcW w:w="2160" w:type="dxa"/>
            <w:vAlign w:val="center"/>
          </w:tcPr>
          <w:p w14:paraId="05DC7F0D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Larger pooled sample</w:t>
            </w:r>
          </w:p>
        </w:tc>
        <w:tc>
          <w:tcPr>
            <w:tcW w:w="2160" w:type="dxa"/>
            <w:vAlign w:val="center"/>
          </w:tcPr>
          <w:p w14:paraId="7702DC2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43C4BA7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Lean fixed-effects model with tertiary GER only.</w:t>
            </w:r>
          </w:p>
        </w:tc>
      </w:tr>
      <w:tr w:rsidR="004D5ECC" w14:paraId="3B43F430" w14:textId="77777777">
        <w:trPr>
          <w:cantSplit/>
        </w:trPr>
        <w:tc>
          <w:tcPr>
            <w:tcW w:w="720" w:type="dxa"/>
            <w:vAlign w:val="center"/>
          </w:tcPr>
          <w:p w14:paraId="51E224C4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M6</w:t>
            </w:r>
          </w:p>
        </w:tc>
        <w:tc>
          <w:tcPr>
            <w:tcW w:w="2160" w:type="dxa"/>
            <w:vAlign w:val="center"/>
          </w:tcPr>
          <w:p w14:paraId="6BA958B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Doctoral subsample</w:t>
            </w:r>
          </w:p>
        </w:tc>
        <w:tc>
          <w:tcPr>
            <w:tcW w:w="2160" w:type="dxa"/>
            <w:vAlign w:val="center"/>
          </w:tcPr>
          <w:p w14:paraId="5ABDDC7E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Year, region, income group</w:t>
            </w:r>
          </w:p>
        </w:tc>
        <w:tc>
          <w:tcPr>
            <w:tcW w:w="4320" w:type="dxa"/>
            <w:vAlign w:val="center"/>
          </w:tcPr>
          <w:p w14:paraId="40C0B09B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Pooled doctoral extension.</w:t>
            </w:r>
          </w:p>
        </w:tc>
      </w:tr>
      <w:tr w:rsidR="004D5ECC" w14:paraId="691E091C" w14:textId="77777777">
        <w:trPr>
          <w:cantSplit/>
        </w:trPr>
        <w:tc>
          <w:tcPr>
            <w:tcW w:w="720" w:type="dxa"/>
            <w:vAlign w:val="center"/>
          </w:tcPr>
          <w:p w14:paraId="38FBB306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M7</w:t>
            </w:r>
          </w:p>
        </w:tc>
        <w:tc>
          <w:tcPr>
            <w:tcW w:w="2160" w:type="dxa"/>
            <w:vAlign w:val="center"/>
          </w:tcPr>
          <w:p w14:paraId="2B0FC20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Doctoral subsample</w:t>
            </w:r>
          </w:p>
        </w:tc>
        <w:tc>
          <w:tcPr>
            <w:tcW w:w="2160" w:type="dxa"/>
            <w:vAlign w:val="center"/>
          </w:tcPr>
          <w:p w14:paraId="16924528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0473CA21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Within-economy doctoral extension.</w:t>
            </w:r>
          </w:p>
        </w:tc>
      </w:tr>
      <w:tr w:rsidR="004D5ECC" w14:paraId="3E50021D" w14:textId="77777777">
        <w:trPr>
          <w:cantSplit/>
        </w:trPr>
        <w:tc>
          <w:tcPr>
            <w:tcW w:w="720" w:type="dxa"/>
            <w:vAlign w:val="center"/>
          </w:tcPr>
          <w:p w14:paraId="40506F0F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M8</w:t>
            </w:r>
          </w:p>
        </w:tc>
        <w:tc>
          <w:tcPr>
            <w:tcW w:w="2160" w:type="dxa"/>
            <w:vAlign w:val="center"/>
          </w:tcPr>
          <w:p w14:paraId="68C15DE6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Raw continuous predictors</w:t>
            </w:r>
          </w:p>
        </w:tc>
        <w:tc>
          <w:tcPr>
            <w:tcW w:w="2160" w:type="dxa"/>
            <w:vAlign w:val="center"/>
          </w:tcPr>
          <w:p w14:paraId="5D3C3D62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6B0BC9F7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Sensitivity to winsorisation.</w:t>
            </w:r>
          </w:p>
        </w:tc>
      </w:tr>
      <w:tr w:rsidR="004D5ECC" w14:paraId="591ED5BA" w14:textId="77777777">
        <w:trPr>
          <w:cantSplit/>
        </w:trPr>
        <w:tc>
          <w:tcPr>
            <w:tcW w:w="720" w:type="dxa"/>
            <w:vAlign w:val="center"/>
          </w:tcPr>
          <w:p w14:paraId="1E6DF644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M9</w:t>
            </w:r>
          </w:p>
        </w:tc>
        <w:tc>
          <w:tcPr>
            <w:tcW w:w="2160" w:type="dxa"/>
            <w:vAlign w:val="center"/>
          </w:tcPr>
          <w:p w14:paraId="7B8D5F79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Staff share 5%–80%</w:t>
            </w:r>
          </w:p>
        </w:tc>
        <w:tc>
          <w:tcPr>
            <w:tcW w:w="2160" w:type="dxa"/>
            <w:vAlign w:val="center"/>
          </w:tcPr>
          <w:p w14:paraId="79949DD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Economy and year</w:t>
            </w:r>
          </w:p>
        </w:tc>
        <w:tc>
          <w:tcPr>
            <w:tcW w:w="4320" w:type="dxa"/>
            <w:vAlign w:val="center"/>
          </w:tcPr>
          <w:p w14:paraId="55773450" w14:textId="77777777" w:rsidR="004D5ECC" w:rsidRDefault="00691727">
            <w:pPr>
              <w:spacing w:after="0" w:line="240" w:lineRule="auto"/>
            </w:pPr>
            <w:r>
              <w:rPr>
                <w:sz w:val="17"/>
              </w:rPr>
              <w:t>Sensitivity to extreme outcome values.</w:t>
            </w:r>
          </w:p>
        </w:tc>
      </w:tr>
    </w:tbl>
    <w:p w14:paraId="0EFA134B" w14:textId="77777777" w:rsidR="006D3A78" w:rsidRDefault="006D3A78"/>
    <w:sectPr w:rsidR="006D3A78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A464" w14:textId="77777777" w:rsidR="00120ADA" w:rsidRDefault="00120ADA">
      <w:pPr>
        <w:spacing w:after="0" w:line="240" w:lineRule="auto"/>
      </w:pPr>
      <w:r>
        <w:separator/>
      </w:r>
    </w:p>
  </w:endnote>
  <w:endnote w:type="continuationSeparator" w:id="0">
    <w:p w14:paraId="0A09E36A" w14:textId="77777777" w:rsidR="00120ADA" w:rsidRDefault="00120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80B9" w14:textId="77777777" w:rsidR="00713F0A" w:rsidRDefault="00713F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27362" w14:textId="77777777" w:rsidR="004D5ECC" w:rsidRDefault="00691727">
    <w:pPr>
      <w:pStyle w:val="Footer"/>
      <w:spacing w:before="40"/>
      <w:jc w:val="right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FA0F78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3848" w14:textId="77777777" w:rsidR="00713F0A" w:rsidRDefault="00713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14EDD" w14:textId="77777777" w:rsidR="00120ADA" w:rsidRDefault="00120ADA">
      <w:pPr>
        <w:spacing w:after="0" w:line="240" w:lineRule="auto"/>
      </w:pPr>
      <w:r>
        <w:separator/>
      </w:r>
    </w:p>
  </w:footnote>
  <w:footnote w:type="continuationSeparator" w:id="0">
    <w:p w14:paraId="24A63AFD" w14:textId="77777777" w:rsidR="00120ADA" w:rsidRDefault="00120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3C352" w14:textId="77777777" w:rsidR="00713F0A" w:rsidRDefault="00713F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9DE3" w14:textId="77777777" w:rsidR="004D5ECC" w:rsidRPr="00713F0A" w:rsidRDefault="004D5ECC" w:rsidP="00713F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347A" w14:textId="77777777" w:rsidR="00713F0A" w:rsidRDefault="00713F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631175">
    <w:abstractNumId w:val="8"/>
  </w:num>
  <w:num w:numId="2" w16cid:durableId="1018384274">
    <w:abstractNumId w:val="6"/>
  </w:num>
  <w:num w:numId="3" w16cid:durableId="1297838894">
    <w:abstractNumId w:val="5"/>
  </w:num>
  <w:num w:numId="4" w16cid:durableId="753623947">
    <w:abstractNumId w:val="4"/>
  </w:num>
  <w:num w:numId="5" w16cid:durableId="382602896">
    <w:abstractNumId w:val="7"/>
  </w:num>
  <w:num w:numId="6" w16cid:durableId="1245528140">
    <w:abstractNumId w:val="3"/>
  </w:num>
  <w:num w:numId="7" w16cid:durableId="902721147">
    <w:abstractNumId w:val="2"/>
  </w:num>
  <w:num w:numId="8" w16cid:durableId="66809611">
    <w:abstractNumId w:val="1"/>
  </w:num>
  <w:num w:numId="9" w16cid:durableId="114774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300"/>
    <w:rsid w:val="00120ADA"/>
    <w:rsid w:val="0015074B"/>
    <w:rsid w:val="0029639D"/>
    <w:rsid w:val="00297450"/>
    <w:rsid w:val="00326F90"/>
    <w:rsid w:val="004777D0"/>
    <w:rsid w:val="00493381"/>
    <w:rsid w:val="00496C9C"/>
    <w:rsid w:val="004A51B9"/>
    <w:rsid w:val="004D5ECC"/>
    <w:rsid w:val="00543B3B"/>
    <w:rsid w:val="00691727"/>
    <w:rsid w:val="006D3A78"/>
    <w:rsid w:val="00713F0A"/>
    <w:rsid w:val="0084257D"/>
    <w:rsid w:val="00946935"/>
    <w:rsid w:val="00964985"/>
    <w:rsid w:val="00AA1D8D"/>
    <w:rsid w:val="00AB6DAF"/>
    <w:rsid w:val="00AC0F24"/>
    <w:rsid w:val="00B47730"/>
    <w:rsid w:val="00B506C2"/>
    <w:rsid w:val="00BC7B9C"/>
    <w:rsid w:val="00CB0664"/>
    <w:rsid w:val="00E95CD3"/>
    <w:rsid w:val="00F0419B"/>
    <w:rsid w:val="00FA0F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6C45F"/>
  <w14:defaultImageDpi w14:val="300"/>
  <w15:docId w15:val="{F1B49F70-E3F9-4A68-8E4C-7E69BE42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40" w:lineRule="auto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after="40"/>
      <w:jc w:val="center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tabs>
        <w:tab w:val="left" w:pos="540"/>
      </w:tabs>
      <w:spacing w:after="80" w:line="290" w:lineRule="auto"/>
      <w:ind w:left="540" w:hanging="279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tabs>
        <w:tab w:val="left" w:pos="540"/>
      </w:tabs>
      <w:spacing w:after="80" w:line="290" w:lineRule="auto"/>
      <w:ind w:left="540" w:hanging="27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Caption">
    <w:name w:val="Table Caption"/>
    <w:pPr>
      <w:keepNext/>
      <w:spacing w:before="120" w:after="60" w:line="240" w:lineRule="auto"/>
    </w:pPr>
    <w:rPr>
      <w:rFonts w:ascii="Times New Roman" w:eastAsia="Times New Roman" w:hAnsi="Times New Roman" w:cs="Times New Roman"/>
      <w:color w:val="000000"/>
      <w:sz w:val="19"/>
    </w:rPr>
  </w:style>
  <w:style w:type="paragraph" w:customStyle="1" w:styleId="FigureCaption">
    <w:name w:val="Figure Caption"/>
    <w:pPr>
      <w:keepNext/>
      <w:spacing w:before="120" w:after="60" w:line="240" w:lineRule="auto"/>
    </w:pPr>
    <w:rPr>
      <w:rFonts w:ascii="Times New Roman" w:eastAsia="Times New Roman" w:hAnsi="Times New Roman" w:cs="Times New Roman"/>
      <w:color w:val="000000"/>
      <w:sz w:val="19"/>
    </w:rPr>
  </w:style>
  <w:style w:type="paragraph" w:customStyle="1" w:styleId="TableNote">
    <w:name w:val="Table Note"/>
    <w:pPr>
      <w:spacing w:before="80" w:after="100" w:line="240" w:lineRule="auto"/>
    </w:pPr>
    <w:rPr>
      <w:rFonts w:ascii="Times New Roman" w:eastAsia="Times New Roman" w:hAnsi="Times New Roman" w:cs="Times New Roman"/>
      <w:i/>
      <w:color w:val="000000"/>
      <w:sz w:val="18"/>
    </w:rPr>
  </w:style>
  <w:style w:type="paragraph" w:customStyle="1" w:styleId="Equation">
    <w:name w:val="Equation"/>
    <w:pPr>
      <w:spacing w:before="80" w:after="160" w:line="240" w:lineRule="auto"/>
      <w:jc w:val="center"/>
    </w:pPr>
    <w:rPr>
      <w:rFonts w:ascii="Calibri" w:hAnsi="Calibri"/>
      <w:i/>
      <w:color w:val="202124"/>
    </w:rPr>
  </w:style>
  <w:style w:type="paragraph" w:customStyle="1" w:styleId="Reference">
    <w:name w:val="Reference"/>
    <w:pPr>
      <w:spacing w:after="80" w:line="240" w:lineRule="auto"/>
      <w:ind w:left="360" w:hanging="360"/>
    </w:pPr>
    <w:rPr>
      <w:rFonts w:ascii="Times New Roman" w:eastAsia="Times New Roman" w:hAnsi="Times New Roman" w:cs="Times New Roman"/>
      <w:color w:val="000000"/>
      <w:sz w:val="20"/>
    </w:rPr>
  </w:style>
  <w:style w:type="character" w:styleId="Hyperlink">
    <w:name w:val="Hyperlink"/>
    <w:basedOn w:val="DefaultParagraphFont"/>
    <w:uiPriority w:val="99"/>
    <w:unhideWhenUsed/>
    <w:rsid w:val="004933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customXml" Target="../customXml/item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aboateng@ucc.edu.gh" TargetMode="External"/><Relationship Id="rId9" Type="http://schemas.openxmlformats.org/officeDocument/2006/relationships/hyperlink" Target="https://orcid.org/0009-0002-1609-872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D45E5D0-E9BD-402A-829D-A38C1C36C611}">
  <we:reference id="wa200001482" version="1.0.7.0" store="en-001" storeType="OMEX"/>
  <we:alternateReferences>
    <we:reference id="WA200001482" version="1.0.7.0" store="" storeType="OMEX"/>
  </we:alternateReferences>
  <we:properties/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20</Pages>
  <Words>9896</Words>
  <Characters>56408</Characters>
  <Application>Microsoft Office Word</Application>
  <DocSecurity>0</DocSecurity>
  <Lines>470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Enrolment Parity to Academic Representation: Global Pathways in Higher Education Systems</vt:lpstr>
    </vt:vector>
  </TitlesOfParts>
  <Manager/>
  <Company/>
  <LinksUpToDate>false</LinksUpToDate>
  <CharactersWithSpaces>66172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2026-08-22T16:14:00Z</dcterms:created>
  <dc:description>Blinded manuscript generated from public aggregate data.</dc:description>
  <cp:keywords>gender parity; higher education; academic workforce; women academics; comparative education; gendered organisations</cp:keywords>
  <dcterms:modified xsi:type="dcterms:W3CDTF">2026-08-22T21:03:00Z</dcterms:modified>
  <cp:revision>6</cp:revision>
  <dc:subject>Supplementary material for SN Social Sciences</dc:subject>
  <dc:title>Supplementary Appendices: From Enrolment Parity to Academic Representation</dc:title>
</cp:coreProperties>
</file>