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D73B89">
      <w:pPr>
        <w:spacing w:before="0" w:after="80"/>
        <w:rPr>
          <w:rFonts w:ascii="Arial" w:hAnsi="Arial"/>
          <w:b/>
          <w:color w:val="1F4E79"/>
          <w:sz w:val="40"/>
        </w:rPr>
      </w:pPr>
    </w:p>
    <w:p w14:paraId="126ECD14">
      <w:pPr>
        <w:spacing w:before="0" w:after="80"/>
      </w:pPr>
      <w:r>
        <w:rPr>
          <w:rFonts w:ascii="Arial" w:hAnsi="Arial"/>
          <w:b/>
          <w:color w:val="1F4E79"/>
          <w:sz w:val="40"/>
        </w:rPr>
        <w:t>Supplementary Figure Description</w:t>
      </w:r>
    </w:p>
    <w:p w14:paraId="37CC7B5B">
      <w:pPr>
        <w:spacing w:before="0" w:after="360"/>
        <w:rPr>
          <w:rFonts w:ascii="Arial" w:hAnsi="Arial"/>
          <w:i/>
          <w:color w:val="595959"/>
          <w:sz w:val="24"/>
        </w:rPr>
      </w:pPr>
      <w:r>
        <w:rPr>
          <w:rFonts w:ascii="Arial" w:hAnsi="Arial"/>
          <w:i/>
          <w:color w:val="595959"/>
          <w:sz w:val="24"/>
        </w:rPr>
        <w:t>Formulation Study of Theophylline &amp; Antibiotic Combination Inhaler Powder</w:t>
      </w:r>
    </w:p>
    <w:p w14:paraId="5CAFB870">
      <w:pPr>
        <w:spacing w:before="0" w:after="360"/>
        <w:rPr>
          <w:rFonts w:ascii="Arial" w:hAnsi="Arial"/>
          <w:i/>
          <w:color w:val="595959"/>
          <w:sz w:val="24"/>
        </w:rPr>
      </w:pPr>
      <w:r>
        <w:rPr>
          <w:rFonts w:hint="default"/>
          <w:lang w:val="en-US"/>
        </w:rPr>
        <w:drawing>
          <wp:inline distT="0" distB="0" distL="114300" distR="114300">
            <wp:extent cx="5273040" cy="3517900"/>
            <wp:effectExtent l="0" t="0" r="3810" b="6350"/>
            <wp:docPr id="1" name="Picture 1" descr="004af64e5f8fcf466484c8c1c7e64c76beaccef759578e48a4c7a1cb5dcb95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004af64e5f8fcf466484c8c1c7e64c76beaccef759578e48a4c7a1cb5dcb95e2"/>
                    <pic:cNvPicPr>
                      <a:picLocks noChangeAspect="1"/>
                    </pic:cNvPicPr>
                  </pic:nvPicPr>
                  <pic:blipFill>
                    <a:blip r:embed="rId6"/>
                    <a:stretch>
                      <a:fillRect/>
                    </a:stretch>
                  </pic:blipFill>
                  <pic:spPr>
                    <a:xfrm>
                      <a:off x="0" y="0"/>
                      <a:ext cx="5273040" cy="3517900"/>
                    </a:xfrm>
                    <a:prstGeom prst="rect">
                      <a:avLst/>
                    </a:prstGeom>
                  </pic:spPr>
                </pic:pic>
              </a:graphicData>
            </a:graphic>
          </wp:inline>
        </w:drawing>
      </w:r>
    </w:p>
    <w:tbl>
      <w:tblPr>
        <w:tblStyle w:val="12"/>
        <w:tblW w:w="0" w:type="auto"/>
        <w:jc w:val="center"/>
        <w:tblLayout w:type="autofit"/>
        <w:tblCellMar>
          <w:top w:w="0" w:type="dxa"/>
          <w:left w:w="108" w:type="dxa"/>
          <w:bottom w:w="0" w:type="dxa"/>
          <w:right w:w="108" w:type="dxa"/>
        </w:tblCellMar>
      </w:tblPr>
      <w:tblGrid>
        <w:gridCol w:w="9360"/>
      </w:tblGrid>
      <w:tr w14:paraId="404A90D1">
        <w:tblPrEx>
          <w:tblCellMar>
            <w:top w:w="0" w:type="dxa"/>
            <w:left w:w="108" w:type="dxa"/>
            <w:bottom w:w="0" w:type="dxa"/>
            <w:right w:w="108" w:type="dxa"/>
          </w:tblCellMar>
        </w:tblPrEx>
        <w:trPr>
          <w:jc w:val="center"/>
        </w:trPr>
        <w:tc>
          <w:tcPr>
            <w:tcW w:w="9360" w:type="dxa"/>
            <w:shd w:val="clear" w:color="auto" w:fill="EBF1F5"/>
            <w:tcMar>
              <w:top w:w="140" w:type="dxa"/>
              <w:left w:w="200" w:type="dxa"/>
              <w:bottom w:w="140" w:type="dxa"/>
              <w:right w:w="200" w:type="dxa"/>
            </w:tcMar>
          </w:tcPr>
          <w:p w14:paraId="12C71730">
            <w:pPr>
              <w:spacing w:before="0" w:after="0"/>
            </w:pPr>
            <w:r>
              <w:rPr>
                <w:rFonts w:ascii="Arial" w:hAnsi="Arial"/>
                <w:b/>
                <w:color w:val="1F4E79"/>
                <w:sz w:val="26"/>
              </w:rPr>
              <w:t>Supplementary Figure S1. Complete Edges of Non-Contrast, Non-</w:t>
            </w:r>
            <w:bookmarkStart w:id="0" w:name="_GoBack"/>
            <w:bookmarkEnd w:id="0"/>
            <w:r>
              <w:rPr>
                <w:rFonts w:ascii="Arial" w:hAnsi="Arial"/>
                <w:b/>
                <w:color w:val="1F4E79"/>
                <w:sz w:val="26"/>
              </w:rPr>
              <w:t>Standard Blots</w:t>
            </w:r>
          </w:p>
        </w:tc>
      </w:tr>
    </w:tbl>
    <w:p w14:paraId="35001269">
      <w:pPr>
        <w:keepNext/>
        <w:spacing w:before="280" w:after="120"/>
      </w:pPr>
      <w:r>
        <w:rPr>
          <w:rFonts w:ascii="Arial" w:hAnsi="Arial"/>
          <w:b/>
          <w:color w:val="1F4E79"/>
          <w:sz w:val="32"/>
        </w:rPr>
        <w:t>1. Overview</w:t>
      </w:r>
    </w:p>
    <w:p w14:paraId="193B5ECE">
      <w:pPr>
        <w:spacing w:after="200" w:line="276" w:lineRule="auto"/>
      </w:pPr>
      <w:r>
        <w:rPr>
          <w:rFonts w:ascii="Calibri" w:hAnsi="Calibri"/>
          <w:color w:val="333333"/>
          <w:sz w:val="22"/>
        </w:rPr>
        <w:t>This figure presents the uncropped, full-length Western blot membranes corresponding to the protein expression data shown in Figure 9 (Panels A–E) of the study. Each blot displays the protein molecular weight marker alongside five experimental groups, with black dashed rectangles highlighting the cropped regions featured in the main text figures.</w:t>
      </w:r>
    </w:p>
    <w:p w14:paraId="69883961">
      <w:pPr>
        <w:keepNext/>
        <w:spacing w:before="280" w:after="120"/>
      </w:pPr>
      <w:r>
        <w:rPr>
          <w:rFonts w:ascii="Arial" w:hAnsi="Arial"/>
          <w:b/>
          <w:color w:val="1F4E79"/>
          <w:sz w:val="32"/>
        </w:rPr>
        <w:t>2. Panel Descriptions</w:t>
      </w:r>
    </w:p>
    <w:tbl>
      <w:tblPr>
        <w:tblStyle w:val="12"/>
        <w:tblW w:w="0" w:type="auto"/>
        <w:jc w:val="center"/>
        <w:tblLayout w:type="fixed"/>
        <w:tblCellMar>
          <w:top w:w="0" w:type="dxa"/>
          <w:left w:w="108" w:type="dxa"/>
          <w:bottom w:w="0" w:type="dxa"/>
          <w:right w:w="108" w:type="dxa"/>
        </w:tblCellMar>
      </w:tblPr>
      <w:tblGrid>
        <w:gridCol w:w="1872"/>
        <w:gridCol w:w="1872"/>
        <w:gridCol w:w="1872"/>
        <w:gridCol w:w="1872"/>
        <w:gridCol w:w="1872"/>
      </w:tblGrid>
      <w:tr w14:paraId="5BA1654B">
        <w:tblPrEx>
          <w:tblCellMar>
            <w:top w:w="0" w:type="dxa"/>
            <w:left w:w="108" w:type="dxa"/>
            <w:bottom w:w="0" w:type="dxa"/>
            <w:right w:w="108" w:type="dxa"/>
          </w:tblCellMar>
        </w:tblPrEx>
        <w:trPr>
          <w:jc w:val="center"/>
        </w:trPr>
        <w:tc>
          <w:tcPr>
            <w:tcW w:w="1296" w:type="dxa"/>
            <w:shd w:val="clear" w:color="auto" w:fill="1F4E79"/>
            <w:tcMar>
              <w:top w:w="120" w:type="dxa"/>
              <w:left w:w="100" w:type="dxa"/>
              <w:bottom w:w="120" w:type="dxa"/>
              <w:right w:w="100" w:type="dxa"/>
            </w:tcMar>
          </w:tcPr>
          <w:p w14:paraId="75EDFB1C">
            <w:pPr>
              <w:spacing w:before="0" w:after="0"/>
            </w:pPr>
            <w:r>
              <w:rPr>
                <w:rFonts w:ascii="Arial" w:hAnsi="Arial"/>
                <w:b/>
                <w:color w:val="FFFFFF"/>
                <w:sz w:val="20"/>
              </w:rPr>
              <w:t>Panel</w:t>
            </w:r>
          </w:p>
        </w:tc>
        <w:tc>
          <w:tcPr>
            <w:tcW w:w="1440" w:type="dxa"/>
            <w:shd w:val="clear" w:color="auto" w:fill="1F4E79"/>
            <w:tcMar>
              <w:top w:w="120" w:type="dxa"/>
              <w:left w:w="100" w:type="dxa"/>
              <w:bottom w:w="120" w:type="dxa"/>
              <w:right w:w="100" w:type="dxa"/>
            </w:tcMar>
          </w:tcPr>
          <w:p w14:paraId="00908A27">
            <w:pPr>
              <w:spacing w:before="0" w:after="0"/>
            </w:pPr>
            <w:r>
              <w:rPr>
                <w:rFonts w:ascii="Arial" w:hAnsi="Arial"/>
                <w:b/>
                <w:color w:val="FFFFFF"/>
                <w:sz w:val="20"/>
              </w:rPr>
              <w:t>Target Protein</w:t>
            </w:r>
          </w:p>
        </w:tc>
        <w:tc>
          <w:tcPr>
            <w:tcW w:w="2016" w:type="dxa"/>
            <w:shd w:val="clear" w:color="auto" w:fill="1F4E79"/>
            <w:tcMar>
              <w:top w:w="120" w:type="dxa"/>
              <w:left w:w="100" w:type="dxa"/>
              <w:bottom w:w="120" w:type="dxa"/>
              <w:right w:w="100" w:type="dxa"/>
            </w:tcMar>
          </w:tcPr>
          <w:p w14:paraId="44D6B544">
            <w:pPr>
              <w:spacing w:before="0" w:after="0"/>
            </w:pPr>
            <w:r>
              <w:rPr>
                <w:rFonts w:ascii="Arial" w:hAnsi="Arial"/>
                <w:b/>
                <w:color w:val="FFFFFF"/>
                <w:sz w:val="20"/>
              </w:rPr>
              <w:t>Description / Fraction</w:t>
            </w:r>
          </w:p>
        </w:tc>
        <w:tc>
          <w:tcPr>
            <w:tcW w:w="1440" w:type="dxa"/>
            <w:shd w:val="clear" w:color="auto" w:fill="1F4E79"/>
            <w:tcMar>
              <w:top w:w="120" w:type="dxa"/>
              <w:left w:w="100" w:type="dxa"/>
              <w:bottom w:w="120" w:type="dxa"/>
              <w:right w:w="100" w:type="dxa"/>
            </w:tcMar>
          </w:tcPr>
          <w:p w14:paraId="3493D870">
            <w:pPr>
              <w:spacing w:before="0" w:after="0"/>
            </w:pPr>
            <w:r>
              <w:rPr>
                <w:rFonts w:ascii="Arial" w:hAnsi="Arial"/>
                <w:b/>
                <w:color w:val="FFFFFF"/>
                <w:sz w:val="20"/>
              </w:rPr>
              <w:t>Observed Band</w:t>
            </w:r>
          </w:p>
        </w:tc>
        <w:tc>
          <w:tcPr>
            <w:tcW w:w="3168" w:type="dxa"/>
            <w:shd w:val="clear" w:color="auto" w:fill="1F4E79"/>
            <w:tcMar>
              <w:top w:w="120" w:type="dxa"/>
              <w:left w:w="100" w:type="dxa"/>
              <w:bottom w:w="120" w:type="dxa"/>
              <w:right w:w="100" w:type="dxa"/>
            </w:tcMar>
          </w:tcPr>
          <w:p w14:paraId="376C393D">
            <w:pPr>
              <w:spacing w:before="0" w:after="0"/>
            </w:pPr>
            <w:r>
              <w:rPr>
                <w:rFonts w:ascii="Arial" w:hAnsi="Arial"/>
                <w:b/>
                <w:color w:val="FFFFFF"/>
                <w:sz w:val="20"/>
              </w:rPr>
              <w:t>Purpose / Significance</w:t>
            </w:r>
          </w:p>
        </w:tc>
      </w:tr>
      <w:tr w14:paraId="560F1387">
        <w:tblPrEx>
          <w:tblCellMar>
            <w:top w:w="0" w:type="dxa"/>
            <w:left w:w="108" w:type="dxa"/>
            <w:bottom w:w="0" w:type="dxa"/>
            <w:right w:w="108" w:type="dxa"/>
          </w:tblCellMar>
        </w:tblPrEx>
        <w:trPr>
          <w:jc w:val="center"/>
        </w:trPr>
        <w:tc>
          <w:tcPr>
            <w:tcW w:w="1296" w:type="dxa"/>
            <w:shd w:val="clear" w:color="auto" w:fill="FFFFFF"/>
            <w:tcMar>
              <w:top w:w="100" w:type="dxa"/>
              <w:left w:w="100" w:type="dxa"/>
              <w:bottom w:w="100" w:type="dxa"/>
              <w:right w:w="100" w:type="dxa"/>
            </w:tcMar>
          </w:tcPr>
          <w:p w14:paraId="01316354">
            <w:pPr>
              <w:spacing w:before="0" w:after="0" w:line="276" w:lineRule="auto"/>
            </w:pPr>
            <w:r>
              <w:rPr>
                <w:rFonts w:ascii="Calibri" w:hAnsi="Calibri"/>
                <w:b/>
                <w:color w:val="333333"/>
                <w:sz w:val="20"/>
              </w:rPr>
              <w:t>Figure 9A</w:t>
            </w:r>
          </w:p>
        </w:tc>
        <w:tc>
          <w:tcPr>
            <w:tcW w:w="1440" w:type="dxa"/>
            <w:shd w:val="clear" w:color="auto" w:fill="FFFFFF"/>
            <w:tcMar>
              <w:top w:w="100" w:type="dxa"/>
              <w:left w:w="100" w:type="dxa"/>
              <w:bottom w:w="100" w:type="dxa"/>
              <w:right w:w="100" w:type="dxa"/>
            </w:tcMar>
          </w:tcPr>
          <w:p w14:paraId="79E1152A">
            <w:pPr>
              <w:spacing w:before="0" w:after="0" w:line="276" w:lineRule="auto"/>
            </w:pPr>
            <w:r>
              <w:rPr>
                <w:rFonts w:ascii="Calibri" w:hAnsi="Calibri"/>
                <w:b/>
                <w:color w:val="333333"/>
                <w:sz w:val="20"/>
              </w:rPr>
              <w:t>HDAC2</w:t>
            </w:r>
          </w:p>
        </w:tc>
        <w:tc>
          <w:tcPr>
            <w:tcW w:w="2016" w:type="dxa"/>
            <w:shd w:val="clear" w:color="auto" w:fill="FFFFFF"/>
            <w:tcMar>
              <w:top w:w="100" w:type="dxa"/>
              <w:left w:w="100" w:type="dxa"/>
              <w:bottom w:w="100" w:type="dxa"/>
              <w:right w:w="100" w:type="dxa"/>
            </w:tcMar>
          </w:tcPr>
          <w:p w14:paraId="71AE5CF1">
            <w:pPr>
              <w:spacing w:before="0" w:after="0" w:line="276" w:lineRule="auto"/>
            </w:pPr>
            <w:r>
              <w:rPr>
                <w:rFonts w:ascii="Calibri" w:hAnsi="Calibri"/>
                <w:color w:val="333333"/>
                <w:sz w:val="20"/>
              </w:rPr>
              <w:t>Histone Deacetylase 2</w:t>
            </w:r>
          </w:p>
        </w:tc>
        <w:tc>
          <w:tcPr>
            <w:tcW w:w="1440" w:type="dxa"/>
            <w:shd w:val="clear" w:color="auto" w:fill="FFFFFF"/>
            <w:tcMar>
              <w:top w:w="100" w:type="dxa"/>
              <w:left w:w="100" w:type="dxa"/>
              <w:bottom w:w="100" w:type="dxa"/>
              <w:right w:w="100" w:type="dxa"/>
            </w:tcMar>
          </w:tcPr>
          <w:p w14:paraId="2E755353">
            <w:pPr>
              <w:spacing w:before="0" w:after="0" w:line="276" w:lineRule="auto"/>
            </w:pPr>
            <w:r>
              <w:rPr>
                <w:rFonts w:ascii="Calibri" w:hAnsi="Calibri"/>
                <w:color w:val="333333"/>
                <w:sz w:val="20"/>
              </w:rPr>
              <w:t>~ 53 kDa</w:t>
            </w:r>
          </w:p>
        </w:tc>
        <w:tc>
          <w:tcPr>
            <w:tcW w:w="3168" w:type="dxa"/>
            <w:shd w:val="clear" w:color="auto" w:fill="FFFFFF"/>
            <w:tcMar>
              <w:top w:w="100" w:type="dxa"/>
              <w:left w:w="100" w:type="dxa"/>
              <w:bottom w:w="100" w:type="dxa"/>
              <w:right w:w="100" w:type="dxa"/>
            </w:tcMar>
          </w:tcPr>
          <w:p w14:paraId="22694103">
            <w:pPr>
              <w:spacing w:before="0" w:after="0" w:line="276" w:lineRule="auto"/>
            </w:pPr>
            <w:r>
              <w:rPr>
                <w:rFonts w:ascii="Calibri" w:hAnsi="Calibri"/>
                <w:color w:val="333333"/>
                <w:sz w:val="20"/>
              </w:rPr>
              <w:t>Demonstrates expression levels of HDAC2 across treatment groups relative to control and LPS-stimulated conditions.</w:t>
            </w:r>
          </w:p>
        </w:tc>
      </w:tr>
      <w:tr w14:paraId="38A5EB14">
        <w:tblPrEx>
          <w:tblCellMar>
            <w:top w:w="0" w:type="dxa"/>
            <w:left w:w="108" w:type="dxa"/>
            <w:bottom w:w="0" w:type="dxa"/>
            <w:right w:w="108" w:type="dxa"/>
          </w:tblCellMar>
        </w:tblPrEx>
        <w:trPr>
          <w:jc w:val="center"/>
        </w:trPr>
        <w:tc>
          <w:tcPr>
            <w:tcW w:w="1296" w:type="dxa"/>
            <w:shd w:val="clear" w:color="auto" w:fill="F2F4F7"/>
            <w:tcMar>
              <w:top w:w="100" w:type="dxa"/>
              <w:left w:w="100" w:type="dxa"/>
              <w:bottom w:w="100" w:type="dxa"/>
              <w:right w:w="100" w:type="dxa"/>
            </w:tcMar>
          </w:tcPr>
          <w:p w14:paraId="166AEF5E">
            <w:pPr>
              <w:spacing w:before="0" w:after="0" w:line="276" w:lineRule="auto"/>
            </w:pPr>
            <w:r>
              <w:rPr>
                <w:rFonts w:ascii="Calibri" w:hAnsi="Calibri"/>
                <w:b/>
                <w:color w:val="333333"/>
                <w:sz w:val="20"/>
              </w:rPr>
              <w:t>Figure 9A</w:t>
            </w:r>
          </w:p>
        </w:tc>
        <w:tc>
          <w:tcPr>
            <w:tcW w:w="1440" w:type="dxa"/>
            <w:shd w:val="clear" w:color="auto" w:fill="F2F4F7"/>
            <w:tcMar>
              <w:top w:w="100" w:type="dxa"/>
              <w:left w:w="100" w:type="dxa"/>
              <w:bottom w:w="100" w:type="dxa"/>
              <w:right w:w="100" w:type="dxa"/>
            </w:tcMar>
          </w:tcPr>
          <w:p w14:paraId="1157706D">
            <w:pPr>
              <w:spacing w:before="0" w:after="0" w:line="276" w:lineRule="auto"/>
            </w:pPr>
            <w:r>
              <w:rPr>
                <w:rFonts w:ascii="Calibri" w:hAnsi="Calibri"/>
                <w:b/>
                <w:color w:val="333333"/>
                <w:sz w:val="20"/>
              </w:rPr>
              <w:t>β-actin</w:t>
            </w:r>
          </w:p>
        </w:tc>
        <w:tc>
          <w:tcPr>
            <w:tcW w:w="2016" w:type="dxa"/>
            <w:shd w:val="clear" w:color="auto" w:fill="F2F4F7"/>
            <w:tcMar>
              <w:top w:w="100" w:type="dxa"/>
              <w:left w:w="100" w:type="dxa"/>
              <w:bottom w:w="100" w:type="dxa"/>
              <w:right w:w="100" w:type="dxa"/>
            </w:tcMar>
          </w:tcPr>
          <w:p w14:paraId="631A657C">
            <w:pPr>
              <w:spacing w:before="0" w:after="0" w:line="276" w:lineRule="auto"/>
            </w:pPr>
            <w:r>
              <w:rPr>
                <w:rFonts w:ascii="Calibri" w:hAnsi="Calibri"/>
                <w:color w:val="333333"/>
                <w:sz w:val="20"/>
              </w:rPr>
              <w:t>Loading control</w:t>
            </w:r>
          </w:p>
        </w:tc>
        <w:tc>
          <w:tcPr>
            <w:tcW w:w="1440" w:type="dxa"/>
            <w:shd w:val="clear" w:color="auto" w:fill="F2F4F7"/>
            <w:tcMar>
              <w:top w:w="100" w:type="dxa"/>
              <w:left w:w="100" w:type="dxa"/>
              <w:bottom w:w="100" w:type="dxa"/>
              <w:right w:w="100" w:type="dxa"/>
            </w:tcMar>
          </w:tcPr>
          <w:p w14:paraId="020B2FEA">
            <w:pPr>
              <w:spacing w:before="0" w:after="0" w:line="276" w:lineRule="auto"/>
            </w:pPr>
            <w:r>
              <w:rPr>
                <w:rFonts w:ascii="Calibri" w:hAnsi="Calibri"/>
                <w:color w:val="333333"/>
                <w:sz w:val="20"/>
              </w:rPr>
              <w:t>~ 42 kDa</w:t>
            </w:r>
          </w:p>
        </w:tc>
        <w:tc>
          <w:tcPr>
            <w:tcW w:w="3168" w:type="dxa"/>
            <w:shd w:val="clear" w:color="auto" w:fill="F2F4F7"/>
            <w:tcMar>
              <w:top w:w="100" w:type="dxa"/>
              <w:left w:w="100" w:type="dxa"/>
              <w:bottom w:w="100" w:type="dxa"/>
              <w:right w:w="100" w:type="dxa"/>
            </w:tcMar>
          </w:tcPr>
          <w:p w14:paraId="7B60E07B">
            <w:pPr>
              <w:spacing w:before="0" w:after="0" w:line="276" w:lineRule="auto"/>
            </w:pPr>
            <w:r>
              <w:rPr>
                <w:rFonts w:ascii="Calibri" w:hAnsi="Calibri"/>
                <w:color w:val="333333"/>
                <w:sz w:val="20"/>
              </w:rPr>
              <w:t>Serves as a whole-cell / cytosolic internal loading control to confirm equal protein loading across lanes.</w:t>
            </w:r>
          </w:p>
        </w:tc>
      </w:tr>
      <w:tr w14:paraId="787EDEF8">
        <w:tblPrEx>
          <w:tblCellMar>
            <w:top w:w="0" w:type="dxa"/>
            <w:left w:w="108" w:type="dxa"/>
            <w:bottom w:w="0" w:type="dxa"/>
            <w:right w:w="108" w:type="dxa"/>
          </w:tblCellMar>
        </w:tblPrEx>
        <w:trPr>
          <w:jc w:val="center"/>
        </w:trPr>
        <w:tc>
          <w:tcPr>
            <w:tcW w:w="1296" w:type="dxa"/>
            <w:shd w:val="clear" w:color="auto" w:fill="FFFFFF"/>
            <w:tcMar>
              <w:top w:w="100" w:type="dxa"/>
              <w:left w:w="100" w:type="dxa"/>
              <w:bottom w:w="100" w:type="dxa"/>
              <w:right w:w="100" w:type="dxa"/>
            </w:tcMar>
          </w:tcPr>
          <w:p w14:paraId="2FC0EBCB">
            <w:pPr>
              <w:spacing w:before="0" w:after="0" w:line="276" w:lineRule="auto"/>
            </w:pPr>
            <w:r>
              <w:rPr>
                <w:rFonts w:ascii="Calibri" w:hAnsi="Calibri"/>
                <w:b/>
                <w:color w:val="333333"/>
                <w:sz w:val="20"/>
              </w:rPr>
              <w:t>Figure 9B</w:t>
            </w:r>
          </w:p>
        </w:tc>
        <w:tc>
          <w:tcPr>
            <w:tcW w:w="1440" w:type="dxa"/>
            <w:shd w:val="clear" w:color="auto" w:fill="FFFFFF"/>
            <w:tcMar>
              <w:top w:w="100" w:type="dxa"/>
              <w:left w:w="100" w:type="dxa"/>
              <w:bottom w:w="100" w:type="dxa"/>
              <w:right w:w="100" w:type="dxa"/>
            </w:tcMar>
          </w:tcPr>
          <w:p w14:paraId="6FE2C395">
            <w:pPr>
              <w:spacing w:before="0" w:after="0" w:line="276" w:lineRule="auto"/>
            </w:pPr>
            <w:r>
              <w:rPr>
                <w:rFonts w:ascii="Calibri" w:hAnsi="Calibri"/>
                <w:b/>
                <w:color w:val="333333"/>
                <w:sz w:val="20"/>
              </w:rPr>
              <w:t>HO-1</w:t>
            </w:r>
          </w:p>
        </w:tc>
        <w:tc>
          <w:tcPr>
            <w:tcW w:w="2016" w:type="dxa"/>
            <w:shd w:val="clear" w:color="auto" w:fill="FFFFFF"/>
            <w:tcMar>
              <w:top w:w="100" w:type="dxa"/>
              <w:left w:w="100" w:type="dxa"/>
              <w:bottom w:w="100" w:type="dxa"/>
              <w:right w:w="100" w:type="dxa"/>
            </w:tcMar>
          </w:tcPr>
          <w:p w14:paraId="01001944">
            <w:pPr>
              <w:spacing w:before="0" w:after="0" w:line="276" w:lineRule="auto"/>
            </w:pPr>
            <w:r>
              <w:rPr>
                <w:rFonts w:ascii="Calibri" w:hAnsi="Calibri"/>
                <w:color w:val="333333"/>
                <w:sz w:val="20"/>
              </w:rPr>
              <w:t>Heme Oxygenase-1</w:t>
            </w:r>
          </w:p>
        </w:tc>
        <w:tc>
          <w:tcPr>
            <w:tcW w:w="1440" w:type="dxa"/>
            <w:shd w:val="clear" w:color="auto" w:fill="FFFFFF"/>
            <w:tcMar>
              <w:top w:w="100" w:type="dxa"/>
              <w:left w:w="100" w:type="dxa"/>
              <w:bottom w:w="100" w:type="dxa"/>
              <w:right w:w="100" w:type="dxa"/>
            </w:tcMar>
          </w:tcPr>
          <w:p w14:paraId="02227693">
            <w:pPr>
              <w:spacing w:before="0" w:after="0" w:line="276" w:lineRule="auto"/>
            </w:pPr>
            <w:r>
              <w:rPr>
                <w:rFonts w:ascii="Calibri" w:hAnsi="Calibri"/>
                <w:color w:val="333333"/>
                <w:sz w:val="20"/>
              </w:rPr>
              <w:t>~ 32 kDa</w:t>
            </w:r>
          </w:p>
        </w:tc>
        <w:tc>
          <w:tcPr>
            <w:tcW w:w="3168" w:type="dxa"/>
            <w:shd w:val="clear" w:color="auto" w:fill="FFFFFF"/>
            <w:tcMar>
              <w:top w:w="100" w:type="dxa"/>
              <w:left w:w="100" w:type="dxa"/>
              <w:bottom w:w="100" w:type="dxa"/>
              <w:right w:w="100" w:type="dxa"/>
            </w:tcMar>
          </w:tcPr>
          <w:p w14:paraId="3C9FA45B">
            <w:pPr>
              <w:spacing w:before="0" w:after="0" w:line="276" w:lineRule="auto"/>
            </w:pPr>
            <w:r>
              <w:rPr>
                <w:rFonts w:ascii="Calibri" w:hAnsi="Calibri"/>
                <w:color w:val="333333"/>
                <w:sz w:val="20"/>
              </w:rPr>
              <w:t>Evaluates antioxidant pathway activation (HO-1 expression) in response to treatments.</w:t>
            </w:r>
          </w:p>
        </w:tc>
      </w:tr>
      <w:tr w14:paraId="36B9C2C0">
        <w:tblPrEx>
          <w:tblCellMar>
            <w:top w:w="0" w:type="dxa"/>
            <w:left w:w="108" w:type="dxa"/>
            <w:bottom w:w="0" w:type="dxa"/>
            <w:right w:w="108" w:type="dxa"/>
          </w:tblCellMar>
        </w:tblPrEx>
        <w:trPr>
          <w:jc w:val="center"/>
        </w:trPr>
        <w:tc>
          <w:tcPr>
            <w:tcW w:w="1296" w:type="dxa"/>
            <w:shd w:val="clear" w:color="auto" w:fill="F2F4F7"/>
            <w:tcMar>
              <w:top w:w="100" w:type="dxa"/>
              <w:left w:w="100" w:type="dxa"/>
              <w:bottom w:w="100" w:type="dxa"/>
              <w:right w:w="100" w:type="dxa"/>
            </w:tcMar>
          </w:tcPr>
          <w:p w14:paraId="67DED2FD">
            <w:pPr>
              <w:spacing w:before="0" w:after="0" w:line="276" w:lineRule="auto"/>
            </w:pPr>
            <w:r>
              <w:rPr>
                <w:rFonts w:ascii="Calibri" w:hAnsi="Calibri"/>
                <w:b/>
                <w:color w:val="333333"/>
                <w:sz w:val="20"/>
              </w:rPr>
              <w:t>Figure 9C</w:t>
            </w:r>
          </w:p>
        </w:tc>
        <w:tc>
          <w:tcPr>
            <w:tcW w:w="1440" w:type="dxa"/>
            <w:shd w:val="clear" w:color="auto" w:fill="F2F4F7"/>
            <w:tcMar>
              <w:top w:w="100" w:type="dxa"/>
              <w:left w:w="100" w:type="dxa"/>
              <w:bottom w:w="100" w:type="dxa"/>
              <w:right w:w="100" w:type="dxa"/>
            </w:tcMar>
          </w:tcPr>
          <w:p w14:paraId="1BFAF5C6">
            <w:pPr>
              <w:spacing w:before="0" w:after="0" w:line="276" w:lineRule="auto"/>
            </w:pPr>
            <w:r>
              <w:rPr>
                <w:rFonts w:ascii="Calibri" w:hAnsi="Calibri"/>
                <w:b/>
                <w:color w:val="333333"/>
                <w:sz w:val="20"/>
              </w:rPr>
              <w:t>Nrf2</w:t>
            </w:r>
          </w:p>
        </w:tc>
        <w:tc>
          <w:tcPr>
            <w:tcW w:w="2016" w:type="dxa"/>
            <w:shd w:val="clear" w:color="auto" w:fill="F2F4F7"/>
            <w:tcMar>
              <w:top w:w="100" w:type="dxa"/>
              <w:left w:w="100" w:type="dxa"/>
              <w:bottom w:w="100" w:type="dxa"/>
              <w:right w:w="100" w:type="dxa"/>
            </w:tcMar>
          </w:tcPr>
          <w:p w14:paraId="50A6A407">
            <w:pPr>
              <w:spacing w:before="0" w:after="0" w:line="276" w:lineRule="auto"/>
            </w:pPr>
            <w:r>
              <w:rPr>
                <w:rFonts w:ascii="Calibri" w:hAnsi="Calibri"/>
                <w:color w:val="333333"/>
                <w:sz w:val="20"/>
              </w:rPr>
              <w:t>Nuclear fraction</w:t>
            </w:r>
          </w:p>
        </w:tc>
        <w:tc>
          <w:tcPr>
            <w:tcW w:w="1440" w:type="dxa"/>
            <w:shd w:val="clear" w:color="auto" w:fill="F2F4F7"/>
            <w:tcMar>
              <w:top w:w="100" w:type="dxa"/>
              <w:left w:w="100" w:type="dxa"/>
              <w:bottom w:w="100" w:type="dxa"/>
              <w:right w:w="100" w:type="dxa"/>
            </w:tcMar>
          </w:tcPr>
          <w:p w14:paraId="15E02463">
            <w:pPr>
              <w:spacing w:before="0" w:after="0" w:line="276" w:lineRule="auto"/>
            </w:pPr>
            <w:r>
              <w:rPr>
                <w:rFonts w:ascii="Calibri" w:hAnsi="Calibri"/>
                <w:color w:val="333333"/>
                <w:sz w:val="20"/>
              </w:rPr>
              <w:t>~ 58–70 kDa</w:t>
            </w:r>
          </w:p>
        </w:tc>
        <w:tc>
          <w:tcPr>
            <w:tcW w:w="3168" w:type="dxa"/>
            <w:shd w:val="clear" w:color="auto" w:fill="F2F4F7"/>
            <w:tcMar>
              <w:top w:w="100" w:type="dxa"/>
              <w:left w:w="100" w:type="dxa"/>
              <w:bottom w:w="100" w:type="dxa"/>
              <w:right w:w="100" w:type="dxa"/>
            </w:tcMar>
          </w:tcPr>
          <w:p w14:paraId="6C80BB51">
            <w:pPr>
              <w:spacing w:before="0" w:after="0" w:line="276" w:lineRule="auto"/>
            </w:pPr>
            <w:r>
              <w:rPr>
                <w:rFonts w:ascii="Calibri" w:hAnsi="Calibri"/>
                <w:color w:val="333333"/>
                <w:sz w:val="20"/>
              </w:rPr>
              <w:t>Measures nuclear translocation of Nrf2 across treatment conditions.</w:t>
            </w:r>
          </w:p>
        </w:tc>
      </w:tr>
      <w:tr w14:paraId="2A99411E">
        <w:tblPrEx>
          <w:tblCellMar>
            <w:top w:w="0" w:type="dxa"/>
            <w:left w:w="108" w:type="dxa"/>
            <w:bottom w:w="0" w:type="dxa"/>
            <w:right w:w="108" w:type="dxa"/>
          </w:tblCellMar>
        </w:tblPrEx>
        <w:trPr>
          <w:jc w:val="center"/>
        </w:trPr>
        <w:tc>
          <w:tcPr>
            <w:tcW w:w="1296" w:type="dxa"/>
            <w:shd w:val="clear" w:color="auto" w:fill="FFFFFF"/>
            <w:tcMar>
              <w:top w:w="100" w:type="dxa"/>
              <w:left w:w="100" w:type="dxa"/>
              <w:bottom w:w="100" w:type="dxa"/>
              <w:right w:w="100" w:type="dxa"/>
            </w:tcMar>
          </w:tcPr>
          <w:p w14:paraId="54D9E261">
            <w:pPr>
              <w:spacing w:before="0" w:after="0" w:line="276" w:lineRule="auto"/>
            </w:pPr>
            <w:r>
              <w:rPr>
                <w:rFonts w:ascii="Calibri" w:hAnsi="Calibri"/>
                <w:b/>
                <w:color w:val="333333"/>
                <w:sz w:val="20"/>
              </w:rPr>
              <w:t>Figure 9D</w:t>
            </w:r>
          </w:p>
        </w:tc>
        <w:tc>
          <w:tcPr>
            <w:tcW w:w="1440" w:type="dxa"/>
            <w:shd w:val="clear" w:color="auto" w:fill="FFFFFF"/>
            <w:tcMar>
              <w:top w:w="100" w:type="dxa"/>
              <w:left w:w="100" w:type="dxa"/>
              <w:bottom w:w="100" w:type="dxa"/>
              <w:right w:w="100" w:type="dxa"/>
            </w:tcMar>
          </w:tcPr>
          <w:p w14:paraId="6FBB8BBA">
            <w:pPr>
              <w:spacing w:before="0" w:after="0" w:line="276" w:lineRule="auto"/>
            </w:pPr>
            <w:r>
              <w:rPr>
                <w:rFonts w:ascii="Calibri" w:hAnsi="Calibri"/>
                <w:b/>
                <w:color w:val="333333"/>
                <w:sz w:val="20"/>
              </w:rPr>
              <w:t>β-actin</w:t>
            </w:r>
          </w:p>
        </w:tc>
        <w:tc>
          <w:tcPr>
            <w:tcW w:w="2016" w:type="dxa"/>
            <w:shd w:val="clear" w:color="auto" w:fill="FFFFFF"/>
            <w:tcMar>
              <w:top w:w="100" w:type="dxa"/>
              <w:left w:w="100" w:type="dxa"/>
              <w:bottom w:w="100" w:type="dxa"/>
              <w:right w:w="100" w:type="dxa"/>
            </w:tcMar>
          </w:tcPr>
          <w:p w14:paraId="649F40AF">
            <w:pPr>
              <w:spacing w:before="0" w:after="0" w:line="276" w:lineRule="auto"/>
            </w:pPr>
            <w:r>
              <w:rPr>
                <w:rFonts w:ascii="Calibri" w:hAnsi="Calibri"/>
                <w:color w:val="333333"/>
                <w:sz w:val="20"/>
              </w:rPr>
              <w:t>Cytosolic loading control</w:t>
            </w:r>
          </w:p>
        </w:tc>
        <w:tc>
          <w:tcPr>
            <w:tcW w:w="1440" w:type="dxa"/>
            <w:shd w:val="clear" w:color="auto" w:fill="FFFFFF"/>
            <w:tcMar>
              <w:top w:w="100" w:type="dxa"/>
              <w:left w:w="100" w:type="dxa"/>
              <w:bottom w:w="100" w:type="dxa"/>
              <w:right w:w="100" w:type="dxa"/>
            </w:tcMar>
          </w:tcPr>
          <w:p w14:paraId="35B5B63B">
            <w:pPr>
              <w:spacing w:before="0" w:after="0" w:line="276" w:lineRule="auto"/>
            </w:pPr>
            <w:r>
              <w:rPr>
                <w:rFonts w:ascii="Calibri" w:hAnsi="Calibri"/>
                <w:color w:val="333333"/>
                <w:sz w:val="20"/>
              </w:rPr>
              <w:t>~ 42 kDa</w:t>
            </w:r>
          </w:p>
        </w:tc>
        <w:tc>
          <w:tcPr>
            <w:tcW w:w="3168" w:type="dxa"/>
            <w:shd w:val="clear" w:color="auto" w:fill="FFFFFF"/>
            <w:tcMar>
              <w:top w:w="100" w:type="dxa"/>
              <w:left w:w="100" w:type="dxa"/>
              <w:bottom w:w="100" w:type="dxa"/>
              <w:right w:w="100" w:type="dxa"/>
            </w:tcMar>
          </w:tcPr>
          <w:p w14:paraId="41329D7A">
            <w:pPr>
              <w:spacing w:before="0" w:after="0" w:line="276" w:lineRule="auto"/>
            </w:pPr>
            <w:r>
              <w:rPr>
                <w:rFonts w:ascii="Calibri" w:hAnsi="Calibri"/>
                <w:color w:val="333333"/>
                <w:sz w:val="20"/>
              </w:rPr>
              <w:t>Internal loading control for cytosolic protein fractions in Figure 9D.</w:t>
            </w:r>
          </w:p>
        </w:tc>
      </w:tr>
      <w:tr w14:paraId="7B6D7225">
        <w:tblPrEx>
          <w:tblCellMar>
            <w:top w:w="0" w:type="dxa"/>
            <w:left w:w="108" w:type="dxa"/>
            <w:bottom w:w="0" w:type="dxa"/>
            <w:right w:w="108" w:type="dxa"/>
          </w:tblCellMar>
        </w:tblPrEx>
        <w:trPr>
          <w:jc w:val="center"/>
        </w:trPr>
        <w:tc>
          <w:tcPr>
            <w:tcW w:w="1296" w:type="dxa"/>
            <w:shd w:val="clear" w:color="auto" w:fill="F2F4F7"/>
            <w:tcMar>
              <w:top w:w="100" w:type="dxa"/>
              <w:left w:w="100" w:type="dxa"/>
              <w:bottom w:w="100" w:type="dxa"/>
              <w:right w:w="100" w:type="dxa"/>
            </w:tcMar>
          </w:tcPr>
          <w:p w14:paraId="71B82A83">
            <w:pPr>
              <w:spacing w:before="0" w:after="0" w:line="276" w:lineRule="auto"/>
            </w:pPr>
            <w:r>
              <w:rPr>
                <w:rFonts w:ascii="Calibri" w:hAnsi="Calibri"/>
                <w:b/>
                <w:color w:val="333333"/>
                <w:sz w:val="20"/>
              </w:rPr>
              <w:t>Figure 9E</w:t>
            </w:r>
          </w:p>
        </w:tc>
        <w:tc>
          <w:tcPr>
            <w:tcW w:w="1440" w:type="dxa"/>
            <w:shd w:val="clear" w:color="auto" w:fill="F2F4F7"/>
            <w:tcMar>
              <w:top w:w="100" w:type="dxa"/>
              <w:left w:w="100" w:type="dxa"/>
              <w:bottom w:w="100" w:type="dxa"/>
              <w:right w:w="100" w:type="dxa"/>
            </w:tcMar>
          </w:tcPr>
          <w:p w14:paraId="5FFE8242">
            <w:pPr>
              <w:spacing w:before="0" w:after="0" w:line="276" w:lineRule="auto"/>
            </w:pPr>
            <w:r>
              <w:rPr>
                <w:rFonts w:ascii="Calibri" w:hAnsi="Calibri"/>
                <w:b/>
                <w:color w:val="333333"/>
                <w:sz w:val="20"/>
              </w:rPr>
              <w:t>Lamin B1</w:t>
            </w:r>
          </w:p>
        </w:tc>
        <w:tc>
          <w:tcPr>
            <w:tcW w:w="2016" w:type="dxa"/>
            <w:shd w:val="clear" w:color="auto" w:fill="F2F4F7"/>
            <w:tcMar>
              <w:top w:w="100" w:type="dxa"/>
              <w:left w:w="100" w:type="dxa"/>
              <w:bottom w:w="100" w:type="dxa"/>
              <w:right w:w="100" w:type="dxa"/>
            </w:tcMar>
          </w:tcPr>
          <w:p w14:paraId="7811B189">
            <w:pPr>
              <w:spacing w:before="0" w:after="0" w:line="276" w:lineRule="auto"/>
            </w:pPr>
            <w:r>
              <w:rPr>
                <w:rFonts w:ascii="Calibri" w:hAnsi="Calibri"/>
                <w:color w:val="333333"/>
                <w:sz w:val="20"/>
              </w:rPr>
              <w:t>Nuclear loading control</w:t>
            </w:r>
          </w:p>
        </w:tc>
        <w:tc>
          <w:tcPr>
            <w:tcW w:w="1440" w:type="dxa"/>
            <w:shd w:val="clear" w:color="auto" w:fill="F2F4F7"/>
            <w:tcMar>
              <w:top w:w="100" w:type="dxa"/>
              <w:left w:w="100" w:type="dxa"/>
              <w:bottom w:w="100" w:type="dxa"/>
              <w:right w:w="100" w:type="dxa"/>
            </w:tcMar>
          </w:tcPr>
          <w:p w14:paraId="14F21009">
            <w:pPr>
              <w:spacing w:before="0" w:after="0" w:line="276" w:lineRule="auto"/>
            </w:pPr>
            <w:r>
              <w:rPr>
                <w:rFonts w:ascii="Calibri" w:hAnsi="Calibri"/>
                <w:color w:val="333333"/>
                <w:sz w:val="20"/>
              </w:rPr>
              <w:t>~ 66 kDa</w:t>
            </w:r>
          </w:p>
        </w:tc>
        <w:tc>
          <w:tcPr>
            <w:tcW w:w="3168" w:type="dxa"/>
            <w:shd w:val="clear" w:color="auto" w:fill="F2F4F7"/>
            <w:tcMar>
              <w:top w:w="100" w:type="dxa"/>
              <w:left w:w="100" w:type="dxa"/>
              <w:bottom w:w="100" w:type="dxa"/>
              <w:right w:w="100" w:type="dxa"/>
            </w:tcMar>
          </w:tcPr>
          <w:p w14:paraId="3A5637AE">
            <w:pPr>
              <w:spacing w:before="0" w:after="0" w:line="276" w:lineRule="auto"/>
            </w:pPr>
            <w:r>
              <w:rPr>
                <w:rFonts w:ascii="Calibri" w:hAnsi="Calibri"/>
                <w:color w:val="333333"/>
                <w:sz w:val="20"/>
              </w:rPr>
              <w:t>Nuclear-specific loading control to ensure equal loading of nuclear protein extracts.</w:t>
            </w:r>
          </w:p>
        </w:tc>
      </w:tr>
    </w:tbl>
    <w:p w14:paraId="543B3DE8">
      <w:pPr>
        <w:spacing w:after="120"/>
      </w:pPr>
    </w:p>
    <w:p w14:paraId="49552689">
      <w:pPr>
        <w:keepNext/>
        <w:spacing w:before="280" w:after="120"/>
      </w:pPr>
      <w:r>
        <w:rPr>
          <w:rFonts w:ascii="Arial" w:hAnsi="Arial"/>
          <w:b/>
          <w:color w:val="1F4E79"/>
          <w:sz w:val="32"/>
        </w:rPr>
        <w:t>3. Experimental Groups &amp; Lane Layout</w:t>
      </w:r>
    </w:p>
    <w:p w14:paraId="5B13967F">
      <w:pPr>
        <w:spacing w:after="120"/>
      </w:pPr>
      <w:r>
        <w:rPr>
          <w:rFonts w:ascii="Calibri" w:hAnsi="Calibri"/>
          <w:color w:val="333333"/>
          <w:sz w:val="22"/>
        </w:rPr>
        <w:t>Across all six panels, the lanes are loaded sequentially from left to right as follows:</w:t>
      </w:r>
    </w:p>
    <w:p w14:paraId="0A376B2B">
      <w:pPr>
        <w:pStyle w:val="23"/>
        <w:spacing w:before="0" w:after="60" w:line="276" w:lineRule="auto"/>
      </w:pPr>
      <w:r>
        <w:rPr>
          <w:rFonts w:ascii="Calibri" w:hAnsi="Calibri"/>
          <w:b/>
          <w:color w:val="1F4E79"/>
          <w:sz w:val="22"/>
        </w:rPr>
        <w:t xml:space="preserve">M: </w:t>
      </w:r>
      <w:r>
        <w:rPr>
          <w:rFonts w:ascii="Calibri" w:hAnsi="Calibri"/>
          <w:color w:val="333333"/>
          <w:sz w:val="22"/>
        </w:rPr>
        <w:t>Protein molecular weight marker (kDa ladder)</w:t>
      </w:r>
    </w:p>
    <w:p w14:paraId="230C4CE5">
      <w:pPr>
        <w:pStyle w:val="23"/>
        <w:spacing w:before="0" w:after="60" w:line="276" w:lineRule="auto"/>
      </w:pPr>
      <w:r>
        <w:rPr>
          <w:rFonts w:ascii="Calibri" w:hAnsi="Calibri"/>
          <w:b/>
          <w:color w:val="1F4E79"/>
          <w:sz w:val="22"/>
        </w:rPr>
        <w:t xml:space="preserve">NC: </w:t>
      </w:r>
      <w:r>
        <w:rPr>
          <w:rFonts w:ascii="Calibri" w:hAnsi="Calibri"/>
          <w:color w:val="333333"/>
          <w:sz w:val="22"/>
        </w:rPr>
        <w:t>Negative Control (untreated cells)</w:t>
      </w:r>
    </w:p>
    <w:p w14:paraId="211C112E">
      <w:pPr>
        <w:pStyle w:val="23"/>
        <w:spacing w:before="0" w:after="60" w:line="276" w:lineRule="auto"/>
      </w:pPr>
      <w:r>
        <w:rPr>
          <w:rFonts w:ascii="Calibri" w:hAnsi="Calibri"/>
          <w:b/>
          <w:color w:val="1F4E79"/>
          <w:sz w:val="22"/>
        </w:rPr>
        <w:t xml:space="preserve">LPS: </w:t>
      </w:r>
      <w:r>
        <w:rPr>
          <w:rFonts w:ascii="Calibri" w:hAnsi="Calibri"/>
          <w:color w:val="333333"/>
          <w:sz w:val="22"/>
        </w:rPr>
        <w:t>Lipopolysaccharide-stimulated control</w:t>
      </w:r>
    </w:p>
    <w:p w14:paraId="5961A18D">
      <w:pPr>
        <w:pStyle w:val="23"/>
        <w:spacing w:before="0" w:after="60" w:line="276" w:lineRule="auto"/>
      </w:pPr>
      <w:r>
        <w:rPr>
          <w:rFonts w:ascii="Calibri" w:hAnsi="Calibri"/>
          <w:b/>
          <w:color w:val="1F4E79"/>
          <w:sz w:val="22"/>
        </w:rPr>
        <w:t xml:space="preserve">KAMP-18: </w:t>
      </w:r>
      <w:r>
        <w:rPr>
          <w:rFonts w:ascii="Calibri" w:hAnsi="Calibri"/>
          <w:color w:val="333333"/>
          <w:sz w:val="22"/>
        </w:rPr>
        <w:t>KAMP-18 aqueous solution</w:t>
      </w:r>
    </w:p>
    <w:p w14:paraId="7A4DF4C2">
      <w:pPr>
        <w:pStyle w:val="23"/>
        <w:spacing w:before="0" w:after="60" w:line="276" w:lineRule="auto"/>
      </w:pPr>
      <w:r>
        <w:rPr>
          <w:rFonts w:ascii="Calibri" w:hAnsi="Calibri"/>
          <w:b/>
          <w:color w:val="1F4E79"/>
          <w:sz w:val="22"/>
        </w:rPr>
        <w:t xml:space="preserve">Theo: </w:t>
      </w:r>
      <w:r>
        <w:rPr>
          <w:rFonts w:ascii="Calibri" w:hAnsi="Calibri"/>
          <w:color w:val="333333"/>
          <w:sz w:val="22"/>
        </w:rPr>
        <w:t>Theophylline aqueous solution</w:t>
      </w:r>
    </w:p>
    <w:p w14:paraId="57EB668F">
      <w:pPr>
        <w:pStyle w:val="23"/>
        <w:spacing w:before="0" w:after="60" w:line="276" w:lineRule="auto"/>
      </w:pPr>
      <w:r>
        <w:rPr>
          <w:rFonts w:ascii="Calibri" w:hAnsi="Calibri"/>
          <w:b/>
          <w:color w:val="1F4E79"/>
          <w:sz w:val="22"/>
        </w:rPr>
        <w:t xml:space="preserve">Co-DPI: </w:t>
      </w:r>
      <w:r>
        <w:rPr>
          <w:rFonts w:ascii="Calibri" w:hAnsi="Calibri"/>
          <w:color w:val="333333"/>
          <w:sz w:val="22"/>
        </w:rPr>
        <w:t>Optimized co-spray-dried dry powder inhaler formulation (KAMP-18 / Theophylline combination)</w:t>
      </w:r>
    </w:p>
    <w:p w14:paraId="5A0842D7">
      <w:pPr>
        <w:keepNext/>
        <w:spacing w:before="280" w:after="120"/>
      </w:pPr>
      <w:r>
        <w:rPr>
          <w:rFonts w:ascii="Arial" w:hAnsi="Arial"/>
          <w:b/>
          <w:color w:val="1F4E79"/>
          <w:sz w:val="32"/>
        </w:rPr>
        <w:t>4. Footnotes &amp; Image Annotations</w:t>
      </w:r>
    </w:p>
    <w:p w14:paraId="43449827">
      <w:pPr>
        <w:pStyle w:val="23"/>
        <w:spacing w:before="0" w:after="80" w:line="276" w:lineRule="auto"/>
      </w:pPr>
      <w:r>
        <w:rPr>
          <w:rFonts w:ascii="Calibri" w:hAnsi="Calibri"/>
          <w:b/>
          <w:color w:val="333333"/>
          <w:sz w:val="22"/>
        </w:rPr>
        <w:t xml:space="preserve">Dashed Rectangles ( - - - ): </w:t>
      </w:r>
      <w:r>
        <w:rPr>
          <w:rFonts w:ascii="Calibri" w:hAnsi="Calibri"/>
          <w:color w:val="333333"/>
          <w:sz w:val="22"/>
        </w:rPr>
        <w:t>Indicate the specific cropped band regions displayed in the main text figures (Figure 9A–E).</w:t>
      </w:r>
    </w:p>
    <w:p w14:paraId="1A8F7DEE">
      <w:pPr>
        <w:pStyle w:val="23"/>
        <w:spacing w:before="0" w:after="80" w:line="276" w:lineRule="auto"/>
      </w:pPr>
      <w:r>
        <w:rPr>
          <w:rFonts w:ascii="Calibri" w:hAnsi="Calibri"/>
          <w:b/>
          <w:color w:val="333333"/>
          <w:sz w:val="22"/>
        </w:rPr>
        <w:t xml:space="preserve">Documentation Standard: </w:t>
      </w:r>
      <w:r>
        <w:rPr>
          <w:rFonts w:ascii="Calibri" w:hAnsi="Calibri"/>
          <w:color w:val="333333"/>
          <w:sz w:val="22"/>
        </w:rPr>
        <w:t>These images are non-contrast and non-standardized full-length membrane blots generated for full compliance, documenting complete antibody specificity and membrane integrity.</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roman"/>
    <w:pitch w:val="default"/>
    <w:sig w:usb0="E00002FF" w:usb1="6AC7FDFB" w:usb2="00000012" w:usb3="00000000" w:csb0="4002009F" w:csb1="DFD70000"/>
  </w:font>
  <w:font w:name="MS Gothic">
    <w:panose1 w:val="020B0609070205080204"/>
    <w:charset w:val="80"/>
    <w:family w:val="modern"/>
    <w:pitch w:val="default"/>
    <w:sig w:usb0="E00002FF" w:usb1="6AC7FDFB" w:usb2="00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A083B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Dell</cp:lastModifiedBy>
  <dcterms:modified xsi:type="dcterms:W3CDTF">2026-09-03T07:40:50Z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eyJoZGlkIjoiZjU3OTk3MzhlNGU1NGQyZmM4Y2ZmMGM4MzBlZTlmMTcifQ==</vt:lpwstr>
  </property>
  <property fmtid="{D5CDD505-2E9C-101B-9397-08002B2CF9AE}" pid="3" name="KSOProductBuildVer">
    <vt:lpwstr>1033-12.1.0.28032</vt:lpwstr>
  </property>
  <property fmtid="{D5CDD505-2E9C-101B-9397-08002B2CF9AE}" pid="4" name="ICV">
    <vt:lpwstr>7420AAF30D8842B5841171E24FA2535A_12</vt:lpwstr>
  </property>
</Properties>
</file>