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06BB3" w14:textId="77777777" w:rsidR="0068602E" w:rsidRPr="00826342" w:rsidRDefault="0068602E" w:rsidP="0068602E">
      <w:pPr>
        <w:pStyle w:val="CommentText"/>
        <w:spacing w:after="0" w:line="480" w:lineRule="auto"/>
        <w:jc w:val="both"/>
        <w:rPr>
          <w:rFonts w:ascii="Times New Roman" w:hAnsi="Times New Roman" w:cs="Times New Roman"/>
          <w:b/>
          <w:bCs/>
          <w:sz w:val="24"/>
          <w:szCs w:val="24"/>
          <w:lang w:val="en-US"/>
        </w:rPr>
      </w:pPr>
      <w:r w:rsidRPr="0082634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1</w:t>
      </w:r>
      <w:r w:rsidRPr="0082634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C</w:t>
      </w:r>
      <w:r w:rsidRPr="00EF545D">
        <w:rPr>
          <w:rFonts w:ascii="Times New Roman" w:hAnsi="Times New Roman" w:cs="Times New Roman"/>
          <w:b/>
          <w:bCs/>
          <w:sz w:val="24"/>
          <w:szCs w:val="24"/>
          <w:lang w:val="en-US"/>
        </w:rPr>
        <w:t xml:space="preserve">haracteristics of </w:t>
      </w:r>
      <w:r>
        <w:rPr>
          <w:rFonts w:ascii="Times New Roman" w:hAnsi="Times New Roman" w:cs="Times New Roman"/>
          <w:b/>
          <w:bCs/>
          <w:sz w:val="24"/>
          <w:szCs w:val="24"/>
          <w:lang w:val="en-US"/>
        </w:rPr>
        <w:t>I</w:t>
      </w:r>
      <w:r w:rsidRPr="00EF545D">
        <w:rPr>
          <w:rFonts w:ascii="Times New Roman" w:hAnsi="Times New Roman" w:cs="Times New Roman"/>
          <w:b/>
          <w:bCs/>
          <w:sz w:val="24"/>
          <w:szCs w:val="24"/>
          <w:lang w:val="en-US"/>
        </w:rPr>
        <w:t xml:space="preserve">ncluded </w:t>
      </w:r>
      <w:r>
        <w:rPr>
          <w:rFonts w:ascii="Times New Roman" w:hAnsi="Times New Roman" w:cs="Times New Roman"/>
          <w:b/>
          <w:bCs/>
          <w:sz w:val="24"/>
          <w:szCs w:val="24"/>
          <w:lang w:val="en-US"/>
        </w:rPr>
        <w:t>S</w:t>
      </w:r>
      <w:r w:rsidRPr="00EF545D">
        <w:rPr>
          <w:rFonts w:ascii="Times New Roman" w:hAnsi="Times New Roman" w:cs="Times New Roman"/>
          <w:b/>
          <w:bCs/>
          <w:sz w:val="24"/>
          <w:szCs w:val="24"/>
          <w:lang w:val="en-US"/>
        </w:rPr>
        <w:t>tudies</w:t>
      </w:r>
    </w:p>
    <w:tbl>
      <w:tblPr>
        <w:tblStyle w:val="TableGrid"/>
        <w:tblW w:w="14921" w:type="dxa"/>
        <w:tblInd w:w="-725" w:type="dxa"/>
        <w:tblLayout w:type="fixed"/>
        <w:tblLook w:val="04A0" w:firstRow="1" w:lastRow="0" w:firstColumn="1" w:lastColumn="0" w:noHBand="0" w:noVBand="1"/>
      </w:tblPr>
      <w:tblGrid>
        <w:gridCol w:w="404"/>
        <w:gridCol w:w="946"/>
        <w:gridCol w:w="772"/>
        <w:gridCol w:w="873"/>
        <w:gridCol w:w="846"/>
        <w:gridCol w:w="973"/>
        <w:gridCol w:w="933"/>
        <w:gridCol w:w="986"/>
        <w:gridCol w:w="1007"/>
        <w:gridCol w:w="678"/>
        <w:gridCol w:w="678"/>
        <w:gridCol w:w="714"/>
        <w:gridCol w:w="832"/>
        <w:gridCol w:w="608"/>
        <w:gridCol w:w="1006"/>
        <w:gridCol w:w="1214"/>
        <w:gridCol w:w="1451"/>
      </w:tblGrid>
      <w:tr w:rsidR="0068602E" w:rsidRPr="00EF545D" w14:paraId="489F63BB" w14:textId="77777777" w:rsidTr="00D17C32">
        <w:tc>
          <w:tcPr>
            <w:tcW w:w="404" w:type="dxa"/>
            <w:hideMark/>
          </w:tcPr>
          <w:p w14:paraId="1CE0916A"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S/N</w:t>
            </w:r>
          </w:p>
        </w:tc>
        <w:tc>
          <w:tcPr>
            <w:tcW w:w="946" w:type="dxa"/>
            <w:hideMark/>
          </w:tcPr>
          <w:p w14:paraId="6E374BBF"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Author (Year) Country</w:t>
            </w:r>
          </w:p>
        </w:tc>
        <w:tc>
          <w:tcPr>
            <w:tcW w:w="772" w:type="dxa"/>
            <w:hideMark/>
          </w:tcPr>
          <w:p w14:paraId="5A61E016"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Study Design / Setting</w:t>
            </w:r>
          </w:p>
        </w:tc>
        <w:tc>
          <w:tcPr>
            <w:tcW w:w="873" w:type="dxa"/>
            <w:hideMark/>
          </w:tcPr>
          <w:p w14:paraId="77DE9603"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Sample Size</w:t>
            </w:r>
          </w:p>
        </w:tc>
        <w:tc>
          <w:tcPr>
            <w:tcW w:w="846" w:type="dxa"/>
            <w:hideMark/>
          </w:tcPr>
          <w:p w14:paraId="312DF21E"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Participants / Clinical Status</w:t>
            </w:r>
          </w:p>
        </w:tc>
        <w:tc>
          <w:tcPr>
            <w:tcW w:w="973" w:type="dxa"/>
            <w:hideMark/>
          </w:tcPr>
          <w:p w14:paraId="4AAE3AA5"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Intervention</w:t>
            </w:r>
          </w:p>
        </w:tc>
        <w:tc>
          <w:tcPr>
            <w:tcW w:w="933" w:type="dxa"/>
            <w:hideMark/>
          </w:tcPr>
          <w:p w14:paraId="190CAC4D"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Intervention Details</w:t>
            </w:r>
          </w:p>
        </w:tc>
        <w:tc>
          <w:tcPr>
            <w:tcW w:w="986" w:type="dxa"/>
            <w:hideMark/>
          </w:tcPr>
          <w:p w14:paraId="163AD014"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Delivery / Adherence</w:t>
            </w:r>
          </w:p>
        </w:tc>
        <w:tc>
          <w:tcPr>
            <w:tcW w:w="1007" w:type="dxa"/>
            <w:hideMark/>
          </w:tcPr>
          <w:p w14:paraId="694D5B64"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Comparator</w:t>
            </w:r>
          </w:p>
        </w:tc>
        <w:tc>
          <w:tcPr>
            <w:tcW w:w="678" w:type="dxa"/>
            <w:hideMark/>
          </w:tcPr>
          <w:p w14:paraId="57B7FA25"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FEV₁</w:t>
            </w:r>
          </w:p>
        </w:tc>
        <w:tc>
          <w:tcPr>
            <w:tcW w:w="678" w:type="dxa"/>
            <w:hideMark/>
          </w:tcPr>
          <w:p w14:paraId="48045015"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FVC</w:t>
            </w:r>
          </w:p>
        </w:tc>
        <w:tc>
          <w:tcPr>
            <w:tcW w:w="714" w:type="dxa"/>
            <w:hideMark/>
          </w:tcPr>
          <w:p w14:paraId="68810C05"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SpO₂</w:t>
            </w:r>
          </w:p>
        </w:tc>
        <w:tc>
          <w:tcPr>
            <w:tcW w:w="832" w:type="dxa"/>
            <w:hideMark/>
          </w:tcPr>
          <w:p w14:paraId="39B70637"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Respiratory Muscle Strength</w:t>
            </w:r>
          </w:p>
        </w:tc>
        <w:tc>
          <w:tcPr>
            <w:tcW w:w="608" w:type="dxa"/>
            <w:hideMark/>
          </w:tcPr>
          <w:p w14:paraId="3D76431F"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6MWT</w:t>
            </w:r>
          </w:p>
        </w:tc>
        <w:tc>
          <w:tcPr>
            <w:tcW w:w="1006" w:type="dxa"/>
            <w:hideMark/>
          </w:tcPr>
          <w:p w14:paraId="7CF9DF9D"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Patient-Reported Outcomes</w:t>
            </w:r>
          </w:p>
        </w:tc>
        <w:tc>
          <w:tcPr>
            <w:tcW w:w="1214" w:type="dxa"/>
            <w:hideMark/>
          </w:tcPr>
          <w:p w14:paraId="190484B2"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Safety / Clinical Outcomes</w:t>
            </w:r>
          </w:p>
        </w:tc>
        <w:tc>
          <w:tcPr>
            <w:tcW w:w="1451" w:type="dxa"/>
            <w:hideMark/>
          </w:tcPr>
          <w:p w14:paraId="5D63617A"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Key Findings</w:t>
            </w:r>
          </w:p>
        </w:tc>
      </w:tr>
      <w:tr w:rsidR="0068602E" w:rsidRPr="00EF545D" w14:paraId="0DB9C281" w14:textId="77777777" w:rsidTr="00D17C32">
        <w:tc>
          <w:tcPr>
            <w:tcW w:w="404" w:type="dxa"/>
            <w:hideMark/>
          </w:tcPr>
          <w:p w14:paraId="25C1D1AE"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1</w:t>
            </w:r>
          </w:p>
        </w:tc>
        <w:tc>
          <w:tcPr>
            <w:tcW w:w="946" w:type="dxa"/>
            <w:hideMark/>
          </w:tcPr>
          <w:p w14:paraId="1795C46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Pietranis et al. (2024)</w:t>
            </w:r>
          </w:p>
          <w:p w14:paraId="679C3BC5"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Poland</w:t>
            </w:r>
          </w:p>
          <w:p w14:paraId="6FADCFAD"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[19]</w:t>
            </w:r>
          </w:p>
        </w:tc>
        <w:tc>
          <w:tcPr>
            <w:tcW w:w="772" w:type="dxa"/>
            <w:hideMark/>
          </w:tcPr>
          <w:p w14:paraId="7A051B40"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Double-blind, prospective RCT / outpatient</w:t>
            </w:r>
          </w:p>
        </w:tc>
        <w:tc>
          <w:tcPr>
            <w:tcW w:w="873" w:type="dxa"/>
            <w:hideMark/>
          </w:tcPr>
          <w:p w14:paraId="30F36CBF"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83 randomized: IMT 42, control 41; 61 analyzed: IMT 39, control 22</w:t>
            </w:r>
          </w:p>
        </w:tc>
        <w:tc>
          <w:tcPr>
            <w:tcW w:w="846" w:type="dxa"/>
            <w:hideMark/>
          </w:tcPr>
          <w:p w14:paraId="059FB707"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Mean age 63.1 ± 13.41 years; 37 women, 22 men among reported 59 participants; confirmed COVID-19; PCFS 1–4; mMRC ≥1</w:t>
            </w:r>
          </w:p>
        </w:tc>
        <w:tc>
          <w:tcPr>
            <w:tcW w:w="973" w:type="dxa"/>
            <w:hideMark/>
          </w:tcPr>
          <w:p w14:paraId="5B3D40A3"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Comprehensive pulmonary rehabilitation + IMT using Threshold IMT</w:t>
            </w:r>
          </w:p>
        </w:tc>
        <w:tc>
          <w:tcPr>
            <w:tcW w:w="933" w:type="dxa"/>
            <w:hideMark/>
          </w:tcPr>
          <w:p w14:paraId="57E596CA"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6 weeks; 3 sessions/week; 1–1.5 h/session. Aerobic: 45–55% → 70–80% HRmax; IMT: 45–55% → 70–80% PImax; Borg RPE 5–6/10</w:t>
            </w:r>
          </w:p>
        </w:tc>
        <w:tc>
          <w:tcPr>
            <w:tcW w:w="986" w:type="dxa"/>
            <w:hideMark/>
          </w:tcPr>
          <w:p w14:paraId="1DD69A9A"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Individual, one-to-one supervised by physiotherapist; home exercises; &gt;12/18 sessions required for analysis</w:t>
            </w:r>
          </w:p>
        </w:tc>
        <w:tc>
          <w:tcPr>
            <w:tcW w:w="1007" w:type="dxa"/>
            <w:hideMark/>
          </w:tcPr>
          <w:p w14:paraId="4CF5C9E8"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Same rehabilitation programme + placebo IMT without resistance</w:t>
            </w:r>
          </w:p>
        </w:tc>
        <w:tc>
          <w:tcPr>
            <w:tcW w:w="678" w:type="dxa"/>
            <w:hideMark/>
          </w:tcPr>
          <w:p w14:paraId="0C4F9975"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IMT: 95 (86–108) → 104 (94–111); change 5 (−1 to 9); mean change 8.02%, p&lt;0.001. Control: 86.5 (75–100) → 89 (82.5–101); change 1 (−10 to 12); mean change 6.42%, p=0.457. Between-group r=0.338, p=0.009</w:t>
            </w:r>
          </w:p>
        </w:tc>
        <w:tc>
          <w:tcPr>
            <w:tcW w:w="678" w:type="dxa"/>
            <w:hideMark/>
          </w:tcPr>
          <w:p w14:paraId="64BEDE9D"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FVC EX IMT: 103 (87–117) → 111 (101–126); mean change 13.24%, p&lt;0.001. Control: 84.5 (76.5–105) → 102 (84.5–110.5); p=0.205. Between-group r=0.317, p=0.015. FVC IN between-group r=0.327, p=0.012</w:t>
            </w:r>
          </w:p>
        </w:tc>
        <w:tc>
          <w:tcPr>
            <w:tcW w:w="714" w:type="dxa"/>
            <w:hideMark/>
          </w:tcPr>
          <w:p w14:paraId="096F2752"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hideMark/>
          </w:tcPr>
          <w:p w14:paraId="0844390D"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PImax and PEmax improved in both groups; PImax between-group r=0.141, p=0.280; PEmax r=0.002, p=0.987</w:t>
            </w:r>
          </w:p>
        </w:tc>
        <w:tc>
          <w:tcPr>
            <w:tcW w:w="608" w:type="dxa"/>
            <w:hideMark/>
          </w:tcPr>
          <w:p w14:paraId="3C4D6D68"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hideMark/>
          </w:tcPr>
          <w:p w14:paraId="016B05C7"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Fatigue/dyspnea reported in 14 participants; no validated fatigue or QoL outcome reported</w:t>
            </w:r>
          </w:p>
        </w:tc>
        <w:tc>
          <w:tcPr>
            <w:tcW w:w="1214" w:type="dxa"/>
            <w:hideMark/>
          </w:tcPr>
          <w:p w14:paraId="01C9525A"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No hospital/readmission data. No serious adverse events; respiratory infections and minor hip/knee discomfort reported</w:t>
            </w:r>
          </w:p>
        </w:tc>
        <w:tc>
          <w:tcPr>
            <w:tcW w:w="1451" w:type="dxa"/>
            <w:hideMark/>
          </w:tcPr>
          <w:p w14:paraId="2368FCDF"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Rehabilitation improved respiratory muscle strength and several pulmonary outcomes; significant between-group differences for FEV₁, FVC EX, FVC IN and VC MAX.</w:t>
            </w:r>
          </w:p>
        </w:tc>
      </w:tr>
      <w:tr w:rsidR="0068602E" w:rsidRPr="00EF545D" w14:paraId="7BDAD8C2" w14:textId="77777777" w:rsidTr="00D17C32">
        <w:tc>
          <w:tcPr>
            <w:tcW w:w="404" w:type="dxa"/>
            <w:vAlign w:val="center"/>
          </w:tcPr>
          <w:p w14:paraId="2A677EA2"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2</w:t>
            </w:r>
          </w:p>
        </w:tc>
        <w:tc>
          <w:tcPr>
            <w:tcW w:w="946" w:type="dxa"/>
            <w:vAlign w:val="center"/>
          </w:tcPr>
          <w:p w14:paraId="5F71CBAD"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eastAsia="Times New Roman" w:hAnsi="Times New Roman" w:cs="Times New Roman"/>
                <w:sz w:val="16"/>
                <w:szCs w:val="16"/>
              </w:rPr>
              <w:t>Sharma &amp; Goswami (2022), India</w:t>
            </w:r>
          </w:p>
          <w:p w14:paraId="2B9FA49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[20]</w:t>
            </w:r>
          </w:p>
        </w:tc>
        <w:tc>
          <w:tcPr>
            <w:tcW w:w="772" w:type="dxa"/>
            <w:vAlign w:val="center"/>
          </w:tcPr>
          <w:p w14:paraId="267A3D3A"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Randomized controlled trial / home-based setting</w:t>
            </w:r>
          </w:p>
        </w:tc>
        <w:tc>
          <w:tcPr>
            <w:tcW w:w="873" w:type="dxa"/>
            <w:vAlign w:val="center"/>
          </w:tcPr>
          <w:p w14:paraId="3A8BA406"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30 post-COVID patients; group-specific N NR</w:t>
            </w:r>
          </w:p>
        </w:tc>
        <w:tc>
          <w:tcPr>
            <w:tcW w:w="846" w:type="dxa"/>
            <w:vAlign w:val="center"/>
          </w:tcPr>
          <w:p w14:paraId="1A205EBC"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COVID-19 outpatients aged 18–55 years; tested negative; post-COVID respiratory functional limitations; independently ambulant; stable vital signs; mild cases managed at home</w:t>
            </w:r>
          </w:p>
        </w:tc>
        <w:tc>
          <w:tcPr>
            <w:tcW w:w="973" w:type="dxa"/>
            <w:vAlign w:val="center"/>
          </w:tcPr>
          <w:p w14:paraId="66DF22FE"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Pulmonary telerehabilitation: breathing exercises + therapeutic exercises</w:t>
            </w:r>
          </w:p>
        </w:tc>
        <w:tc>
          <w:tcPr>
            <w:tcW w:w="933" w:type="dxa"/>
            <w:vAlign w:val="center"/>
          </w:tcPr>
          <w:p w14:paraId="194E5C2B"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4 days/week for 6 weeks; breathing exercises included ACBT, cough etiquette, pursed-lip breathing and straw breathing according to respiratory symptoms</w:t>
            </w:r>
          </w:p>
        </w:tc>
        <w:tc>
          <w:tcPr>
            <w:tcW w:w="986" w:type="dxa"/>
            <w:vAlign w:val="center"/>
          </w:tcPr>
          <w:p w14:paraId="6E3294B1"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Home-based telerehabilitation using smartphone/tablet/laptop and Wi-Fi; evaluator assessments at beginning and end; adherence NR</w:t>
            </w:r>
          </w:p>
        </w:tc>
        <w:tc>
          <w:tcPr>
            <w:tcW w:w="1007" w:type="dxa"/>
            <w:vAlign w:val="center"/>
          </w:tcPr>
          <w:p w14:paraId="257F378C"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Conventional care</w:t>
            </w:r>
          </w:p>
        </w:tc>
        <w:tc>
          <w:tcPr>
            <w:tcW w:w="678" w:type="dxa"/>
            <w:vAlign w:val="center"/>
          </w:tcPr>
          <w:p w14:paraId="1C82C968"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678" w:type="dxa"/>
            <w:vAlign w:val="center"/>
          </w:tcPr>
          <w:p w14:paraId="60756290"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714" w:type="dxa"/>
            <w:vAlign w:val="center"/>
          </w:tcPr>
          <w:p w14:paraId="1253089B"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832" w:type="dxa"/>
            <w:vAlign w:val="center"/>
          </w:tcPr>
          <w:p w14:paraId="167DD111"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608" w:type="dxa"/>
            <w:vAlign w:val="center"/>
          </w:tcPr>
          <w:p w14:paraId="73CA39D6"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1006" w:type="dxa"/>
            <w:vAlign w:val="center"/>
          </w:tcPr>
          <w:p w14:paraId="3019BD94"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Modified Borg Dyspnoea Scale and VAS-F; significant differences reported for dyspnoea and fatigue</w:t>
            </w:r>
          </w:p>
        </w:tc>
        <w:tc>
          <w:tcPr>
            <w:tcW w:w="1214" w:type="dxa"/>
            <w:vAlign w:val="center"/>
          </w:tcPr>
          <w:p w14:paraId="668AB3E6"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No increased oxygen supplementation or additional medical care; no adverse events reported</w:t>
            </w:r>
          </w:p>
        </w:tc>
        <w:tc>
          <w:tcPr>
            <w:tcW w:w="1451" w:type="dxa"/>
            <w:vAlign w:val="center"/>
          </w:tcPr>
          <w:p w14:paraId="7224764A"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Both groups improved, but the experimental group showed more rapid recovery, improved dyspnoea and fatigue, and greater independence in daily activities after 6 weeks</w:t>
            </w:r>
          </w:p>
        </w:tc>
      </w:tr>
      <w:tr w:rsidR="0068602E" w:rsidRPr="00EF545D" w14:paraId="4E865E03" w14:textId="77777777" w:rsidTr="00D17C32">
        <w:tc>
          <w:tcPr>
            <w:tcW w:w="404" w:type="dxa"/>
            <w:vAlign w:val="center"/>
          </w:tcPr>
          <w:p w14:paraId="15BA8FA1"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3</w:t>
            </w:r>
          </w:p>
        </w:tc>
        <w:tc>
          <w:tcPr>
            <w:tcW w:w="946" w:type="dxa"/>
            <w:vAlign w:val="center"/>
          </w:tcPr>
          <w:p w14:paraId="3124BE6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Nagy et al. (2022), Egypt</w:t>
            </w:r>
          </w:p>
          <w:p w14:paraId="69AA122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[21]</w:t>
            </w:r>
          </w:p>
        </w:tc>
        <w:tc>
          <w:tcPr>
            <w:tcW w:w="772" w:type="dxa"/>
            <w:vAlign w:val="center"/>
          </w:tcPr>
          <w:p w14:paraId="3C86F846"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Single-blinded randomized controlled trial / outpatient</w:t>
            </w:r>
          </w:p>
        </w:tc>
        <w:tc>
          <w:tcPr>
            <w:tcW w:w="873" w:type="dxa"/>
            <w:vAlign w:val="center"/>
          </w:tcPr>
          <w:p w14:paraId="20EF5F50"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60 randomized: study 30, control 30; 52 analyzed: study 26, control 26</w:t>
            </w:r>
          </w:p>
        </w:tc>
        <w:tc>
          <w:tcPr>
            <w:tcW w:w="846" w:type="dxa"/>
            <w:vAlign w:val="center"/>
          </w:tcPr>
          <w:p w14:paraId="1A28374A"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 xml:space="preserve">Men aged 30–45 years with post-COVID-19 syndrome; stable and non-hospitalized; mild–moderate lung fibrosis; stage II hypertension; BMI 25–29.9 kg/m²; ≥4 weeks after first positive COVID-19 swab; low–moderate </w:t>
            </w:r>
            <w:r w:rsidRPr="00EF545D">
              <w:rPr>
                <w:rFonts w:ascii="Times New Roman" w:hAnsi="Times New Roman" w:cs="Times New Roman"/>
                <w:sz w:val="16"/>
                <w:szCs w:val="16"/>
              </w:rPr>
              <w:lastRenderedPageBreak/>
              <w:t>physical activity</w:t>
            </w:r>
          </w:p>
        </w:tc>
        <w:tc>
          <w:tcPr>
            <w:tcW w:w="973" w:type="dxa"/>
            <w:vAlign w:val="center"/>
          </w:tcPr>
          <w:p w14:paraId="13DDC05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Manual diaphragm release (DR) + inspiratory muscle training (IMT) using POWERbreathe</w:t>
            </w:r>
          </w:p>
        </w:tc>
        <w:tc>
          <w:tcPr>
            <w:tcW w:w="933" w:type="dxa"/>
            <w:vAlign w:val="center"/>
          </w:tcPr>
          <w:p w14:paraId="3D2894C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 xml:space="preserve">6 weeks; 3 sessions/week. DR: 18 sessions, 3 min/session. IMT: 2 sets of 30 inspiratory efforts, 2-min interval, 60% PImax, approximately 4 min/session; performed twice daily. IMT workload reassessed and adjusted to maintain </w:t>
            </w:r>
            <w:r w:rsidRPr="00EF545D">
              <w:rPr>
                <w:rFonts w:ascii="Times New Roman" w:hAnsi="Times New Roman" w:cs="Times New Roman"/>
                <w:sz w:val="16"/>
                <w:szCs w:val="16"/>
              </w:rPr>
              <w:lastRenderedPageBreak/>
              <w:t>60% PImax</w:t>
            </w:r>
          </w:p>
        </w:tc>
        <w:tc>
          <w:tcPr>
            <w:tcW w:w="986" w:type="dxa"/>
            <w:vAlign w:val="center"/>
          </w:tcPr>
          <w:p w14:paraId="58DFB76F"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Outpatient clinic; supervised by physiotherapist. 8 participants dropped out: 4 from each group; 2 study-group withdrawals related to compliance. No quantitative adherence rate reported</w:t>
            </w:r>
          </w:p>
        </w:tc>
        <w:tc>
          <w:tcPr>
            <w:tcW w:w="1007" w:type="dxa"/>
            <w:vAlign w:val="center"/>
          </w:tcPr>
          <w:p w14:paraId="198CF8D0"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IMT using POWERbreathe + prescribed medications</w:t>
            </w:r>
          </w:p>
        </w:tc>
        <w:tc>
          <w:tcPr>
            <w:tcW w:w="678" w:type="dxa"/>
            <w:vAlign w:val="center"/>
          </w:tcPr>
          <w:p w14:paraId="5032151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2C5FB87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6F33C3E1"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2FEE801B"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PImax: Study 82.00 (16.86) → 121.50 (13.52) cmH₂O; 48.17% increase, p&lt;0.001. Control 80.50 → 84.00 cmH₂O; p=0.567. Between-group p&lt;0.001; interaction η²p=0.330</w:t>
            </w:r>
          </w:p>
        </w:tc>
        <w:tc>
          <w:tcPr>
            <w:tcW w:w="608" w:type="dxa"/>
            <w:vAlign w:val="center"/>
          </w:tcPr>
          <w:p w14:paraId="6BB55EE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6MWT: Study 417.50 (19.29) → 474.00 (48.69) m; change 56.50 (48.05) m, 13.53%. Control 418.50 (18.63) → 435.00 (18.1</w:t>
            </w:r>
            <w:r w:rsidRPr="00EF545D">
              <w:rPr>
                <w:rFonts w:ascii="Times New Roman" w:hAnsi="Times New Roman" w:cs="Times New Roman"/>
                <w:sz w:val="16"/>
                <w:szCs w:val="16"/>
              </w:rPr>
              <w:lastRenderedPageBreak/>
              <w:t>7) m; change 16.50 (9.52) m, 3.92%; between-group p&lt;0.001</w:t>
            </w:r>
          </w:p>
        </w:tc>
        <w:tc>
          <w:tcPr>
            <w:tcW w:w="1006" w:type="dxa"/>
            <w:vAlign w:val="center"/>
          </w:tcPr>
          <w:p w14:paraId="2806AE9E"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 xml:space="preserve">mMRC dyspnoea: 2.63 (0.60) → 1.38 (0.49) in study group; 48.89% reduction, p&lt;0.001. Control 2.42 (0.49) → 2.11 (0.33); 12.81% reduction, p&lt;0.01. FSS: 43.36 ± 5.25 → 28.68 ± 6.01; p&lt;0.001 in study group; control 42.47 ± 5.18 → </w:t>
            </w:r>
            <w:r w:rsidRPr="00EF545D">
              <w:rPr>
                <w:rFonts w:ascii="Times New Roman" w:hAnsi="Times New Roman" w:cs="Times New Roman"/>
                <w:sz w:val="16"/>
                <w:szCs w:val="16"/>
              </w:rPr>
              <w:lastRenderedPageBreak/>
              <w:t>39.77 ± 5.89; p=0.001; between-group p&lt;0.001</w:t>
            </w:r>
          </w:p>
        </w:tc>
        <w:tc>
          <w:tcPr>
            <w:tcW w:w="1214" w:type="dxa"/>
            <w:vAlign w:val="center"/>
          </w:tcPr>
          <w:p w14:paraId="2365B00D"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No specific adverse events reported in the study. Hospital stay for the acute COVID-19 episode was 7–10 days (IQR); no readmission outcome reported</w:t>
            </w:r>
          </w:p>
        </w:tc>
        <w:tc>
          <w:tcPr>
            <w:tcW w:w="1451" w:type="dxa"/>
            <w:vAlign w:val="center"/>
          </w:tcPr>
          <w:p w14:paraId="0F1FB599"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Adding manual DR to IMT produced significantly greater improvements in PImax, dyspnoea, fatigue, serum lactate and 6MWT compared with IMT alone.</w:t>
            </w:r>
          </w:p>
        </w:tc>
      </w:tr>
      <w:tr w:rsidR="0068602E" w:rsidRPr="00EF545D" w14:paraId="0ACA824F" w14:textId="77777777" w:rsidTr="00D17C32">
        <w:tc>
          <w:tcPr>
            <w:tcW w:w="404" w:type="dxa"/>
            <w:vAlign w:val="center"/>
          </w:tcPr>
          <w:p w14:paraId="13D1721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4</w:t>
            </w:r>
          </w:p>
        </w:tc>
        <w:tc>
          <w:tcPr>
            <w:tcW w:w="946" w:type="dxa"/>
            <w:vAlign w:val="center"/>
          </w:tcPr>
          <w:p w14:paraId="6513478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Sánchez Milá et al. (2024), Spain</w:t>
            </w:r>
          </w:p>
          <w:p w14:paraId="2FACF2F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[22]</w:t>
            </w:r>
          </w:p>
        </w:tc>
        <w:tc>
          <w:tcPr>
            <w:tcW w:w="772" w:type="dxa"/>
            <w:vAlign w:val="center"/>
          </w:tcPr>
          <w:p w14:paraId="18F0F80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Randomized controlled experimental study / university laboratory and home-based setting</w:t>
            </w:r>
          </w:p>
        </w:tc>
        <w:tc>
          <w:tcPr>
            <w:tcW w:w="873" w:type="dxa"/>
            <w:vAlign w:val="center"/>
          </w:tcPr>
          <w:p w14:paraId="6F67A3F1"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220 assessed; 209 randomized: intervention 105, control 104; 200 analyzed: intervention 100, control 100</w:t>
            </w:r>
          </w:p>
        </w:tc>
        <w:tc>
          <w:tcPr>
            <w:tcW w:w="846" w:type="dxa"/>
            <w:vAlign w:val="center"/>
          </w:tcPr>
          <w:p w14:paraId="7609435E"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Post-COVID-19 patients aged 18–45 years, &gt;5 months after medically diagnosed COVID-19; dyspnoea; reduced/lost smell and taste; severe exercise intolerance, severe pulmonary hypertension, severe COVID-19 symptoms and other specified conditions excluded</w:t>
            </w:r>
          </w:p>
        </w:tc>
        <w:tc>
          <w:tcPr>
            <w:tcW w:w="973" w:type="dxa"/>
            <w:vAlign w:val="center"/>
          </w:tcPr>
          <w:p w14:paraId="5C6A5FDD"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Respiratory rehabilitation with PowerBreathe Plus® IMT + aerobic exercise + olfactory and gustatory neurorehabilitation</w:t>
            </w:r>
          </w:p>
        </w:tc>
        <w:tc>
          <w:tcPr>
            <w:tcW w:w="933" w:type="dxa"/>
            <w:vAlign w:val="center"/>
          </w:tcPr>
          <w:p w14:paraId="77EC7EB8"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31 days. IMT: 30 breaths once daily, using individually prescribed resistance based on MIP, with 7 consecutive treatment days followed by 1 rest day. Aerobic walking: approximately 35–40 min/day, days 2–30, 5 consecutive days followed by 1 rest day; intensity reported as 60–75% and 50–60% maximum HR. Olfactory and gustatory training once daily</w:t>
            </w:r>
          </w:p>
        </w:tc>
        <w:tc>
          <w:tcPr>
            <w:tcW w:w="986" w:type="dxa"/>
            <w:vAlign w:val="center"/>
          </w:tcPr>
          <w:p w14:paraId="46C6461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Exercises taught individually on day 1 in the laboratory; respiratory and olfactory/gustatory exercises performed unsupervised at home thereafter. 100/105 intervention participants completed the protocol; adherence rate otherwise NR</w:t>
            </w:r>
          </w:p>
        </w:tc>
        <w:tc>
          <w:tcPr>
            <w:tcW w:w="1007" w:type="dxa"/>
            <w:vAlign w:val="center"/>
          </w:tcPr>
          <w:p w14:paraId="3F7BB3E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No treatment</w:t>
            </w:r>
          </w:p>
        </w:tc>
        <w:tc>
          <w:tcPr>
            <w:tcW w:w="678" w:type="dxa"/>
            <w:vAlign w:val="center"/>
          </w:tcPr>
          <w:p w14:paraId="07B16CB4"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IG: 3.02 ± 0.873 → 3.667 ± 0.761 L; CG: 3.07 ± 0.685 → 3.095 ± 0.682 L. Group × time p=0.09, η²=0.141; no significant between-group effect</w:t>
            </w:r>
          </w:p>
        </w:tc>
        <w:tc>
          <w:tcPr>
            <w:tcW w:w="678" w:type="dxa"/>
            <w:vAlign w:val="center"/>
          </w:tcPr>
          <w:p w14:paraId="3CA3E951"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IG: 3.32 ± 0.443 → 3.91 ± 0.843 L; CG: 3.21 ± 0.572 → 3.29 ± 0.548 L. Group × time p&lt;0.001, η²=0.439</w:t>
            </w:r>
          </w:p>
        </w:tc>
        <w:tc>
          <w:tcPr>
            <w:tcW w:w="714" w:type="dxa"/>
            <w:vAlign w:val="center"/>
          </w:tcPr>
          <w:p w14:paraId="773A9D8B"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1EBAC486"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MIP/PImax: IG 70.04 ± 10.25 → 94.96 ± 4.943 cmH₂O; CG 71.08 ± 14.09 → 71.77 ± 4.239 cmH₂O. Group × time p&lt;0.01, η²=0.906</w:t>
            </w:r>
          </w:p>
        </w:tc>
        <w:tc>
          <w:tcPr>
            <w:tcW w:w="608" w:type="dxa"/>
            <w:vAlign w:val="center"/>
          </w:tcPr>
          <w:p w14:paraId="7E121939"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175EAA0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Modified Borg dyspnoea: IG 5.87 ± 2.082 → 1.38 ± 0.984; CG 6.52 ± 1.540 → 5.55 ± 1.321; group × time p&lt;0.01, η²=0.811. MMRC: IG 2.41 ± 0.498 → 0.35 ± 0.514; CG 2.43 ± 0.510 → 2.41 ± 0.580; group × time p&lt;0.01, η²=0.881. Singapore Smell and Taste Questionnaire also showed significant group × time effects for smell (p&lt;0.01, η²=0.813) and taste (p&lt;0.01, η²=0.898)</w:t>
            </w:r>
          </w:p>
        </w:tc>
        <w:tc>
          <w:tcPr>
            <w:tcW w:w="1214" w:type="dxa"/>
            <w:vAlign w:val="center"/>
          </w:tcPr>
          <w:p w14:paraId="25AD8E0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No adverse events or additional safety problems reported. No hospital/readmission outcome reported</w:t>
            </w:r>
          </w:p>
        </w:tc>
        <w:tc>
          <w:tcPr>
            <w:tcW w:w="1451" w:type="dxa"/>
            <w:vAlign w:val="center"/>
          </w:tcPr>
          <w:p w14:paraId="0E2DB6CD"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The combined respiratory and neurological rehabilitation programme significantly improved FVC, FEV₁/FVC, MIP, dyspnoea, smell and taste compared with no treatment. FEV₁ was the only reported outcome without a significant group × time effect.</w:t>
            </w:r>
          </w:p>
        </w:tc>
      </w:tr>
      <w:tr w:rsidR="0068602E" w:rsidRPr="00EF545D" w14:paraId="117BBB80" w14:textId="77777777" w:rsidTr="00D17C32">
        <w:tc>
          <w:tcPr>
            <w:tcW w:w="404" w:type="dxa"/>
            <w:vAlign w:val="center"/>
          </w:tcPr>
          <w:p w14:paraId="15F5CE2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w:t>
            </w:r>
          </w:p>
        </w:tc>
        <w:tc>
          <w:tcPr>
            <w:tcW w:w="946" w:type="dxa"/>
            <w:vAlign w:val="center"/>
          </w:tcPr>
          <w:p w14:paraId="11F212D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Ashraf et al. (2022), Pakistan</w:t>
            </w:r>
          </w:p>
          <w:p w14:paraId="0EC8D0A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[23]</w:t>
            </w:r>
          </w:p>
        </w:tc>
        <w:tc>
          <w:tcPr>
            <w:tcW w:w="772" w:type="dxa"/>
            <w:vAlign w:val="center"/>
          </w:tcPr>
          <w:p w14:paraId="48F9E37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Randomized clinical trial </w:t>
            </w:r>
          </w:p>
        </w:tc>
        <w:tc>
          <w:tcPr>
            <w:tcW w:w="873" w:type="dxa"/>
            <w:vAlign w:val="center"/>
          </w:tcPr>
          <w:p w14:paraId="3597768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48 participants reported overall; group sizes inconsistently reported: the Methods state a total sample of 48, while Table 2 reports 24 in the postural-drainage group and 11 in the deep-breathing group</w:t>
            </w:r>
          </w:p>
        </w:tc>
        <w:tc>
          <w:tcPr>
            <w:tcW w:w="846" w:type="dxa"/>
            <w:vAlign w:val="center"/>
          </w:tcPr>
          <w:p w14:paraId="0EAA613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Patients of both genders aged 50–70 years; post-COVID-19 for 2 weeks; post-COVID patients with weak respiratory muscles and impaired breathing; pulmonary tuberculosis, cystic fibrosis, bronchiectasis, thoracic deformity and rib fracture excluded</w:t>
            </w:r>
          </w:p>
        </w:tc>
        <w:tc>
          <w:tcPr>
            <w:tcW w:w="973" w:type="dxa"/>
            <w:vAlign w:val="center"/>
          </w:tcPr>
          <w:p w14:paraId="3960952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Postural drainage + steam</w:t>
            </w:r>
          </w:p>
        </w:tc>
        <w:tc>
          <w:tcPr>
            <w:tcW w:w="933" w:type="dxa"/>
            <w:vAlign w:val="center"/>
          </w:tcPr>
          <w:p w14:paraId="4947FED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 sessions/week for 6 weeks. Patients assumed different gravity-assisted positions to facilitate movement of secretions toward the trachea, with percussion and vibration.</w:t>
            </w:r>
          </w:p>
        </w:tc>
        <w:tc>
          <w:tcPr>
            <w:tcW w:w="986" w:type="dxa"/>
            <w:vAlign w:val="center"/>
          </w:tcPr>
          <w:p w14:paraId="6A097FD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Randomization by sealed-envelope method. Treatment delivered in the study setting; supervision level and adherence rate NR</w:t>
            </w:r>
          </w:p>
        </w:tc>
        <w:tc>
          <w:tcPr>
            <w:tcW w:w="1007" w:type="dxa"/>
            <w:vAlign w:val="center"/>
          </w:tcPr>
          <w:p w14:paraId="097A11E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Deep breathing exercises + steam, 3 sessions/week on alternate days for up to 6 weeks. Slow nasal inhalation with hand placed on abdomen, followed by controlled exhalation; breathing exercise performed for 5 min; total treatment lasted 20–30 min</w:t>
            </w:r>
          </w:p>
        </w:tc>
        <w:tc>
          <w:tcPr>
            <w:tcW w:w="678" w:type="dxa"/>
            <w:vAlign w:val="center"/>
          </w:tcPr>
          <w:p w14:paraId="2B0CB61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21B3340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72E0B56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Pulse oximetry: postural drainage 3.50 ± 0.51 → 1.50 ± 0.59; deep breathing 3.25 ± 0.61 → 2.25 ± 0.68; reported between-group p=0.001. The paper identifies pulse oximetry as the measure of oxygen saturation but provides these values without a conventional SpO₂ (%) unit</w:t>
            </w:r>
          </w:p>
        </w:tc>
        <w:tc>
          <w:tcPr>
            <w:tcW w:w="832" w:type="dxa"/>
            <w:vAlign w:val="center"/>
          </w:tcPr>
          <w:p w14:paraId="319D2D9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75EA60E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3B946B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Modified Borg Dyspnoea Scale: postural drainage 7.33 ± 0.92 → 1.75 ± 1.03; deep breathing 6.92 ± 1.14 → 4.84 ± 0.82. Perceived Exertion Scale: postural drainage 6.87 ± 0.81 → 2.42 ± 1.10; deep breathing 4.42 ± 1.10 → 2.54 ± 1.32. Reported between-group p-values: 0.003 for dyspnoea and 0.055 for perceived exertion</w:t>
            </w:r>
          </w:p>
        </w:tc>
        <w:tc>
          <w:tcPr>
            <w:tcW w:w="1214" w:type="dxa"/>
            <w:vAlign w:val="center"/>
          </w:tcPr>
          <w:p w14:paraId="47EB7D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events, hospital stay or readmission outcomes reported</w:t>
            </w:r>
          </w:p>
        </w:tc>
        <w:tc>
          <w:tcPr>
            <w:tcW w:w="1451" w:type="dxa"/>
            <w:vAlign w:val="center"/>
          </w:tcPr>
          <w:p w14:paraId="3032372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Both postural drainage and deep breathing exercises improved dyspnoea, oxygen saturation and level of exertion. The authors concluded that postural drainage was more effective than deep breathing exercises, particularly for dyspnoea and oxygen saturation. The study contains an internal sample-size inconsistency.</w:t>
            </w:r>
          </w:p>
        </w:tc>
      </w:tr>
      <w:tr w:rsidR="0068602E" w:rsidRPr="00EF545D" w14:paraId="22F7F66C" w14:textId="77777777" w:rsidTr="00D17C32">
        <w:tc>
          <w:tcPr>
            <w:tcW w:w="404" w:type="dxa"/>
            <w:vAlign w:val="center"/>
          </w:tcPr>
          <w:p w14:paraId="52D4E48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w:t>
            </w:r>
          </w:p>
        </w:tc>
        <w:tc>
          <w:tcPr>
            <w:tcW w:w="946" w:type="dxa"/>
            <w:vAlign w:val="center"/>
          </w:tcPr>
          <w:p w14:paraId="4C5016B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Sari et al. (2022), Türkiye</w:t>
            </w:r>
          </w:p>
          <w:p w14:paraId="378528A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[24]</w:t>
            </w:r>
          </w:p>
        </w:tc>
        <w:tc>
          <w:tcPr>
            <w:tcW w:w="772" w:type="dxa"/>
            <w:vAlign w:val="center"/>
          </w:tcPr>
          <w:p w14:paraId="0A74656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Prospective, double-blind randomi</w:t>
            </w:r>
            <w:r w:rsidRPr="00EF545D">
              <w:rPr>
                <w:rFonts w:ascii="Times New Roman" w:hAnsi="Times New Roman" w:cs="Times New Roman"/>
                <w:sz w:val="16"/>
                <w:szCs w:val="16"/>
              </w:rPr>
              <w:lastRenderedPageBreak/>
              <w:t>zed controlled clinical study / home-based exercise programme</w:t>
            </w:r>
          </w:p>
        </w:tc>
        <w:tc>
          <w:tcPr>
            <w:tcW w:w="873" w:type="dxa"/>
            <w:vAlign w:val="center"/>
          </w:tcPr>
          <w:p w14:paraId="2E63141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26 randomized: treatment 13, </w:t>
            </w:r>
            <w:r w:rsidRPr="00EF545D">
              <w:rPr>
                <w:rFonts w:ascii="Times New Roman" w:hAnsi="Times New Roman" w:cs="Times New Roman"/>
                <w:sz w:val="16"/>
                <w:szCs w:val="16"/>
              </w:rPr>
              <w:lastRenderedPageBreak/>
              <w:t>control 13; 24 completed/analyzed: treatment 13, control 11</w:t>
            </w:r>
          </w:p>
        </w:tc>
        <w:tc>
          <w:tcPr>
            <w:tcW w:w="846" w:type="dxa"/>
            <w:vAlign w:val="center"/>
          </w:tcPr>
          <w:p w14:paraId="2A073B0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Adults aged 18–65 years with post-</w:t>
            </w:r>
            <w:r w:rsidRPr="00EF545D">
              <w:rPr>
                <w:rFonts w:ascii="Times New Roman" w:hAnsi="Times New Roman" w:cs="Times New Roman"/>
                <w:sz w:val="16"/>
                <w:szCs w:val="16"/>
              </w:rPr>
              <w:lastRenderedPageBreak/>
              <w:t>COVID-19 pulmonary involvement; previous respiratory disease and orthopaedic/neurological conditions affecting exercise assessment excluded; mean post-COVID duration approximately 1.5 months</w:t>
            </w:r>
          </w:p>
        </w:tc>
        <w:tc>
          <w:tcPr>
            <w:tcW w:w="973" w:type="dxa"/>
            <w:vAlign w:val="center"/>
          </w:tcPr>
          <w:p w14:paraId="727078F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Inspiratory muscle training (IMT) + breathing </w:t>
            </w:r>
            <w:r w:rsidRPr="00EF545D">
              <w:rPr>
                <w:rFonts w:ascii="Times New Roman" w:hAnsi="Times New Roman" w:cs="Times New Roman"/>
                <w:sz w:val="16"/>
                <w:szCs w:val="16"/>
              </w:rPr>
              <w:lastRenderedPageBreak/>
              <w:t>exercises + resistance training</w:t>
            </w:r>
          </w:p>
        </w:tc>
        <w:tc>
          <w:tcPr>
            <w:tcW w:w="933" w:type="dxa"/>
            <w:vAlign w:val="center"/>
          </w:tcPr>
          <w:p w14:paraId="5FDDC4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6 weeks. Breathing exercises: diaphragmatic </w:t>
            </w:r>
            <w:r w:rsidRPr="00EF545D">
              <w:rPr>
                <w:rFonts w:ascii="Times New Roman" w:hAnsi="Times New Roman" w:cs="Times New Roman"/>
                <w:sz w:val="16"/>
                <w:szCs w:val="16"/>
              </w:rPr>
              <w:lastRenderedPageBreak/>
              <w:t>breathing, thoracic expansion, pursed-lip breathing and respiratory control, 10 repetitions × 3 sets/day. Resistance training: squats and clinical Pilates-based bridge exercises, 10 repetitions × 3 sets/day. IMT using Threshold IMT; resistance set at 3–4 on Modified Borg Scale, increased weekly; 30 min, 3 times/day, 7 days/week</w:t>
            </w:r>
          </w:p>
        </w:tc>
        <w:tc>
          <w:tcPr>
            <w:tcW w:w="986" w:type="dxa"/>
            <w:vAlign w:val="center"/>
          </w:tcPr>
          <w:p w14:paraId="59D56AF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Home-based programme supported by </w:t>
            </w:r>
            <w:r w:rsidRPr="00EF545D">
              <w:rPr>
                <w:rFonts w:ascii="Times New Roman" w:hAnsi="Times New Roman" w:cs="Times New Roman"/>
                <w:sz w:val="16"/>
                <w:szCs w:val="16"/>
              </w:rPr>
              <w:lastRenderedPageBreak/>
              <w:t>individual exercise videos; weekly video follow-up through Zoom or WhatsApp; weekly monitoring also conducted through video interviews. Adherence rate NR</w:t>
            </w:r>
          </w:p>
        </w:tc>
        <w:tc>
          <w:tcPr>
            <w:tcW w:w="1007" w:type="dxa"/>
            <w:vAlign w:val="center"/>
          </w:tcPr>
          <w:p w14:paraId="6B7526B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Breathing exercises + quadriceps strengthening exercises </w:t>
            </w:r>
            <w:r w:rsidRPr="00EF545D">
              <w:rPr>
                <w:rFonts w:ascii="Times New Roman" w:hAnsi="Times New Roman" w:cs="Times New Roman"/>
                <w:sz w:val="16"/>
                <w:szCs w:val="16"/>
              </w:rPr>
              <w:lastRenderedPageBreak/>
              <w:t>without IMT</w:t>
            </w:r>
          </w:p>
        </w:tc>
        <w:tc>
          <w:tcPr>
            <w:tcW w:w="678" w:type="dxa"/>
            <w:vAlign w:val="center"/>
          </w:tcPr>
          <w:p w14:paraId="085A77D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Not measured. Authors </w:t>
            </w:r>
            <w:r w:rsidRPr="00EF545D">
              <w:rPr>
                <w:rFonts w:ascii="Times New Roman" w:hAnsi="Times New Roman" w:cs="Times New Roman"/>
                <w:sz w:val="16"/>
                <w:szCs w:val="16"/>
              </w:rPr>
              <w:lastRenderedPageBreak/>
              <w:t>explicitly stated that pulmonary function tests were not evaluated</w:t>
            </w:r>
          </w:p>
        </w:tc>
        <w:tc>
          <w:tcPr>
            <w:tcW w:w="678" w:type="dxa"/>
            <w:vAlign w:val="center"/>
          </w:tcPr>
          <w:p w14:paraId="11B56D9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Not measured. Authors </w:t>
            </w:r>
            <w:r w:rsidRPr="00EF545D">
              <w:rPr>
                <w:rFonts w:ascii="Times New Roman" w:hAnsi="Times New Roman" w:cs="Times New Roman"/>
                <w:sz w:val="16"/>
                <w:szCs w:val="16"/>
              </w:rPr>
              <w:lastRenderedPageBreak/>
              <w:t>explicitly stated that pulmonary function tests were not evaluated</w:t>
            </w:r>
          </w:p>
        </w:tc>
        <w:tc>
          <w:tcPr>
            <w:tcW w:w="714" w:type="dxa"/>
            <w:vAlign w:val="center"/>
          </w:tcPr>
          <w:p w14:paraId="78393F6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Not reported as an outcome. </w:t>
            </w:r>
            <w:r w:rsidRPr="00EF545D">
              <w:rPr>
                <w:rFonts w:ascii="Times New Roman" w:hAnsi="Times New Roman" w:cs="Times New Roman"/>
                <w:sz w:val="16"/>
                <w:szCs w:val="16"/>
              </w:rPr>
              <w:lastRenderedPageBreak/>
              <w:t>Baseline oxygen-use history recorded; none required oxygen during assessment</w:t>
            </w:r>
          </w:p>
        </w:tc>
        <w:tc>
          <w:tcPr>
            <w:tcW w:w="832" w:type="dxa"/>
            <w:vAlign w:val="center"/>
          </w:tcPr>
          <w:p w14:paraId="4742F3B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Not measured. Respiratory </w:t>
            </w:r>
            <w:r w:rsidRPr="00EF545D">
              <w:rPr>
                <w:rFonts w:ascii="Times New Roman" w:hAnsi="Times New Roman" w:cs="Times New Roman"/>
                <w:sz w:val="16"/>
                <w:szCs w:val="16"/>
              </w:rPr>
              <w:lastRenderedPageBreak/>
              <w:t>muscle strength/endurance was explicitly reported as not evaluated</w:t>
            </w:r>
          </w:p>
        </w:tc>
        <w:tc>
          <w:tcPr>
            <w:tcW w:w="608" w:type="dxa"/>
            <w:vAlign w:val="center"/>
          </w:tcPr>
          <w:p w14:paraId="6E8C997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Treatment: 554.4 (482.4–</w:t>
            </w:r>
            <w:r w:rsidRPr="00EF545D">
              <w:rPr>
                <w:rFonts w:ascii="Times New Roman" w:hAnsi="Times New Roman" w:cs="Times New Roman"/>
                <w:sz w:val="16"/>
                <w:szCs w:val="16"/>
              </w:rPr>
              <w:lastRenderedPageBreak/>
              <w:t>607.85) → 623.4 (604.8–658.2) m; median change 70.2 m. Control: 540 (330–551.4) → 540.6 (480–599.4) m; median change 30 m. Between-group p&lt;0.05</w:t>
            </w:r>
          </w:p>
        </w:tc>
        <w:tc>
          <w:tcPr>
            <w:tcW w:w="1006" w:type="dxa"/>
            <w:vAlign w:val="center"/>
          </w:tcPr>
          <w:p w14:paraId="22E7FF8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mMRC: treatment 1 → 1; control 2 → 1; between-</w:t>
            </w:r>
            <w:r w:rsidRPr="00EF545D">
              <w:rPr>
                <w:rFonts w:ascii="Times New Roman" w:hAnsi="Times New Roman" w:cs="Times New Roman"/>
                <w:sz w:val="16"/>
                <w:szCs w:val="16"/>
              </w:rPr>
              <w:lastRenderedPageBreak/>
              <w:t>group p=0.87. HADS-A, HADS-D and HADS-T: significantly improved in treatment group compared with control (p&lt;0.05). NHP, IPAQ and FSS: improved within groups but no significant between-group differences</w:t>
            </w:r>
          </w:p>
        </w:tc>
        <w:tc>
          <w:tcPr>
            <w:tcW w:w="1214" w:type="dxa"/>
            <w:vAlign w:val="center"/>
          </w:tcPr>
          <w:p w14:paraId="39420E8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No treatment-related adverse events reported. One treatment-</w:t>
            </w:r>
            <w:r w:rsidRPr="00EF545D">
              <w:rPr>
                <w:rFonts w:ascii="Times New Roman" w:hAnsi="Times New Roman" w:cs="Times New Roman"/>
                <w:sz w:val="16"/>
                <w:szCs w:val="16"/>
              </w:rPr>
              <w:lastRenderedPageBreak/>
              <w:t>group participant had bilateral fibrotic changes on chest X-ray initially, which appeared normal after treatment. No participant required oxygen during assessment</w:t>
            </w:r>
          </w:p>
        </w:tc>
        <w:tc>
          <w:tcPr>
            <w:tcW w:w="1451" w:type="dxa"/>
            <w:vAlign w:val="center"/>
          </w:tcPr>
          <w:p w14:paraId="3634CF0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IMT significantly improved functional exercise capacity and lower-extremity </w:t>
            </w:r>
            <w:r w:rsidRPr="00EF545D">
              <w:rPr>
                <w:rFonts w:ascii="Times New Roman" w:hAnsi="Times New Roman" w:cs="Times New Roman"/>
                <w:sz w:val="16"/>
                <w:szCs w:val="16"/>
              </w:rPr>
              <w:lastRenderedPageBreak/>
              <w:t>muscle strength and reduced anxiety/depression and dyspnoea perception. No significant between-group effects were found for quality of life, physical activity or fatigue. Pulmonary function and respiratory muscle strength were not assessed.</w:t>
            </w:r>
          </w:p>
        </w:tc>
      </w:tr>
      <w:tr w:rsidR="0068602E" w:rsidRPr="00EF545D" w14:paraId="7C383AF5" w14:textId="77777777" w:rsidTr="00D17C32">
        <w:tc>
          <w:tcPr>
            <w:tcW w:w="404" w:type="dxa"/>
            <w:vAlign w:val="center"/>
          </w:tcPr>
          <w:p w14:paraId="1DB558C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w:t>
            </w:r>
          </w:p>
        </w:tc>
        <w:tc>
          <w:tcPr>
            <w:tcW w:w="946" w:type="dxa"/>
            <w:vAlign w:val="center"/>
          </w:tcPr>
          <w:p w14:paraId="511B0E4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Gomes dos Santos et al. (2024), Brazil</w:t>
            </w:r>
          </w:p>
          <w:p w14:paraId="15FF80A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[25]</w:t>
            </w:r>
          </w:p>
        </w:tc>
        <w:tc>
          <w:tcPr>
            <w:tcW w:w="772" w:type="dxa"/>
            <w:vAlign w:val="center"/>
          </w:tcPr>
          <w:p w14:paraId="05F8403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trial / outpatient cardiopulmonary rehabilitation setting, Federal University of Paraíba and University Hospital Lauro Wanderley</w:t>
            </w:r>
          </w:p>
        </w:tc>
        <w:tc>
          <w:tcPr>
            <w:tcW w:w="873" w:type="dxa"/>
            <w:vAlign w:val="center"/>
          </w:tcPr>
          <w:p w14:paraId="1FC56AB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78 assessed; 34 randomized: CPRG 18, control 16; 33 analyzed: CPRG 17, control 16; 1 participant dropped out from CPRG</w:t>
            </w:r>
          </w:p>
        </w:tc>
        <w:tc>
          <w:tcPr>
            <w:tcW w:w="846" w:type="dxa"/>
            <w:vAlign w:val="center"/>
          </w:tcPr>
          <w:p w14:paraId="739C6A7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&gt;18 years with PCR-confirmed COVID-19 and persistent respiratory and/or functional symptoms consistent with post-COVID-19 syndrome; participants had dyspnea, cough, muscle fatigue and other persistent symptoms; pulmonary involvement documented by chest CT</w:t>
            </w:r>
          </w:p>
        </w:tc>
        <w:tc>
          <w:tcPr>
            <w:tcW w:w="973" w:type="dxa"/>
            <w:vAlign w:val="center"/>
          </w:tcPr>
          <w:p w14:paraId="52AD2B9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Cardiopulmonary rehabilitation: lung expansion therapy + inspiratory muscle training + upper-limb strengthening + aerobic exercise</w:t>
            </w:r>
          </w:p>
        </w:tc>
        <w:tc>
          <w:tcPr>
            <w:tcW w:w="933" w:type="dxa"/>
            <w:vAlign w:val="center"/>
          </w:tcPr>
          <w:p w14:paraId="586E7AC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 weeks. Lung expansion: EPAP/PEEP 5–20 cmH₂O, 3 × 2 min with 2-min intervals; pressure increased according to modified Borg 4–6. IMT: Threshold IMT®, 3 × 10 repetitions, 1-min intervals; 40% MIP during first 3 weeks and 50% MIP during last 3 weeks. Upper-limb strengthening: 3 × 1-min shoulder flexion, initially 50% maximum load, increased by 0.5 kg according to Borg 4–6. Aerobic training: treadmill 20 min, at 60–70% HR first 3 weeks and 70–80% HR last 3 weeks</w:t>
            </w:r>
          </w:p>
        </w:tc>
        <w:tc>
          <w:tcPr>
            <w:tcW w:w="986" w:type="dxa"/>
            <w:vAlign w:val="center"/>
          </w:tcPr>
          <w:p w14:paraId="2169EBB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Intervention delivered under monitoring during the 6-week outpatient programme. Researchers monitored participants during intervention and assessments. Daily adverse events were recorded. No adherence percentage reported</w:t>
            </w:r>
          </w:p>
        </w:tc>
        <w:tc>
          <w:tcPr>
            <w:tcW w:w="1007" w:type="dxa"/>
            <w:vAlign w:val="center"/>
          </w:tcPr>
          <w:p w14:paraId="778535E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Educational lectures for 6 weeks. Biweekly remote health-education lectures covering COVID-19, chronic diseases, quality of life and healthy lifestyle; participants were instructed to maintain usual daily activities</w:t>
            </w:r>
          </w:p>
        </w:tc>
        <w:tc>
          <w:tcPr>
            <w:tcW w:w="678" w:type="dxa"/>
            <w:vAlign w:val="center"/>
          </w:tcPr>
          <w:p w14:paraId="4C72D2D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6C10353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44D72D8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as an outcome. Oxygen saturation was monitored during intervention; supplementary low-flow oxygen was provided if SpO₂ ≤90% until no longer required</w:t>
            </w:r>
          </w:p>
        </w:tc>
        <w:tc>
          <w:tcPr>
            <w:tcW w:w="832" w:type="dxa"/>
            <w:vAlign w:val="center"/>
          </w:tcPr>
          <w:p w14:paraId="0DFAF2F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as an outcome. IMT was used as an intervention, but post-intervention respiratory muscle strength outcome was not reported</w:t>
            </w:r>
          </w:p>
        </w:tc>
        <w:tc>
          <w:tcPr>
            <w:tcW w:w="608" w:type="dxa"/>
            <w:vAlign w:val="center"/>
          </w:tcPr>
          <w:p w14:paraId="6F47631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CPRG: 373.52 ± 118.11 → 572 ± 182.83 m; within-group MD 199.29 m (95% CI 99.45–299), p=0.032. CG: 410.53 ± 141.53 → 472.15 ± 68.36 m; MD 61.62 m (95% CI −41–164), p=0.098. Between-group MD 100.46 m (95% CI 7.40–193), p=0.002</w:t>
            </w:r>
          </w:p>
        </w:tc>
        <w:tc>
          <w:tcPr>
            <w:tcW w:w="1006" w:type="dxa"/>
            <w:vAlign w:val="center"/>
          </w:tcPr>
          <w:p w14:paraId="20B14B2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mMRC dyspnea: CPRG 2.52 ± 0.72 → 0.41 ± 0.80; between-group MD −1.45 (95% CI −1.98 to −0.92), p=0.001. MFIS fatigue: CPRG 45.88 ± 22.04 → 34.00 ± 14.58; within-group MD −11.88 (95% CI −23.12 to −0.64), p=0.028; between-group p=0.440. Upper-limb muscle mass: between-group MD 0.63 kg (95% CI 0.09–1.18), p=0.030</w:t>
            </w:r>
          </w:p>
        </w:tc>
        <w:tc>
          <w:tcPr>
            <w:tcW w:w="1214" w:type="dxa"/>
            <w:vAlign w:val="center"/>
          </w:tcPr>
          <w:p w14:paraId="4C9C593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Participants were monitored and adverse events were recorded daily throughout the 6 weeks. Supplementary oxygen was available when SpO₂ ≤90%. The authors describe the intervention as feasible and safe; no specific adverse event was reported in the results</w:t>
            </w:r>
          </w:p>
        </w:tc>
        <w:tc>
          <w:tcPr>
            <w:tcW w:w="1451" w:type="dxa"/>
            <w:vAlign w:val="center"/>
          </w:tcPr>
          <w:p w14:paraId="2516F16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The 6-week cardiopulmonary rehabilitation protocol significantly improved functional capacity, with a 100.46-m greater improvement in 6MWT than control, and significantly reduced dyspnea. It also produced a significant between-group increase in upper-limb muscle mass. Fatigue improved within the intervention group but not significantly between groups. FEV₁, FVC and respiratory muscle strength were not reported as outcomes.</w:t>
            </w:r>
          </w:p>
        </w:tc>
      </w:tr>
      <w:tr w:rsidR="0068602E" w:rsidRPr="00EF545D" w14:paraId="7173D2F6" w14:textId="77777777" w:rsidTr="00D17C32">
        <w:tc>
          <w:tcPr>
            <w:tcW w:w="404" w:type="dxa"/>
            <w:vAlign w:val="center"/>
          </w:tcPr>
          <w:p w14:paraId="143AC5D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w:t>
            </w:r>
          </w:p>
        </w:tc>
        <w:tc>
          <w:tcPr>
            <w:tcW w:w="946" w:type="dxa"/>
            <w:vAlign w:val="center"/>
          </w:tcPr>
          <w:p w14:paraId="2DC46DE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Elyazed et al. (2024), Egypt</w:t>
            </w:r>
          </w:p>
          <w:p w14:paraId="63B8CB2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[26]</w:t>
            </w:r>
          </w:p>
        </w:tc>
        <w:tc>
          <w:tcPr>
            <w:tcW w:w="772" w:type="dxa"/>
            <w:vAlign w:val="center"/>
          </w:tcPr>
          <w:p w14:paraId="43564C4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trial conducted at the outpatient clinic, Faculty of Medicine, Beni-</w:t>
            </w:r>
            <w:r w:rsidRPr="00EF545D">
              <w:rPr>
                <w:rFonts w:ascii="Times New Roman" w:hAnsi="Times New Roman" w:cs="Times New Roman"/>
                <w:sz w:val="16"/>
                <w:szCs w:val="16"/>
              </w:rPr>
              <w:lastRenderedPageBreak/>
              <w:t>Suef University, Egypt; December 2021–May 2022</w:t>
            </w:r>
          </w:p>
        </w:tc>
        <w:tc>
          <w:tcPr>
            <w:tcW w:w="873" w:type="dxa"/>
            <w:vAlign w:val="center"/>
          </w:tcPr>
          <w:p w14:paraId="60B9AAC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68 randomized: 34 rehabilitation, 34 control. 60 analyzed: 30 per group; 8 participants dropped </w:t>
            </w:r>
            <w:r w:rsidRPr="00EF545D">
              <w:rPr>
                <w:rFonts w:ascii="Times New Roman" w:hAnsi="Times New Roman" w:cs="Times New Roman"/>
                <w:sz w:val="16"/>
                <w:szCs w:val="16"/>
              </w:rPr>
              <w:lastRenderedPageBreak/>
              <w:t>out during follow-up</w:t>
            </w:r>
          </w:p>
        </w:tc>
        <w:tc>
          <w:tcPr>
            <w:tcW w:w="846" w:type="dxa"/>
            <w:vAlign w:val="center"/>
          </w:tcPr>
          <w:p w14:paraId="4DD9130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Adults 40–70 years with post-COVID-19 syndrome. Participants had confirmed PCR-</w:t>
            </w:r>
            <w:r w:rsidRPr="00EF545D">
              <w:rPr>
                <w:rFonts w:ascii="Times New Roman" w:hAnsi="Times New Roman" w:cs="Times New Roman"/>
                <w:sz w:val="16"/>
                <w:szCs w:val="16"/>
              </w:rPr>
              <w:lastRenderedPageBreak/>
              <w:t>positive COVID-19 within the previous 3 months, had recovered from the acute phase for ≥1 month, and had persistent fatigue, dyspnea and exercise intolerance. mMRC 2–3; Chalder fatigue 14–23. Medically stable and non-smokers</w:t>
            </w:r>
          </w:p>
        </w:tc>
        <w:tc>
          <w:tcPr>
            <w:tcW w:w="973" w:type="dxa"/>
            <w:vAlign w:val="center"/>
          </w:tcPr>
          <w:p w14:paraId="1BBB7D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Home-based pulmonary rehabilitation (HBPR) consisting of walking/aerobic exercise, diaphragmatic respiratory </w:t>
            </w:r>
            <w:r w:rsidRPr="00EF545D">
              <w:rPr>
                <w:rFonts w:ascii="Times New Roman" w:hAnsi="Times New Roman" w:cs="Times New Roman"/>
                <w:sz w:val="16"/>
                <w:szCs w:val="16"/>
              </w:rPr>
              <w:lastRenderedPageBreak/>
              <w:t>muscle training and resisted strengthening exercises</w:t>
            </w:r>
          </w:p>
        </w:tc>
        <w:tc>
          <w:tcPr>
            <w:tcW w:w="933" w:type="dxa"/>
            <w:vAlign w:val="center"/>
          </w:tcPr>
          <w:p w14:paraId="02C2248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12 weeks/3 months: Regular walking 30–60 min, 5 days/week at normal pace; diaphragmatic strengtheni</w:t>
            </w:r>
            <w:r w:rsidRPr="00EF545D">
              <w:rPr>
                <w:rFonts w:ascii="Times New Roman" w:hAnsi="Times New Roman" w:cs="Times New Roman"/>
                <w:sz w:val="16"/>
                <w:szCs w:val="16"/>
              </w:rPr>
              <w:lastRenderedPageBreak/>
              <w:t>ng 10–15 min twice daily, daily, using 1–2 kg weight placed over the abdomen; resisted exercise 3 × 10 repetitions twice daily, 5–7 days/week, using 1–3 kg for quadriceps and selected upper-limb muscles (shoulder abduction, horizontal abduction and elevation)</w:t>
            </w:r>
          </w:p>
        </w:tc>
        <w:tc>
          <w:tcPr>
            <w:tcW w:w="986" w:type="dxa"/>
            <w:vAlign w:val="center"/>
          </w:tcPr>
          <w:p w14:paraId="6CFFFBB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Patients were initially instructed and educated by the instructor. Exercises were performed independently at home. </w:t>
            </w:r>
            <w:r w:rsidRPr="00EF545D">
              <w:rPr>
                <w:rFonts w:ascii="Times New Roman" w:hAnsi="Times New Roman" w:cs="Times New Roman"/>
                <w:sz w:val="16"/>
                <w:szCs w:val="16"/>
              </w:rPr>
              <w:lastRenderedPageBreak/>
              <w:t>Weekly tele-monitoring was used to follow adherence, with face-to-face reassessments at 2, 4, 8 and 12 weeks. The authors did not provide a numerical adherence percentage</w:t>
            </w:r>
          </w:p>
        </w:tc>
        <w:tc>
          <w:tcPr>
            <w:tcW w:w="1007" w:type="dxa"/>
            <w:vAlign w:val="center"/>
          </w:tcPr>
          <w:p w14:paraId="3367E5C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Usual medical care only: multivitamins, antioxidant, healthy high-protein diet and healthy lifestyle; no exercise programme</w:t>
            </w:r>
          </w:p>
        </w:tc>
        <w:tc>
          <w:tcPr>
            <w:tcW w:w="678" w:type="dxa"/>
            <w:vAlign w:val="center"/>
          </w:tcPr>
          <w:p w14:paraId="33E62B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2016260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0CBE4E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7BC85B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NR as an outcome; diaphragmatic strengthening was part of the intervention, but respiratory muscle strength </w:t>
            </w:r>
            <w:r w:rsidRPr="00EF545D">
              <w:rPr>
                <w:rFonts w:ascii="Times New Roman" w:hAnsi="Times New Roman" w:cs="Times New Roman"/>
                <w:sz w:val="16"/>
                <w:szCs w:val="16"/>
              </w:rPr>
              <w:lastRenderedPageBreak/>
              <w:t>was not reported as a separate outcome</w:t>
            </w:r>
          </w:p>
        </w:tc>
        <w:tc>
          <w:tcPr>
            <w:tcW w:w="608" w:type="dxa"/>
            <w:vAlign w:val="center"/>
          </w:tcPr>
          <w:p w14:paraId="507A4F7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Rehabilitation: 270.7 ± 34.7 → 439.7 ± 25.3 m. Control: </w:t>
            </w:r>
            <w:r w:rsidRPr="00EF545D">
              <w:rPr>
                <w:rFonts w:ascii="Times New Roman" w:hAnsi="Times New Roman" w:cs="Times New Roman"/>
                <w:sz w:val="16"/>
                <w:szCs w:val="16"/>
              </w:rPr>
              <w:lastRenderedPageBreak/>
              <w:t>274.1 ± 31.8 → 347.0 ± 32.7 m. Post-intervention between-group p &lt; 0.001</w:t>
            </w:r>
          </w:p>
        </w:tc>
        <w:tc>
          <w:tcPr>
            <w:tcW w:w="1006" w:type="dxa"/>
            <w:vAlign w:val="center"/>
          </w:tcPr>
          <w:p w14:paraId="7F4731A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Chalder fatigue: rehabilitation 19.3 ± 2.3 → 11.1 ± 0.94 vs control 18.9 ± 2.5 → 13.4 ± 2.1, between-group p &lt; 0.001. SF-36: </w:t>
            </w:r>
            <w:r w:rsidRPr="00EF545D">
              <w:rPr>
                <w:rFonts w:ascii="Times New Roman" w:hAnsi="Times New Roman" w:cs="Times New Roman"/>
                <w:sz w:val="16"/>
                <w:szCs w:val="16"/>
              </w:rPr>
              <w:lastRenderedPageBreak/>
              <w:t>rehabilitation 16.4 ± 1.7 → 66.4 ± 3.7 vs control 17.6 ± 3.4 → 47.6 ± 2.6, p &lt; 0.001. mMRC: rehabilitation improved from 70% severe/30% moderate at baseline to 10% no dyspnea, 63.3% mild and 26.7% moderate; control remained less improved, between-group p = 0.008</w:t>
            </w:r>
          </w:p>
        </w:tc>
        <w:tc>
          <w:tcPr>
            <w:tcW w:w="1214" w:type="dxa"/>
            <w:vAlign w:val="center"/>
          </w:tcPr>
          <w:p w14:paraId="694931C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No specific adverse events or harms were reported. The authors concluded that HBPR was effective and safe, with fewer resources and less patient contact than </w:t>
            </w:r>
            <w:r w:rsidRPr="00EF545D">
              <w:rPr>
                <w:rFonts w:ascii="Times New Roman" w:hAnsi="Times New Roman" w:cs="Times New Roman"/>
                <w:sz w:val="16"/>
                <w:szCs w:val="16"/>
              </w:rPr>
              <w:lastRenderedPageBreak/>
              <w:t>centre-based rehabilitation</w:t>
            </w:r>
          </w:p>
        </w:tc>
        <w:tc>
          <w:tcPr>
            <w:tcW w:w="1451" w:type="dxa"/>
            <w:vAlign w:val="center"/>
          </w:tcPr>
          <w:p w14:paraId="3806A1A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HBPR produced significantly greater improvements than usual care in 6MWT, Physical Fitness Index, fatigue, SF-36 quality of life and dyspnea. Post-intervention 6MWT was 439.7 ± 25.3 m vs 347 ± </w:t>
            </w:r>
            <w:r w:rsidRPr="00EF545D">
              <w:rPr>
                <w:rFonts w:ascii="Times New Roman" w:hAnsi="Times New Roman" w:cs="Times New Roman"/>
                <w:sz w:val="16"/>
                <w:szCs w:val="16"/>
              </w:rPr>
              <w:lastRenderedPageBreak/>
              <w:t>32.7 m, PFI 52.3 ± 10.3 vs 36.7 ± 4.2, SF-36 66.4 ± 3.7 vs 47.6 ± 2.6, and Chalder fatigue 11.1 ± 0.94 vs 13.4 ± 2.1; all between-group p &lt; 0.001.</w:t>
            </w:r>
          </w:p>
        </w:tc>
      </w:tr>
      <w:tr w:rsidR="0068602E" w:rsidRPr="00EF545D" w14:paraId="6A9664FE" w14:textId="77777777" w:rsidTr="00D17C32">
        <w:tc>
          <w:tcPr>
            <w:tcW w:w="404" w:type="dxa"/>
            <w:vAlign w:val="center"/>
          </w:tcPr>
          <w:p w14:paraId="0371250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9</w:t>
            </w:r>
          </w:p>
        </w:tc>
        <w:tc>
          <w:tcPr>
            <w:tcW w:w="946" w:type="dxa"/>
            <w:vAlign w:val="center"/>
          </w:tcPr>
          <w:p w14:paraId="26A6222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Vallier et al. (2023), France</w:t>
            </w:r>
          </w:p>
          <w:p w14:paraId="4E7A381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[27]</w:t>
            </w:r>
          </w:p>
        </w:tc>
        <w:tc>
          <w:tcPr>
            <w:tcW w:w="772" w:type="dxa"/>
            <w:vAlign w:val="center"/>
          </w:tcPr>
          <w:p w14:paraId="41C6D47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trial conducted at Renée Sabran Hospital, France; January–December 2021</w:t>
            </w:r>
          </w:p>
        </w:tc>
        <w:tc>
          <w:tcPr>
            <w:tcW w:w="873" w:type="dxa"/>
            <w:vAlign w:val="center"/>
          </w:tcPr>
          <w:p w14:paraId="03D1108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22 randomized: 12 IPR, 10 HPR. 17 analyzed: 9 IPR, 8 HPR</w:t>
            </w:r>
          </w:p>
        </w:tc>
        <w:tc>
          <w:tcPr>
            <w:tcW w:w="846" w:type="dxa"/>
            <w:vAlign w:val="center"/>
          </w:tcPr>
          <w:p w14:paraId="0674C3B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≥18 years with recent RT-PCR-confirmed COVID-19 and at least one physical and/or respiratory post-COVID sequela; internet and videoconferencing access required</w:t>
            </w:r>
          </w:p>
        </w:tc>
        <w:tc>
          <w:tcPr>
            <w:tcW w:w="973" w:type="dxa"/>
            <w:vAlign w:val="center"/>
          </w:tcPr>
          <w:p w14:paraId="4885432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Home-based pulmonary rehabilitation (HPR)</w:t>
            </w:r>
          </w:p>
        </w:tc>
        <w:tc>
          <w:tcPr>
            <w:tcW w:w="933" w:type="dxa"/>
            <w:vAlign w:val="center"/>
          </w:tcPr>
          <w:p w14:paraId="3B6E432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 weeks: 4 × 60-min walks/week; 4 × 40-min endurance sessions/week consisting of 20-min walking at 90–100% of HR achieved at end of 6MWT plus 10-min warm-up/cool-down; 3 individual gymnastics/muscular-strength sessions/week; 1 sophrology session/week; 1 medical consultation</w:t>
            </w:r>
          </w:p>
        </w:tc>
        <w:tc>
          <w:tcPr>
            <w:tcW w:w="986" w:type="dxa"/>
            <w:vAlign w:val="center"/>
          </w:tcPr>
          <w:p w14:paraId="1012FF0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 sessions supervised remotely by hospital staff. Gymnastics, strength and sophrology were delivered by videoconference. Walking/endurance sessions were performed independently near home. Garmin Instinct recorded HR and speed live and transmitted training data to staff, allowing exercise modification</w:t>
            </w:r>
          </w:p>
        </w:tc>
        <w:tc>
          <w:tcPr>
            <w:tcW w:w="1007" w:type="dxa"/>
            <w:vAlign w:val="center"/>
          </w:tcPr>
          <w:p w14:paraId="43CF149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Inpatient pulmonary rehabilitation (IPR) with the same 4-week programme; hospital-based supervised sessions. Endurance used an ergocycle rather than walking</w:t>
            </w:r>
          </w:p>
        </w:tc>
        <w:tc>
          <w:tcPr>
            <w:tcW w:w="678" w:type="dxa"/>
            <w:vAlign w:val="center"/>
          </w:tcPr>
          <w:p w14:paraId="7A5615F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87.0 ± 22.2 → 90.5 ± 19.5%; no significant pre-post improvement, p = 0.076; group × time p = 0.647</w:t>
            </w:r>
          </w:p>
        </w:tc>
        <w:tc>
          <w:tcPr>
            <w:tcW w:w="678" w:type="dxa"/>
            <w:vAlign w:val="center"/>
          </w:tcPr>
          <w:p w14:paraId="53964DA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83.4 ± 19.4 → 87.5 ± 19.2%; significant overall pre-post effect, p = 0.011, but no significant group × time interaction, p = 0.264</w:t>
            </w:r>
          </w:p>
        </w:tc>
        <w:tc>
          <w:tcPr>
            <w:tcW w:w="714" w:type="dxa"/>
            <w:vAlign w:val="center"/>
          </w:tcPr>
          <w:p w14:paraId="482E93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3DD6E12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as a direct outcome; muscular strength/power assessed using squat jump, but respiratory muscle strength was not separately measured</w:t>
            </w:r>
          </w:p>
        </w:tc>
        <w:tc>
          <w:tcPr>
            <w:tcW w:w="608" w:type="dxa"/>
            <w:vAlign w:val="center"/>
          </w:tcPr>
          <w:p w14:paraId="77891EC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HPR: 542 ± 97 → 604 ± 88 m (+72 m). IPR: 447 ± 137 → 542 ± 111 m (+95 m). Pre-post improvement p &lt; 0.001; group × time p = 0.420</w:t>
            </w:r>
          </w:p>
        </w:tc>
        <w:tc>
          <w:tcPr>
            <w:tcW w:w="1006" w:type="dxa"/>
            <w:vAlign w:val="center"/>
          </w:tcPr>
          <w:p w14:paraId="626F020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MFI fatigue: total score HPR 60.1 → 54.8; IPR 66.2 → 48.2. VQ11 QoL: HPR 30.0 → 21.4; IPR 29.8 → 21.7. QoL improved significantly in both groups with no significant group × time interaction.</w:t>
            </w:r>
          </w:p>
        </w:tc>
        <w:tc>
          <w:tcPr>
            <w:tcW w:w="1214" w:type="dxa"/>
            <w:vAlign w:val="center"/>
          </w:tcPr>
          <w:p w14:paraId="57AC92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events/harms were specifically reported. Both rehabilitation approaches improved physical capacity; authors considered HPR a feasible alternative to IPR</w:t>
            </w:r>
          </w:p>
        </w:tc>
        <w:tc>
          <w:tcPr>
            <w:tcW w:w="1451" w:type="dxa"/>
            <w:vAlign w:val="center"/>
          </w:tcPr>
          <w:p w14:paraId="128DF25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HPR was as effective as IPR for physical capacity, with comparable improvements in 6MWT, STS, lower-limb strength/power, pulmonary function and quality of life. IPR was superior for general fatigue, with significant reduction in MFI total/general fatigue only in IPR.</w:t>
            </w:r>
          </w:p>
        </w:tc>
      </w:tr>
      <w:tr w:rsidR="0068602E" w:rsidRPr="00EF545D" w14:paraId="56B1FD3E" w14:textId="77777777" w:rsidTr="00D17C32">
        <w:tc>
          <w:tcPr>
            <w:tcW w:w="404" w:type="dxa"/>
            <w:vAlign w:val="center"/>
          </w:tcPr>
          <w:p w14:paraId="26AD545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10</w:t>
            </w:r>
          </w:p>
        </w:tc>
        <w:tc>
          <w:tcPr>
            <w:tcW w:w="946" w:type="dxa"/>
            <w:vAlign w:val="center"/>
          </w:tcPr>
          <w:p w14:paraId="628A69C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Mashhadi et al. (2022), Iran</w:t>
            </w:r>
          </w:p>
          <w:p w14:paraId="730994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w:t>
            </w:r>
            <w:r>
              <w:rPr>
                <w:rFonts w:ascii="Times New Roman" w:hAnsi="Times New Roman" w:cs="Times New Roman"/>
                <w:sz w:val="16"/>
                <w:szCs w:val="16"/>
              </w:rPr>
              <w:t>8</w:t>
            </w:r>
            <w:r w:rsidRPr="00EF545D">
              <w:rPr>
                <w:rFonts w:ascii="Times New Roman" w:hAnsi="Times New Roman" w:cs="Times New Roman"/>
                <w:sz w:val="16"/>
                <w:szCs w:val="16"/>
              </w:rPr>
              <w:t>]</w:t>
            </w:r>
          </w:p>
        </w:tc>
        <w:tc>
          <w:tcPr>
            <w:tcW w:w="772" w:type="dxa"/>
            <w:vAlign w:val="center"/>
          </w:tcPr>
          <w:p w14:paraId="5186266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clinical trial conducted in Qom Province, Iran; September–December 2021. Participants were recruited from Shahid Beheshti and Forghani hospitals.</w:t>
            </w:r>
          </w:p>
        </w:tc>
        <w:tc>
          <w:tcPr>
            <w:tcW w:w="873" w:type="dxa"/>
            <w:vAlign w:val="center"/>
          </w:tcPr>
          <w:p w14:paraId="227B8C0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30 initially randomized (15/group); 27 completed: exercise n=13, control n=14</w:t>
            </w:r>
          </w:p>
        </w:tc>
        <w:tc>
          <w:tcPr>
            <w:tcW w:w="846" w:type="dxa"/>
            <w:vAlign w:val="center"/>
          </w:tcPr>
          <w:p w14:paraId="78B840E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aged 35–59 years, previously hospitalized for confirmed COVID-19 for ≥1 week; mean age 47.04 ± 9.68 years; BMI 28.45 ± 4.93 kg/m². Three participants withdrew because of heart surgery, pregnancy and neck surgery.</w:t>
            </w:r>
          </w:p>
        </w:tc>
        <w:tc>
          <w:tcPr>
            <w:tcW w:w="973" w:type="dxa"/>
            <w:vAlign w:val="center"/>
          </w:tcPr>
          <w:p w14:paraId="4FA000D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Respiratory + core stability tele-exercise</w:t>
            </w:r>
          </w:p>
        </w:tc>
        <w:tc>
          <w:tcPr>
            <w:tcW w:w="933" w:type="dxa"/>
            <w:vAlign w:val="center"/>
          </w:tcPr>
          <w:p w14:paraId="484D273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8 weeks, 3 sessions/week, 45–60 min/session. Respiratory programme included breathing-muscle training (3 × 10 deep breaths), cough exercises, diaphragmatic breathing with 1–3 kg abdominal resistance, pursed-lip breathing (3 × 10), and chest-muscle stretching. Core exercises progressed through levels 1–3 over 8 weeks, generally 3 </w:t>
            </w:r>
            <w:r w:rsidRPr="00EF545D">
              <w:rPr>
                <w:rFonts w:ascii="Times New Roman" w:hAnsi="Times New Roman" w:cs="Times New Roman"/>
                <w:sz w:val="16"/>
                <w:szCs w:val="16"/>
              </w:rPr>
              <w:lastRenderedPageBreak/>
              <w:t>sets with 10–20 repetitions.</w:t>
            </w:r>
          </w:p>
        </w:tc>
        <w:tc>
          <w:tcPr>
            <w:tcW w:w="986" w:type="dxa"/>
            <w:vAlign w:val="center"/>
          </w:tcPr>
          <w:p w14:paraId="52E69DD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Videoconference/video calls, 3 sessions/week for 8 weeks; each session 45–60 min. The programme was supervised by a trainer.</w:t>
            </w:r>
          </w:p>
        </w:tc>
        <w:tc>
          <w:tcPr>
            <w:tcW w:w="1007" w:type="dxa"/>
            <w:vAlign w:val="center"/>
          </w:tcPr>
          <w:p w14:paraId="7442C6D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Usual activity/control: participants were allowed to continue their normal activities and did not receive the tele-exercise programme.</w:t>
            </w:r>
          </w:p>
        </w:tc>
        <w:tc>
          <w:tcPr>
            <w:tcW w:w="678" w:type="dxa"/>
            <w:vAlign w:val="center"/>
          </w:tcPr>
          <w:p w14:paraId="40D29EE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2.23 ± 1.12 → 3.16 ± 1.13 L (+0.93 L) in exercise vs 2.36 ± 1.20 → 2.42 ± 1.61 L (+0.06 L) control; significant group × time interaction, p = 0.036.</w:t>
            </w:r>
          </w:p>
        </w:tc>
        <w:tc>
          <w:tcPr>
            <w:tcW w:w="678" w:type="dxa"/>
            <w:vAlign w:val="center"/>
          </w:tcPr>
          <w:p w14:paraId="6B27401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3.35 ± 1.32 → 5.50 ± 1.73 L (+2.15 L) exercise vs 3.43 ± 1.68 → 3.77 ± 1.95 L (+0.34 L) control; significant interaction, p = 0.011.</w:t>
            </w:r>
          </w:p>
        </w:tc>
        <w:tc>
          <w:tcPr>
            <w:tcW w:w="714" w:type="dxa"/>
            <w:vAlign w:val="center"/>
          </w:tcPr>
          <w:p w14:paraId="5BD1837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0FAD94E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respiratory muscle training was included in the intervention, but respiratory muscle strength was not measured as an outcome.</w:t>
            </w:r>
          </w:p>
        </w:tc>
        <w:tc>
          <w:tcPr>
            <w:tcW w:w="608" w:type="dxa"/>
            <w:vAlign w:val="center"/>
          </w:tcPr>
          <w:p w14:paraId="1135EA2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338.00 ± 95.85 → 433.76 ± 81.81 m (+95.76 m) exercise vs 366.50 ± 70.44 → 391.07 ± 40.23 m (+24.57 m) control; significant group × time interaction, p = 0.003.</w:t>
            </w:r>
          </w:p>
        </w:tc>
        <w:tc>
          <w:tcPr>
            <w:tcW w:w="1006" w:type="dxa"/>
            <w:vAlign w:val="center"/>
          </w:tcPr>
          <w:p w14:paraId="5C64FFF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no patient-reported QoL, fatigue, dyspnoea or symptom scale was reported as an outcome.</w:t>
            </w:r>
          </w:p>
        </w:tc>
        <w:tc>
          <w:tcPr>
            <w:tcW w:w="1214" w:type="dxa"/>
            <w:vAlign w:val="center"/>
          </w:tcPr>
          <w:p w14:paraId="29BD3F4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intervention-related adverse events/harms were reported. Three participants discontinued for reasons unrelated to the exercise intervention: heart surgery, pregnancy and neck surgery. Ethical approval and trial registration were reported.</w:t>
            </w:r>
          </w:p>
        </w:tc>
        <w:tc>
          <w:tcPr>
            <w:tcW w:w="1451" w:type="dxa"/>
            <w:vAlign w:val="center"/>
          </w:tcPr>
          <w:p w14:paraId="5C30C99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Respiratory and core-stability tele-exercise produced significantly greater improvements than control in FVC, FEV₁, predicted FVC, predicted FEV₁ and 6MWT. FEV₁/FVC did not significantly differ between groups (interaction p = 0.846).</w:t>
            </w:r>
          </w:p>
        </w:tc>
      </w:tr>
      <w:tr w:rsidR="0068602E" w:rsidRPr="00EF545D" w14:paraId="6A38A1FC" w14:textId="77777777" w:rsidTr="00D17C32">
        <w:tc>
          <w:tcPr>
            <w:tcW w:w="404" w:type="dxa"/>
            <w:vAlign w:val="center"/>
          </w:tcPr>
          <w:p w14:paraId="054D227F"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11</w:t>
            </w:r>
          </w:p>
        </w:tc>
        <w:tc>
          <w:tcPr>
            <w:tcW w:w="946" w:type="dxa"/>
            <w:vAlign w:val="center"/>
          </w:tcPr>
          <w:p w14:paraId="7B3115F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eastAsia="Times New Roman" w:hAnsi="Times New Roman" w:cs="Times New Roman"/>
                <w:sz w:val="16"/>
                <w:szCs w:val="16"/>
              </w:rPr>
              <w:t>Rodriguez-Blanco et al. (2023), Spain</w:t>
            </w:r>
          </w:p>
          <w:p w14:paraId="25255910"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[29]</w:t>
            </w:r>
          </w:p>
        </w:tc>
        <w:tc>
          <w:tcPr>
            <w:tcW w:w="772" w:type="dxa"/>
            <w:vAlign w:val="center"/>
          </w:tcPr>
          <w:p w14:paraId="24D67FAC"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Randomized controlled, parallel, two-arm.</w:t>
            </w:r>
          </w:p>
        </w:tc>
        <w:tc>
          <w:tcPr>
            <w:tcW w:w="873" w:type="dxa"/>
            <w:vAlign w:val="center"/>
          </w:tcPr>
          <w:p w14:paraId="53ECC08D"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52 randomized; 48 completed/analyzed (26 allocated to intervention, 26 control; 24 analyzed per group).</w:t>
            </w:r>
          </w:p>
        </w:tc>
        <w:tc>
          <w:tcPr>
            <w:tcW w:w="846" w:type="dxa"/>
            <w:vAlign w:val="center"/>
          </w:tcPr>
          <w:p w14:paraId="3CA3BD9C"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Adults 18–75 years with PCR/antigen-confirmed COVID-19 and COVID-related symptoms persisting for ≥40 days; non-hospitalized patients. Patients requiring COVID-19 hospitalization and those with several major comorbidities/chronic conditions were excluded.</w:t>
            </w:r>
          </w:p>
        </w:tc>
        <w:tc>
          <w:tcPr>
            <w:tcW w:w="973" w:type="dxa"/>
            <w:vAlign w:val="center"/>
          </w:tcPr>
          <w:p w14:paraId="70ADE216"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14-day therapeutic exercise telerehabilitation combining breathing and strength exercises</w:t>
            </w:r>
          </w:p>
        </w:tc>
        <w:tc>
          <w:tcPr>
            <w:tcW w:w="933" w:type="dxa"/>
            <w:vAlign w:val="center"/>
          </w:tcPr>
          <w:p w14:paraId="59C74CB8"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10 breathing- and strength-based exercises, performed once daily for 14 days; 12 repetitions/exercise, approximately 30 min/day. Repetitions could be modified according to Borg Scale response.</w:t>
            </w:r>
          </w:p>
        </w:tc>
        <w:tc>
          <w:tcPr>
            <w:tcW w:w="986" w:type="dxa"/>
            <w:vAlign w:val="center"/>
          </w:tcPr>
          <w:p w14:paraId="4DD709E2"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Home-based telerehabilitation with physiotherapist supervision/reinforcement through videoconference. The authors describe high treatment adherence; 2/26 intervention participants were lost to follow-up, leaving 24 analyzed.</w:t>
            </w:r>
          </w:p>
        </w:tc>
        <w:tc>
          <w:tcPr>
            <w:tcW w:w="1007" w:type="dxa"/>
            <w:vAlign w:val="center"/>
          </w:tcPr>
          <w:p w14:paraId="4DA2F12D"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Relative home rest/usual daily activities, without additional physical effort. Participants were instructed not to undertake other physiotherapy or sports activity during the trial.</w:t>
            </w:r>
          </w:p>
        </w:tc>
        <w:tc>
          <w:tcPr>
            <w:tcW w:w="678" w:type="dxa"/>
            <w:vAlign w:val="center"/>
          </w:tcPr>
          <w:p w14:paraId="7F0B2F86"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678" w:type="dxa"/>
            <w:vAlign w:val="center"/>
          </w:tcPr>
          <w:p w14:paraId="6B2B2243"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714" w:type="dxa"/>
            <w:vAlign w:val="center"/>
          </w:tcPr>
          <w:p w14:paraId="70CE4478"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w:t>
            </w:r>
          </w:p>
        </w:tc>
        <w:tc>
          <w:tcPr>
            <w:tcW w:w="832" w:type="dxa"/>
            <w:vAlign w:val="center"/>
          </w:tcPr>
          <w:p w14:paraId="3425B198"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NR; respiratory exercises were part of the intervention, but respiratory muscle strength was not reported as an outcome.</w:t>
            </w:r>
          </w:p>
        </w:tc>
        <w:tc>
          <w:tcPr>
            <w:tcW w:w="608" w:type="dxa"/>
            <w:vAlign w:val="center"/>
          </w:tcPr>
          <w:p w14:paraId="251AF3C1"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429.63 ± 192.50 → 577.54 ± 153.04 m in intervention; change +147.92 ± 165.57 m. Control: 379.46 ± 131.28 → 379.08 ± 131.37 m, change −0.37 ± 10.67 m. Intervention improvement p &lt; 0.001; effect size R² = 0.294.</w:t>
            </w:r>
          </w:p>
        </w:tc>
        <w:tc>
          <w:tcPr>
            <w:tcW w:w="1006" w:type="dxa"/>
            <w:vAlign w:val="center"/>
          </w:tcPr>
          <w:p w14:paraId="1605FD4C"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Fatigue: VAFS 3.42 ± 2.57 → 1.42 ± 1.84 (p &lt; 0.001). Dyspnoea: MD12 11.29 ± 7.54 → 1.08 ± 1.53 (p &lt; 0.001). Perceived exertion: Borg 4.87 ± 2.11 → 0.62 ± 0.65 (p &lt; 0.001). All were patient-reported measures.</w:t>
            </w:r>
          </w:p>
        </w:tc>
        <w:tc>
          <w:tcPr>
            <w:tcW w:w="1214" w:type="dxa"/>
            <w:vAlign w:val="center"/>
          </w:tcPr>
          <w:p w14:paraId="7ED2F957"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 xml:space="preserve">No side effects were recorded during the intervention. Four participants were lost to follow-up (2 intervention, 2 control). </w:t>
            </w:r>
          </w:p>
        </w:tc>
        <w:tc>
          <w:tcPr>
            <w:tcW w:w="1451" w:type="dxa"/>
            <w:vAlign w:val="center"/>
          </w:tcPr>
          <w:p w14:paraId="7EB4694D"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The 14-day telerehabilitation programme produced significant improvements in all assessed outcomes in the intervention group, while the control group showed no significant within-group changes. Significant improvements occurred in 6MWT, fatigue, dyspnoea, perceived exertion and 30-second sit-to-stand performance. The authors concluded that the programme improved physical and respiratory function in non-hospitalized post-COVID-19 patients.</w:t>
            </w:r>
          </w:p>
        </w:tc>
      </w:tr>
      <w:tr w:rsidR="0068602E" w:rsidRPr="00EF545D" w14:paraId="5EA78CBC" w14:textId="77777777" w:rsidTr="00D17C32">
        <w:tc>
          <w:tcPr>
            <w:tcW w:w="404" w:type="dxa"/>
            <w:vAlign w:val="center"/>
          </w:tcPr>
          <w:p w14:paraId="19AB39D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12</w:t>
            </w:r>
          </w:p>
        </w:tc>
        <w:tc>
          <w:tcPr>
            <w:tcW w:w="946" w:type="dxa"/>
            <w:vAlign w:val="center"/>
          </w:tcPr>
          <w:p w14:paraId="58D7635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da Costa et al. (2024), Brazil</w:t>
            </w:r>
          </w:p>
          <w:p w14:paraId="5A0A15AE"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[30]</w:t>
            </w:r>
          </w:p>
        </w:tc>
        <w:tc>
          <w:tcPr>
            <w:tcW w:w="772" w:type="dxa"/>
            <w:vAlign w:val="center"/>
          </w:tcPr>
          <w:p w14:paraId="4FEEACB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Evaluator-blinded randomized controlled clinical trial; participants with post-COVID-19 syndrome. Trial registered in the Brazilian Registry of Clinical Trials (RBR-87pv366).</w:t>
            </w:r>
          </w:p>
        </w:tc>
        <w:tc>
          <w:tcPr>
            <w:tcW w:w="873" w:type="dxa"/>
            <w:vAlign w:val="center"/>
          </w:tcPr>
          <w:p w14:paraId="12640581"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34 randomized; 33 analyzed. CRG n=17; CG n=16 after 1 dropout.</w:t>
            </w:r>
          </w:p>
        </w:tc>
        <w:tc>
          <w:tcPr>
            <w:tcW w:w="846" w:type="dxa"/>
            <w:vAlign w:val="center"/>
          </w:tcPr>
          <w:p w14:paraId="2233DB5D"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Adults ≥18 years with confirmed COVID-19 and respiratory symptoms persisting &gt;4 weeks; able to perform study procedures. Patients with orthopedic/neurological conditions were excluded.</w:t>
            </w:r>
          </w:p>
        </w:tc>
        <w:tc>
          <w:tcPr>
            <w:tcW w:w="973" w:type="dxa"/>
            <w:vAlign w:val="center"/>
          </w:tcPr>
          <w:p w14:paraId="3A734CC9"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6-week cardiopulmonary rehabilitation</w:t>
            </w:r>
          </w:p>
        </w:tc>
        <w:tc>
          <w:tcPr>
            <w:tcW w:w="933" w:type="dxa"/>
            <w:vAlign w:val="center"/>
          </w:tcPr>
          <w:p w14:paraId="7455983A"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12 sessions, twice weekly for 6 weeks. Included lung expansion therapy, inspiratory muscle training, upper-limb strengthening and aerobic exercise. Lung expansion: EPAP/PEEP 5–20 cmH₂O; IMT at 40–50% MIP; upper-limb strengthening initially at 50% of maximal load; treadmill aerobic exercise at 60–70% HR initially and 70–80% during final 3 weeks.</w:t>
            </w:r>
          </w:p>
        </w:tc>
        <w:tc>
          <w:tcPr>
            <w:tcW w:w="986" w:type="dxa"/>
            <w:vAlign w:val="center"/>
          </w:tcPr>
          <w:p w14:paraId="12BDE7C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Supervised cardiopulmonary rehabilitation, twice weekly for six weeks. Control received remote physiotherapist-led health lectures twice weekly for six weeks.</w:t>
            </w:r>
          </w:p>
        </w:tc>
        <w:tc>
          <w:tcPr>
            <w:tcW w:w="1007" w:type="dxa"/>
            <w:vAlign w:val="center"/>
          </w:tcPr>
          <w:p w14:paraId="1A7176C4"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Control group: remote lectures on COVID-19, chronic diseases, quality of life and healthy lifestyle; participants maintained normal daily activities.</w:t>
            </w:r>
          </w:p>
        </w:tc>
        <w:tc>
          <w:tcPr>
            <w:tcW w:w="678" w:type="dxa"/>
            <w:vAlign w:val="center"/>
          </w:tcPr>
          <w:p w14:paraId="0DE5FCE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1.82 ± 0.65 → 2.17 ± 0.65 L; between-group difference in change −0.07 L (95% CI −0.48 to 0.34); NS.</w:t>
            </w:r>
          </w:p>
        </w:tc>
        <w:tc>
          <w:tcPr>
            <w:tcW w:w="678" w:type="dxa"/>
            <w:vAlign w:val="center"/>
          </w:tcPr>
          <w:p w14:paraId="4B239FCD"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2.04 ± 0.59 → 2.36 ± 0.59 L; between-group difference −0.22 L (95% CI −0.62 to 0.19); NS.</w:t>
            </w:r>
          </w:p>
        </w:tc>
        <w:tc>
          <w:tcPr>
            <w:tcW w:w="714" w:type="dxa"/>
            <w:vAlign w:val="center"/>
          </w:tcPr>
          <w:p w14:paraId="30B667A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Not reported as an outcome. Supplemental oxygen was provided if peripheral oxygen saturation fell to ≤90% during intervention.</w:t>
            </w:r>
          </w:p>
        </w:tc>
        <w:tc>
          <w:tcPr>
            <w:tcW w:w="832" w:type="dxa"/>
            <w:vAlign w:val="center"/>
          </w:tcPr>
          <w:p w14:paraId="60B3F00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MIP: 75.67 ± 30.38 → 105.25 ± 31.97 cmH₂O; change +29.58, significant. MSL: 25.88 ± 20.93 → 62.35 ± 17.51 cmH₂O; change +36.47, significant. MST: 5.22 ± 3.81 → 12.05 ± 3.50 min; change +6.84, significant. Between-group differences were 26.31 cmH₂O, 29.41 cmH₂O, and 5.88 min, respectively.</w:t>
            </w:r>
          </w:p>
        </w:tc>
        <w:tc>
          <w:tcPr>
            <w:tcW w:w="608" w:type="dxa"/>
            <w:vAlign w:val="center"/>
          </w:tcPr>
          <w:p w14:paraId="720CEFE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755C27D6"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Dyspnoea (modified Borg): 3.23 ± 2.25 → 0.65 ± 1.17; change −2.59, with significant between-group difference −2.48.</w:t>
            </w:r>
          </w:p>
        </w:tc>
        <w:tc>
          <w:tcPr>
            <w:tcW w:w="1214" w:type="dxa"/>
            <w:vAlign w:val="center"/>
          </w:tcPr>
          <w:p w14:paraId="6B71427D"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One participant dropped out from the rehabilitation group; no specific adverse events were reported in the presented results. Patients were continuously monitored, and oxygen supplementation was provided when SpO₂ ≤90%.</w:t>
            </w:r>
          </w:p>
        </w:tc>
        <w:tc>
          <w:tcPr>
            <w:tcW w:w="1451" w:type="dxa"/>
            <w:vAlign w:val="center"/>
          </w:tcPr>
          <w:p w14:paraId="7310981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Cardiopulmonary rehabilitation significantly improved respiratory muscle strength and endurance and reduced dyspnoea. FEV₁, FVC and PEF increased within the rehabilitation group but did not differ significantly between groups. Diaphragmatic thickening fraction increased but mobility did not significantly change.</w:t>
            </w:r>
          </w:p>
        </w:tc>
      </w:tr>
      <w:tr w:rsidR="0068602E" w:rsidRPr="00EF545D" w14:paraId="4BCB7F3E" w14:textId="77777777" w:rsidTr="00D17C32">
        <w:tc>
          <w:tcPr>
            <w:tcW w:w="404" w:type="dxa"/>
            <w:vAlign w:val="center"/>
          </w:tcPr>
          <w:p w14:paraId="5CCEF52B"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13</w:t>
            </w:r>
          </w:p>
        </w:tc>
        <w:tc>
          <w:tcPr>
            <w:tcW w:w="946" w:type="dxa"/>
            <w:vAlign w:val="center"/>
          </w:tcPr>
          <w:p w14:paraId="0AA0498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Pehlivan et al. (2022), Turkey</w:t>
            </w:r>
          </w:p>
          <w:p w14:paraId="4232019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[31]</w:t>
            </w:r>
          </w:p>
        </w:tc>
        <w:tc>
          <w:tcPr>
            <w:tcW w:w="772" w:type="dxa"/>
            <w:vAlign w:val="center"/>
          </w:tcPr>
          <w:p w14:paraId="137391CA"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 xml:space="preserve">Prospective, single-centre, randomized controlled trial with concealed allocation. </w:t>
            </w:r>
            <w:r w:rsidRPr="00EF545D">
              <w:rPr>
                <w:rFonts w:ascii="Times New Roman" w:hAnsi="Times New Roman" w:cs="Times New Roman"/>
                <w:sz w:val="16"/>
                <w:szCs w:val="16"/>
              </w:rPr>
              <w:lastRenderedPageBreak/>
              <w:t>Conducted among patients discharged after COVID-19 hospitalization.</w:t>
            </w:r>
          </w:p>
        </w:tc>
        <w:tc>
          <w:tcPr>
            <w:tcW w:w="873" w:type="dxa"/>
            <w:vAlign w:val="center"/>
          </w:tcPr>
          <w:p w14:paraId="53ACB1FF"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 xml:space="preserve">40 randomized (20 TeleGr, 20 CG); 34 analyzed (17 per group). Six participants </w:t>
            </w:r>
            <w:r w:rsidRPr="00EF545D">
              <w:rPr>
                <w:rFonts w:ascii="Times New Roman" w:hAnsi="Times New Roman" w:cs="Times New Roman"/>
                <w:sz w:val="16"/>
                <w:szCs w:val="16"/>
              </w:rPr>
              <w:lastRenderedPageBreak/>
              <w:t>dropped out.</w:t>
            </w:r>
          </w:p>
        </w:tc>
        <w:tc>
          <w:tcPr>
            <w:tcW w:w="846" w:type="dxa"/>
            <w:vAlign w:val="center"/>
          </w:tcPr>
          <w:p w14:paraId="233565A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 xml:space="preserve">Adults 18–75 years, diagnosed with COVID-19, within the first 4 weeks after discharge, with </w:t>
            </w:r>
            <w:r w:rsidRPr="00EF545D">
              <w:rPr>
                <w:rFonts w:ascii="Times New Roman" w:hAnsi="Times New Roman" w:cs="Times New Roman"/>
                <w:sz w:val="16"/>
                <w:szCs w:val="16"/>
              </w:rPr>
              <w:lastRenderedPageBreak/>
              <w:t>reduced physical function compared with pre-illness status. Patients with exercise-limiting comorbidities or neurological/cardiac deficits were excluded.</w:t>
            </w:r>
          </w:p>
        </w:tc>
        <w:tc>
          <w:tcPr>
            <w:tcW w:w="973" w:type="dxa"/>
            <w:vAlign w:val="center"/>
          </w:tcPr>
          <w:p w14:paraId="528934E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Telerehabilitation exercise programme</w:t>
            </w:r>
          </w:p>
        </w:tc>
        <w:tc>
          <w:tcPr>
            <w:tcW w:w="933" w:type="dxa"/>
            <w:vAlign w:val="center"/>
          </w:tcPr>
          <w:p w14:paraId="74BF19BE"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 xml:space="preserve">Patient education, paced running/self-walking, breathing exercises, active cycle of breathing technique, range-of-motion </w:t>
            </w:r>
            <w:r w:rsidRPr="00EF545D">
              <w:rPr>
                <w:rFonts w:ascii="Times New Roman" w:hAnsi="Times New Roman" w:cs="Times New Roman"/>
                <w:sz w:val="16"/>
                <w:szCs w:val="16"/>
              </w:rPr>
              <w:lastRenderedPageBreak/>
              <w:t>exercises and standing squats. Exercises were performed 3 days/week for 6 weeks, generally 10 repetitions/session, with intensity around Borg 11–12 and modified according to fatigue/tolerance.</w:t>
            </w:r>
          </w:p>
        </w:tc>
        <w:tc>
          <w:tcPr>
            <w:tcW w:w="986" w:type="dxa"/>
            <w:vAlign w:val="center"/>
          </w:tcPr>
          <w:p w14:paraId="624B851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 xml:space="preserve">Live videoconferencing using a smartphone, with the physiotherapist providing real-time instructions and monitoring. </w:t>
            </w:r>
            <w:r w:rsidRPr="00EF545D">
              <w:rPr>
                <w:rFonts w:ascii="Times New Roman" w:hAnsi="Times New Roman" w:cs="Times New Roman"/>
                <w:sz w:val="16"/>
                <w:szCs w:val="16"/>
              </w:rPr>
              <w:lastRenderedPageBreak/>
              <w:t>A relative was requested to remain in the room during sessions.</w:t>
            </w:r>
          </w:p>
        </w:tc>
        <w:tc>
          <w:tcPr>
            <w:tcW w:w="1007" w:type="dxa"/>
            <w:vAlign w:val="center"/>
          </w:tcPr>
          <w:p w14:paraId="063D6899"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 xml:space="preserve">Control: received one exercise-training session plus a smartphone-delivered exercise brochure containing similar </w:t>
            </w:r>
            <w:r w:rsidRPr="00EF545D">
              <w:rPr>
                <w:rFonts w:ascii="Times New Roman" w:hAnsi="Times New Roman" w:cs="Times New Roman"/>
                <w:sz w:val="16"/>
                <w:szCs w:val="16"/>
              </w:rPr>
              <w:lastRenderedPageBreak/>
              <w:t>exercises. Participants were instructed to exercise 3 days/week for 6 weeks independently.</w:t>
            </w:r>
          </w:p>
        </w:tc>
        <w:tc>
          <w:tcPr>
            <w:tcW w:w="678" w:type="dxa"/>
            <w:vAlign w:val="center"/>
          </w:tcPr>
          <w:p w14:paraId="7CE2739F"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NR</w:t>
            </w:r>
          </w:p>
        </w:tc>
        <w:tc>
          <w:tcPr>
            <w:tcW w:w="678" w:type="dxa"/>
            <w:vAlign w:val="center"/>
          </w:tcPr>
          <w:p w14:paraId="167A83E4"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75226F4F"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45150D5B"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53AE2603"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5AF525A4"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 xml:space="preserve">mMRC dyspnoea; VAS pain and fatigue; SGRQ; BDI. TeleGr significantly improved mMRC, TUG, 5-times sit-to-stand and </w:t>
            </w:r>
            <w:r w:rsidRPr="00EF545D">
              <w:rPr>
                <w:rFonts w:ascii="Times New Roman" w:hAnsi="Times New Roman" w:cs="Times New Roman"/>
                <w:sz w:val="16"/>
                <w:szCs w:val="16"/>
              </w:rPr>
              <w:lastRenderedPageBreak/>
              <w:t>SGRQ activity, impact and total scores.</w:t>
            </w:r>
          </w:p>
        </w:tc>
        <w:tc>
          <w:tcPr>
            <w:tcW w:w="1214" w:type="dxa"/>
            <w:vAlign w:val="center"/>
          </w:tcPr>
          <w:p w14:paraId="09B1FBA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No complications or harmful clinical problems reported.</w:t>
            </w:r>
          </w:p>
        </w:tc>
        <w:tc>
          <w:tcPr>
            <w:tcW w:w="1451" w:type="dxa"/>
            <w:vAlign w:val="center"/>
          </w:tcPr>
          <w:p w14:paraId="0C0F8E1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 xml:space="preserve">Telerehabilitation significantly improved dyspnoea, functional mobility, sit-to-stand performance and respiratory-related quality of life. Between-group differences were significant for SGRQ activity </w:t>
            </w:r>
            <w:r w:rsidRPr="00EF545D">
              <w:rPr>
                <w:rFonts w:ascii="Times New Roman" w:hAnsi="Times New Roman" w:cs="Times New Roman"/>
                <w:sz w:val="16"/>
                <w:szCs w:val="16"/>
              </w:rPr>
              <w:lastRenderedPageBreak/>
              <w:t>(P=0.035) and SGRQ total (P=0.042).</w:t>
            </w:r>
          </w:p>
        </w:tc>
      </w:tr>
      <w:tr w:rsidR="0068602E" w:rsidRPr="00EF545D" w14:paraId="09AF2A51" w14:textId="77777777" w:rsidTr="00D17C32">
        <w:tc>
          <w:tcPr>
            <w:tcW w:w="404" w:type="dxa"/>
            <w:vAlign w:val="center"/>
          </w:tcPr>
          <w:p w14:paraId="58DD5AC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lastRenderedPageBreak/>
              <w:t>14</w:t>
            </w:r>
          </w:p>
        </w:tc>
        <w:tc>
          <w:tcPr>
            <w:tcW w:w="946" w:type="dxa"/>
            <w:vAlign w:val="center"/>
          </w:tcPr>
          <w:p w14:paraId="3EF00AF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Jeong et al. (2024), Republic of Korea</w:t>
            </w:r>
          </w:p>
          <w:p w14:paraId="19E15F94"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[32]</w:t>
            </w:r>
          </w:p>
        </w:tc>
        <w:tc>
          <w:tcPr>
            <w:tcW w:w="772" w:type="dxa"/>
            <w:vAlign w:val="center"/>
          </w:tcPr>
          <w:p w14:paraId="761C6CEE"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Randomized controlled trial conducted among COVID-19-recovered young patients at Sun Moon University.</w:t>
            </w:r>
          </w:p>
        </w:tc>
        <w:tc>
          <w:tcPr>
            <w:tcW w:w="873" w:type="dxa"/>
            <w:vAlign w:val="center"/>
          </w:tcPr>
          <w:p w14:paraId="3B8BE13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35 randomized: 18 intervention, 17 control. All 35 were assessed at baseline and post-intervention.</w:t>
            </w:r>
          </w:p>
        </w:tc>
        <w:tc>
          <w:tcPr>
            <w:tcW w:w="846" w:type="dxa"/>
            <w:vAlign w:val="center"/>
          </w:tcPr>
          <w:p w14:paraId="004B0306"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19–30-year-old college students with previous COVID-19 infection, released from isolation and experiencing long-COVID symptoms. Participants with moderate/severe heart disease, severe stroke/neurodegenerative disease, sensory/vestibular problems or other respiratory conditions were excluded.</w:t>
            </w:r>
          </w:p>
        </w:tc>
        <w:tc>
          <w:tcPr>
            <w:tcW w:w="973" w:type="dxa"/>
            <w:vAlign w:val="center"/>
          </w:tcPr>
          <w:p w14:paraId="58BFB81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Home-based Kakao Healthcare breathing exercises + respiratory muscle stretching</w:t>
            </w:r>
          </w:p>
        </w:tc>
        <w:tc>
          <w:tcPr>
            <w:tcW w:w="933" w:type="dxa"/>
            <w:vAlign w:val="center"/>
          </w:tcPr>
          <w:p w14:paraId="4E0581E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Four Kakao breathing exercises plus five respiratory muscle stretching exercises. 10 min/day, 4 days/week for 4 weeks. Breathing exercises included balloon breathing, “hahaha” breathing, “heub heub heub” breathing and “heub ha heub ha” breathing.</w:t>
            </w:r>
          </w:p>
        </w:tc>
        <w:tc>
          <w:tcPr>
            <w:tcW w:w="986" w:type="dxa"/>
            <w:vAlign w:val="center"/>
          </w:tcPr>
          <w:p w14:paraId="44554A58"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Initially taught by an experimenter until participants could perform independently. Smartphone instructional video provided; Kakao chat/phone reminders were given 4 times/week. Participants recorded completion and researchers checked progress weekly. Participants achieving &lt;80% compliance were to be excluded.</w:t>
            </w:r>
          </w:p>
        </w:tc>
        <w:tc>
          <w:tcPr>
            <w:tcW w:w="1007" w:type="dxa"/>
            <w:vAlign w:val="center"/>
          </w:tcPr>
          <w:p w14:paraId="1711DA21"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Control: no intervention during the 4-week period.</w:t>
            </w:r>
          </w:p>
        </w:tc>
        <w:tc>
          <w:tcPr>
            <w:tcW w:w="678" w:type="dxa"/>
            <w:vAlign w:val="center"/>
          </w:tcPr>
          <w:p w14:paraId="22E9D46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Yes — FEV₁ increased from 3.88 ± 1.13 to 4.37 ± 1.00 L; between-group change p=0.010.</w:t>
            </w:r>
          </w:p>
        </w:tc>
        <w:tc>
          <w:tcPr>
            <w:tcW w:w="678" w:type="dxa"/>
            <w:vAlign w:val="center"/>
          </w:tcPr>
          <w:p w14:paraId="7F85E733"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Yes — increased from 5.08 ± 1.15 to 5.16 ± 1.10 L, but between-group difference was not significant (p=0.181).</w:t>
            </w:r>
          </w:p>
        </w:tc>
        <w:tc>
          <w:tcPr>
            <w:tcW w:w="714" w:type="dxa"/>
            <w:vAlign w:val="center"/>
          </w:tcPr>
          <w:p w14:paraId="4F039ECA"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58EF909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798B99B8"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7B951B01"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Fatigue Severity Scale (FSS). FSS decreased significantly within the intervention group (p=0.032), but the between-group difference was not significant (p=0.125).</w:t>
            </w:r>
          </w:p>
        </w:tc>
        <w:tc>
          <w:tcPr>
            <w:tcW w:w="1214" w:type="dxa"/>
            <w:vAlign w:val="center"/>
          </w:tcPr>
          <w:p w14:paraId="2239FC9C"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No adverse/safety outcomes were specifically reported.</w:t>
            </w:r>
          </w:p>
        </w:tc>
        <w:tc>
          <w:tcPr>
            <w:tcW w:w="1451" w:type="dxa"/>
            <w:vAlign w:val="center"/>
          </w:tcPr>
          <w:p w14:paraId="259CC145"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hAnsi="Times New Roman" w:cs="Times New Roman"/>
                <w:sz w:val="16"/>
                <w:szCs w:val="16"/>
              </w:rPr>
              <w:t>Home-based breathing exercises plus stretching significantly improved FEV₁ and FEV₁/FVC% compared with control. PEF also improved within the intervention group, but its between-group difference was not significant. FVC and fatigue did not show significant between-group effects.</w:t>
            </w:r>
          </w:p>
        </w:tc>
      </w:tr>
      <w:tr w:rsidR="0068602E" w:rsidRPr="00EF545D" w14:paraId="64E00D5B" w14:textId="77777777" w:rsidTr="00D17C32">
        <w:tc>
          <w:tcPr>
            <w:tcW w:w="404" w:type="dxa"/>
            <w:vAlign w:val="center"/>
          </w:tcPr>
          <w:p w14:paraId="1FF72C6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15</w:t>
            </w:r>
          </w:p>
        </w:tc>
        <w:tc>
          <w:tcPr>
            <w:tcW w:w="946" w:type="dxa"/>
            <w:vAlign w:val="center"/>
          </w:tcPr>
          <w:p w14:paraId="686E85F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Elgayar et al. (2025), Egypt</w:t>
            </w:r>
          </w:p>
          <w:p w14:paraId="731630D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[33]</w:t>
            </w:r>
          </w:p>
        </w:tc>
        <w:tc>
          <w:tcPr>
            <w:tcW w:w="772" w:type="dxa"/>
            <w:vAlign w:val="center"/>
          </w:tcPr>
          <w:p w14:paraId="355BA4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Parallel-group, single-centre, prospective randomized controlled trial, conducted at Al Mahalla Al Kobra Chest Hospital, Egypt.</w:t>
            </w:r>
          </w:p>
        </w:tc>
        <w:tc>
          <w:tcPr>
            <w:tcW w:w="873" w:type="dxa"/>
            <w:vAlign w:val="center"/>
          </w:tcPr>
          <w:p w14:paraId="17CF50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80 males randomized: AE n=20, RE n=20, AE/RE n=20, Control n=20. Two participants withdrew; ITT analysis retained n=20/group.</w:t>
            </w:r>
          </w:p>
        </w:tc>
        <w:tc>
          <w:tcPr>
            <w:tcW w:w="846" w:type="dxa"/>
            <w:vAlign w:val="center"/>
          </w:tcPr>
          <w:p w14:paraId="07459A8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Men aged 40–60 years with chronic post-COVID-19 pulmonary fibrosis lasting &gt;6 months, mild–moderate pulmonary fibrosis, previous moderate–severe COVID-19, and MRC dyspnea grade 1–3.</w:t>
            </w:r>
          </w:p>
        </w:tc>
        <w:tc>
          <w:tcPr>
            <w:tcW w:w="973" w:type="dxa"/>
            <w:vAlign w:val="center"/>
          </w:tcPr>
          <w:p w14:paraId="14464EF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Aerobic exercise (AE), resistance exercise (RE), or combined AE/RE, all with diaphragmatic breathing exercise (DBE).</w:t>
            </w:r>
          </w:p>
        </w:tc>
        <w:tc>
          <w:tcPr>
            <w:tcW w:w="933" w:type="dxa"/>
            <w:vAlign w:val="center"/>
          </w:tcPr>
          <w:p w14:paraId="6850215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 sessions/week for 12 weeks. AE: treadmill running, progressively 55–70% HRmax and Borg 11–14. RE: 8 resistance exercises at 55–65% 1RM. AE/RE: combined treadmill + resistance training. All groups performed DBE.</w:t>
            </w:r>
          </w:p>
        </w:tc>
        <w:tc>
          <w:tcPr>
            <w:tcW w:w="986" w:type="dxa"/>
            <w:vAlign w:val="center"/>
          </w:tcPr>
          <w:p w14:paraId="651CB9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Supervised by an experienced physiotherapist. Adherence: 84.2% AE, 81.5% RE, 83.8% AE/RE, 86.2% control; no significant difference between groups (p=0.21).</w:t>
            </w:r>
          </w:p>
        </w:tc>
        <w:tc>
          <w:tcPr>
            <w:tcW w:w="1007" w:type="dxa"/>
            <w:vAlign w:val="center"/>
          </w:tcPr>
          <w:p w14:paraId="19F7511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Control: diaphragmatic breathing exercise (DBE) only.</w:t>
            </w:r>
          </w:p>
        </w:tc>
        <w:tc>
          <w:tcPr>
            <w:tcW w:w="678" w:type="dxa"/>
            <w:vAlign w:val="center"/>
          </w:tcPr>
          <w:p w14:paraId="3FEE2C2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2F21B8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 FVC showed significant group × time interaction (p=0.001). AE improved FVC more than RE (MD 5.3%, p=0.003) and control (MD 5.1%, p=0.001); AE/RE also outperformed RE and control.</w:t>
            </w:r>
          </w:p>
        </w:tc>
        <w:tc>
          <w:tcPr>
            <w:tcW w:w="714" w:type="dxa"/>
            <w:vAlign w:val="center"/>
          </w:tcPr>
          <w:p w14:paraId="3BA568E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 Baseline SpO₂ was reported (AE 96.05%, RE 96.40%, AE/RE 95.55%, control 95.95%), but it was not reported as a primary post-intervention outcome.</w:t>
            </w:r>
          </w:p>
        </w:tc>
        <w:tc>
          <w:tcPr>
            <w:tcW w:w="832" w:type="dxa"/>
            <w:vAlign w:val="center"/>
          </w:tcPr>
          <w:p w14:paraId="53B64BF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138D521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2F92426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SF-12 PCS and MCS; MRC dyspnea scale. AE and AE/RE significantly improved dyspnea and both physical and mental QoL components compared with RE and control.</w:t>
            </w:r>
          </w:p>
        </w:tc>
        <w:tc>
          <w:tcPr>
            <w:tcW w:w="1214" w:type="dxa"/>
            <w:vAlign w:val="center"/>
          </w:tcPr>
          <w:p w14:paraId="19091B7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effects reported.</w:t>
            </w:r>
          </w:p>
        </w:tc>
        <w:tc>
          <w:tcPr>
            <w:tcW w:w="1451" w:type="dxa"/>
            <w:vAlign w:val="center"/>
          </w:tcPr>
          <w:p w14:paraId="0D6E8B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AE and AE/RE produced superior improvements in FVC, DLCO, fibrosis grade, dyspnea and QoL compared with RE/control. AE produced the greatest improvement in exercise capacity (estimated VO₂max).</w:t>
            </w:r>
          </w:p>
        </w:tc>
      </w:tr>
      <w:tr w:rsidR="0068602E" w:rsidRPr="00EF545D" w14:paraId="1FC25C44" w14:textId="77777777" w:rsidTr="00D17C32">
        <w:tc>
          <w:tcPr>
            <w:tcW w:w="404" w:type="dxa"/>
            <w:vAlign w:val="center"/>
          </w:tcPr>
          <w:p w14:paraId="026D3B5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16</w:t>
            </w:r>
          </w:p>
        </w:tc>
        <w:tc>
          <w:tcPr>
            <w:tcW w:w="946" w:type="dxa"/>
            <w:vAlign w:val="center"/>
          </w:tcPr>
          <w:p w14:paraId="338B60C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Rutkowski et al. (2023), Poland</w:t>
            </w:r>
          </w:p>
          <w:p w14:paraId="050CDE7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[34]</w:t>
            </w:r>
          </w:p>
        </w:tc>
        <w:tc>
          <w:tcPr>
            <w:tcW w:w="772" w:type="dxa"/>
            <w:vAlign w:val="center"/>
          </w:tcPr>
          <w:p w14:paraId="59BFEE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Randomized controlled trial, inpatient </w:t>
            </w:r>
            <w:r w:rsidRPr="00EF545D">
              <w:rPr>
                <w:rFonts w:ascii="Times New Roman" w:hAnsi="Times New Roman" w:cs="Times New Roman"/>
                <w:sz w:val="16"/>
                <w:szCs w:val="16"/>
              </w:rPr>
              <w:lastRenderedPageBreak/>
              <w:t>pulmonary rehabilitation at the Specialist Hospital in Głuchołazy, Poland.</w:t>
            </w:r>
          </w:p>
        </w:tc>
        <w:tc>
          <w:tcPr>
            <w:tcW w:w="873" w:type="dxa"/>
            <w:vAlign w:val="center"/>
          </w:tcPr>
          <w:p w14:paraId="333CBBB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n = 32; VR n=18, control n=14. 20 females and 12 </w:t>
            </w:r>
            <w:r w:rsidRPr="00EF545D">
              <w:rPr>
                <w:rFonts w:ascii="Times New Roman" w:hAnsi="Times New Roman" w:cs="Times New Roman"/>
                <w:sz w:val="16"/>
                <w:szCs w:val="16"/>
              </w:rPr>
              <w:lastRenderedPageBreak/>
              <w:t>males; mean age 57.8 ± 4.92 years.</w:t>
            </w:r>
          </w:p>
        </w:tc>
        <w:tc>
          <w:tcPr>
            <w:tcW w:w="846" w:type="dxa"/>
            <w:vAlign w:val="center"/>
          </w:tcPr>
          <w:p w14:paraId="3BF9D38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Adults with post-acute sequelae of </w:t>
            </w:r>
            <w:r w:rsidRPr="00EF545D">
              <w:rPr>
                <w:rFonts w:ascii="Times New Roman" w:hAnsi="Times New Roman" w:cs="Times New Roman"/>
                <w:sz w:val="16"/>
                <w:szCs w:val="16"/>
              </w:rPr>
              <w:lastRenderedPageBreak/>
              <w:t>COVID-19 (PASC), aged 40–80 years, with confirmed previous COVID-19 infection. Participants underwent inpatient pulmonary rehabilitation.</w:t>
            </w:r>
          </w:p>
        </w:tc>
        <w:tc>
          <w:tcPr>
            <w:tcW w:w="973" w:type="dxa"/>
            <w:vAlign w:val="center"/>
          </w:tcPr>
          <w:p w14:paraId="7A35253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Comprehensive pulmonary rehabilitation incorporati</w:t>
            </w:r>
            <w:r w:rsidRPr="00EF545D">
              <w:rPr>
                <w:rFonts w:ascii="Times New Roman" w:hAnsi="Times New Roman" w:cs="Times New Roman"/>
                <w:sz w:val="16"/>
                <w:szCs w:val="16"/>
              </w:rPr>
              <w:lastRenderedPageBreak/>
              <w:t>ng virtual reality (VR).</w:t>
            </w:r>
          </w:p>
        </w:tc>
        <w:tc>
          <w:tcPr>
            <w:tcW w:w="933" w:type="dxa"/>
            <w:vAlign w:val="center"/>
          </w:tcPr>
          <w:p w14:paraId="63E228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3-week, high-intensity pulmonary rehabilitation, 5 </w:t>
            </w:r>
            <w:r w:rsidRPr="00EF545D">
              <w:rPr>
                <w:rFonts w:ascii="Times New Roman" w:hAnsi="Times New Roman" w:cs="Times New Roman"/>
                <w:sz w:val="16"/>
                <w:szCs w:val="16"/>
              </w:rPr>
              <w:lastRenderedPageBreak/>
              <w:t>days/week. Both groups received cycle ergometer training, breathing exercises, general fitness exercises, resistance training and relaxation. VR participants used VR goggles with “Virtual Park” during cycling and virtual relaxation.</w:t>
            </w:r>
          </w:p>
        </w:tc>
        <w:tc>
          <w:tcPr>
            <w:tcW w:w="986" w:type="dxa"/>
            <w:vAlign w:val="center"/>
          </w:tcPr>
          <w:p w14:paraId="76497D9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Inpatient, multidisciplinary rehabilitation. Cycle ergometer </w:t>
            </w:r>
            <w:r w:rsidRPr="00EF545D">
              <w:rPr>
                <w:rFonts w:ascii="Times New Roman" w:hAnsi="Times New Roman" w:cs="Times New Roman"/>
                <w:sz w:val="16"/>
                <w:szCs w:val="16"/>
              </w:rPr>
              <w:lastRenderedPageBreak/>
              <w:t>training was performed twice daily, with other rehabilitation components once daily. Both groups received the same duration and therapeutic elements, with VR providing additional audiovisual/immersive stimuli.</w:t>
            </w:r>
          </w:p>
        </w:tc>
        <w:tc>
          <w:tcPr>
            <w:tcW w:w="1007" w:type="dxa"/>
            <w:vAlign w:val="center"/>
          </w:tcPr>
          <w:p w14:paraId="7C63F41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Traditional pulmonary rehabilitation using the same therapeutic </w:t>
            </w:r>
            <w:r w:rsidRPr="00EF545D">
              <w:rPr>
                <w:rFonts w:ascii="Times New Roman" w:hAnsi="Times New Roman" w:cs="Times New Roman"/>
                <w:sz w:val="16"/>
                <w:szCs w:val="16"/>
              </w:rPr>
              <w:lastRenderedPageBreak/>
              <w:t>elements but without VR/audiovisual stimulation.</w:t>
            </w:r>
          </w:p>
        </w:tc>
        <w:tc>
          <w:tcPr>
            <w:tcW w:w="678" w:type="dxa"/>
            <w:vAlign w:val="center"/>
          </w:tcPr>
          <w:p w14:paraId="2198792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VR: 2.80 ± 0.66 → 2.77 ± 0.68 L, </w:t>
            </w:r>
            <w:r w:rsidRPr="00EF545D">
              <w:rPr>
                <w:rFonts w:ascii="Times New Roman" w:hAnsi="Times New Roman" w:cs="Times New Roman"/>
                <w:sz w:val="16"/>
                <w:szCs w:val="16"/>
              </w:rPr>
              <w:lastRenderedPageBreak/>
              <w:t>p=0.708. Control: 2.72 ± 0.60 → 2.76 ± 0.61 L, p=0.879. Between-group p=0.267.</w:t>
            </w:r>
          </w:p>
        </w:tc>
        <w:tc>
          <w:tcPr>
            <w:tcW w:w="678" w:type="dxa"/>
            <w:vAlign w:val="center"/>
          </w:tcPr>
          <w:p w14:paraId="716D138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VR: 3.46 ± 0.78 → 3.56 ± 0.80 L, </w:t>
            </w:r>
            <w:r w:rsidRPr="00EF545D">
              <w:rPr>
                <w:rFonts w:ascii="Times New Roman" w:hAnsi="Times New Roman" w:cs="Times New Roman"/>
                <w:sz w:val="16"/>
                <w:szCs w:val="16"/>
              </w:rPr>
              <w:lastRenderedPageBreak/>
              <w:t>p=0.087. Control: 3.49 ± 0.86 → 3.50 ± 0.85 L, p=0.168. Between-group p=0.673.</w:t>
            </w:r>
          </w:p>
        </w:tc>
        <w:tc>
          <w:tcPr>
            <w:tcW w:w="714" w:type="dxa"/>
            <w:vAlign w:val="center"/>
          </w:tcPr>
          <w:p w14:paraId="00920E2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Measured during rehabilitation, with </w:t>
            </w:r>
            <w:r w:rsidRPr="00EF545D">
              <w:rPr>
                <w:rFonts w:ascii="Times New Roman" w:hAnsi="Times New Roman" w:cs="Times New Roman"/>
                <w:sz w:val="16"/>
                <w:szCs w:val="16"/>
              </w:rPr>
              <w:lastRenderedPageBreak/>
              <w:t>therapists monitoring pulse oximeter saturation, but no pre/post SpO₂ outcome data were reported in the main results table.</w:t>
            </w:r>
          </w:p>
        </w:tc>
        <w:tc>
          <w:tcPr>
            <w:tcW w:w="832" w:type="dxa"/>
            <w:vAlign w:val="center"/>
          </w:tcPr>
          <w:p w14:paraId="7E35194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NR</w:t>
            </w:r>
          </w:p>
        </w:tc>
        <w:tc>
          <w:tcPr>
            <w:tcW w:w="608" w:type="dxa"/>
            <w:vAlign w:val="center"/>
          </w:tcPr>
          <w:p w14:paraId="561773F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VR: 502 ± 48.4 → 558 ± 76 m, </w:t>
            </w:r>
            <w:r w:rsidRPr="00EF545D">
              <w:rPr>
                <w:rFonts w:ascii="Times New Roman" w:hAnsi="Times New Roman" w:cs="Times New Roman"/>
                <w:sz w:val="16"/>
                <w:szCs w:val="16"/>
              </w:rPr>
              <w:lastRenderedPageBreak/>
              <w:t>p&lt;0.001. Control: 512 ± 54.3 → 552 ± 49.1 m, p&lt;0.001. Between-group p=0.264; effect size d=−0.411.</w:t>
            </w:r>
          </w:p>
        </w:tc>
        <w:tc>
          <w:tcPr>
            <w:tcW w:w="1006" w:type="dxa"/>
            <w:vAlign w:val="center"/>
          </w:tcPr>
          <w:p w14:paraId="5CC982F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6MWT dyspnoea and fatigue; PSS-10 stress scale. Dyspnoea </w:t>
            </w:r>
            <w:r w:rsidRPr="00EF545D">
              <w:rPr>
                <w:rFonts w:ascii="Times New Roman" w:hAnsi="Times New Roman" w:cs="Times New Roman"/>
                <w:sz w:val="16"/>
                <w:szCs w:val="16"/>
              </w:rPr>
              <w:lastRenderedPageBreak/>
              <w:t>improved significantly in both groups; PSS-10 decreased significantly in both groups.</w:t>
            </w:r>
          </w:p>
        </w:tc>
        <w:tc>
          <w:tcPr>
            <w:tcW w:w="1214" w:type="dxa"/>
            <w:vAlign w:val="center"/>
          </w:tcPr>
          <w:p w14:paraId="39B1C6D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No specific adverse events were reported. </w:t>
            </w:r>
          </w:p>
        </w:tc>
        <w:tc>
          <w:tcPr>
            <w:tcW w:w="1451" w:type="dxa"/>
            <w:vAlign w:val="center"/>
          </w:tcPr>
          <w:p w14:paraId="742738F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Both VR and traditional pulmonary rehabilitation significantly improved 6MWT </w:t>
            </w:r>
            <w:r w:rsidRPr="00EF545D">
              <w:rPr>
                <w:rFonts w:ascii="Times New Roman" w:hAnsi="Times New Roman" w:cs="Times New Roman"/>
                <w:sz w:val="16"/>
                <w:szCs w:val="16"/>
              </w:rPr>
              <w:lastRenderedPageBreak/>
              <w:t>distance and stress. VR was not significantly superior to traditional rehabilitation. Lung function did not significantly improve.</w:t>
            </w:r>
          </w:p>
        </w:tc>
      </w:tr>
      <w:tr w:rsidR="0068602E" w:rsidRPr="00EF545D" w14:paraId="5D11E8EC" w14:textId="77777777" w:rsidTr="00D17C32">
        <w:tc>
          <w:tcPr>
            <w:tcW w:w="404" w:type="dxa"/>
            <w:vAlign w:val="center"/>
          </w:tcPr>
          <w:p w14:paraId="7E5A571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17</w:t>
            </w:r>
          </w:p>
        </w:tc>
        <w:tc>
          <w:tcPr>
            <w:tcW w:w="946" w:type="dxa"/>
            <w:vAlign w:val="center"/>
          </w:tcPr>
          <w:p w14:paraId="6ACB3A7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Kusumawardani et al. (2023), Indonesia</w:t>
            </w:r>
          </w:p>
          <w:p w14:paraId="118F851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[35]</w:t>
            </w:r>
          </w:p>
        </w:tc>
        <w:tc>
          <w:tcPr>
            <w:tcW w:w="772" w:type="dxa"/>
            <w:vAlign w:val="center"/>
          </w:tcPr>
          <w:p w14:paraId="49F14EF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Experimental randomized pretest–posttest control group design / hybrid telerehabilitation, home-based</w:t>
            </w:r>
          </w:p>
        </w:tc>
        <w:tc>
          <w:tcPr>
            <w:tcW w:w="873" w:type="dxa"/>
            <w:vAlign w:val="center"/>
          </w:tcPr>
          <w:p w14:paraId="496F5FD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20 participants: experimental 10, control 10; no dropouts</w:t>
            </w:r>
          </w:p>
        </w:tc>
        <w:tc>
          <w:tcPr>
            <w:tcW w:w="846" w:type="dxa"/>
            <w:vAlign w:val="center"/>
          </w:tcPr>
          <w:p w14:paraId="50BD0D4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COVID-19 survivors aged 18–59 years, post-hospitalization, PCR-negative, MMSE 24–30 and haemodynamically stable; participants with previous inspiratory muscle training, other lung diseases, severe heart disease, neurological impairment, visual/hearing impairment or relevant nose/mouth conditions were excluded</w:t>
            </w:r>
          </w:p>
        </w:tc>
        <w:tc>
          <w:tcPr>
            <w:tcW w:w="973" w:type="dxa"/>
            <w:vAlign w:val="center"/>
          </w:tcPr>
          <w:p w14:paraId="7FB349E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Incentive spirometry exercise</w:t>
            </w:r>
          </w:p>
        </w:tc>
        <w:tc>
          <w:tcPr>
            <w:tcW w:w="933" w:type="dxa"/>
            <w:vAlign w:val="center"/>
          </w:tcPr>
          <w:p w14:paraId="1C26754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 weeks; 5 times/day; 10 repetitions/session; 1–2 h rest between sessions. Flow-based incentive spirometry (TriFlo RESPIOMETER®); slow, deep maximal inspiration followed by 3–5-s breath hold and slow expiration</w:t>
            </w:r>
          </w:p>
        </w:tc>
        <w:tc>
          <w:tcPr>
            <w:tcW w:w="986" w:type="dxa"/>
            <w:vAlign w:val="center"/>
          </w:tcPr>
          <w:p w14:paraId="0A6E5A0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Home-based hybrid telerehabilitation; family member monitored daily; researcher supervised by video conference twice weekly; exercise diary and weekly evaluation used for compliance monitoring</w:t>
            </w:r>
          </w:p>
        </w:tc>
        <w:tc>
          <w:tcPr>
            <w:tcW w:w="1007" w:type="dxa"/>
            <w:vAlign w:val="center"/>
          </w:tcPr>
          <w:p w14:paraId="468140B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Diaphragmatic breathing exercise, 5 times/day, 10 repetitions/session for 4 weeks</w:t>
            </w:r>
          </w:p>
        </w:tc>
        <w:tc>
          <w:tcPr>
            <w:tcW w:w="678" w:type="dxa"/>
            <w:vAlign w:val="center"/>
          </w:tcPr>
          <w:p w14:paraId="679DB6A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2875FC2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5156BD2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SpO₂ monitored during home exercise using pulse oximeter; pre/post outcome NR</w:t>
            </w:r>
          </w:p>
        </w:tc>
        <w:tc>
          <w:tcPr>
            <w:tcW w:w="832" w:type="dxa"/>
            <w:vAlign w:val="center"/>
          </w:tcPr>
          <w:p w14:paraId="07A282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0082428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203E24E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Borg RPE and exercise-related complaints monitored; no formal QoL/fatigue outcome reported</w:t>
            </w:r>
          </w:p>
        </w:tc>
        <w:tc>
          <w:tcPr>
            <w:tcW w:w="1214" w:type="dxa"/>
            <w:vAlign w:val="center"/>
          </w:tcPr>
          <w:p w14:paraId="0B19B9A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side effects or unwanted events reported; no hospital/readmission outcome reported</w:t>
            </w:r>
          </w:p>
        </w:tc>
        <w:tc>
          <w:tcPr>
            <w:tcW w:w="1451" w:type="dxa"/>
            <w:vAlign w:val="center"/>
          </w:tcPr>
          <w:p w14:paraId="74F4594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PEF significantly increased in both groups. Incentive spirometry: 394.00 ± 130.29 → 556.00 ± 152.25 L/min, p&lt;0.001. Control: 450.50 ± 120.47 → 562.50 ± 130.06 L/min, p=0.001. Between-group ΔPEF difference was not significant (p=0.198).</w:t>
            </w:r>
          </w:p>
        </w:tc>
      </w:tr>
      <w:tr w:rsidR="0068602E" w:rsidRPr="00EF545D" w14:paraId="318CC236" w14:textId="77777777" w:rsidTr="00D17C32">
        <w:tc>
          <w:tcPr>
            <w:tcW w:w="404" w:type="dxa"/>
            <w:vAlign w:val="center"/>
          </w:tcPr>
          <w:p w14:paraId="13218C2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18</w:t>
            </w:r>
          </w:p>
        </w:tc>
        <w:tc>
          <w:tcPr>
            <w:tcW w:w="946" w:type="dxa"/>
            <w:vAlign w:val="center"/>
          </w:tcPr>
          <w:p w14:paraId="090AE65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Yasacı et al. (2025), Turkey</w:t>
            </w:r>
          </w:p>
          <w:p w14:paraId="0233BBE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[36]</w:t>
            </w:r>
          </w:p>
        </w:tc>
        <w:tc>
          <w:tcPr>
            <w:tcW w:w="772" w:type="dxa"/>
            <w:vAlign w:val="center"/>
          </w:tcPr>
          <w:p w14:paraId="15BD338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Single-blind, randomized controlled prospective trial / outpatient and home-based telerehabilitation</w:t>
            </w:r>
          </w:p>
        </w:tc>
        <w:tc>
          <w:tcPr>
            <w:tcW w:w="873" w:type="dxa"/>
            <w:vAlign w:val="center"/>
          </w:tcPr>
          <w:p w14:paraId="166EF0B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72 screened; 64 randomized: TG 32, CG 32; 60 analyzed: TG 32, CG 28</w:t>
            </w:r>
          </w:p>
        </w:tc>
        <w:tc>
          <w:tcPr>
            <w:tcW w:w="846" w:type="dxa"/>
            <w:vAlign w:val="center"/>
          </w:tcPr>
          <w:p w14:paraId="391503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≥18 years with post-COVID-19 syndrome; mMRC 2–3; able to follow simple instructions and access technological facilities; SpO₂ &lt;92% at rest, unstable BP, asthma/COPD and other diseases affecting lung function excluded</w:t>
            </w:r>
          </w:p>
        </w:tc>
        <w:tc>
          <w:tcPr>
            <w:tcW w:w="973" w:type="dxa"/>
            <w:vAlign w:val="center"/>
          </w:tcPr>
          <w:p w14:paraId="762F7F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Supervised telerehabilitation exercise programme</w:t>
            </w:r>
          </w:p>
        </w:tc>
        <w:tc>
          <w:tcPr>
            <w:tcW w:w="933" w:type="dxa"/>
            <w:vAlign w:val="center"/>
          </w:tcPr>
          <w:p w14:paraId="174878F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 weeks; 2 sessions/week; 45 min/session; 12 sessions. Diaphragmatic breathing, pursed-lip breathing, relaxation, ROM exercises, terminal knee extension/mini-squats and aerobic domestic walking. Intensity targeted RPE 11–13/20 and adjusted according to tolerance</w:t>
            </w:r>
          </w:p>
        </w:tc>
        <w:tc>
          <w:tcPr>
            <w:tcW w:w="986" w:type="dxa"/>
            <w:vAlign w:val="center"/>
          </w:tcPr>
          <w:p w14:paraId="525604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Delivered by physiotherapist through WhatsApp/Zoom; 1-h online orientation before programme; physiotherapist supervised and demonstrated exercises during sessions. &gt;90% adherence reported; minor technical difficulties managed</w:t>
            </w:r>
          </w:p>
        </w:tc>
        <w:tc>
          <w:tcPr>
            <w:tcW w:w="1007" w:type="dxa"/>
            <w:vAlign w:val="center"/>
          </w:tcPr>
          <w:p w14:paraId="48ED3D7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Unsupervised home exercise programme using the same exercises; 45 min/session, twice weekly for 6 weeks; exercise diary and RPE 11–13 instructions</w:t>
            </w:r>
          </w:p>
        </w:tc>
        <w:tc>
          <w:tcPr>
            <w:tcW w:w="678" w:type="dxa"/>
            <w:vAlign w:val="center"/>
          </w:tcPr>
          <w:p w14:paraId="505C36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7C9D198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31E8D77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4C9EA31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7CE4297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581767D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mMRC: TG 2.28 → 1.13; CG 2.14 → 1.79; between-group difference 0.8 [95% CI 0.5–1.1], p=0.001. NPRS: TG 3.03 → 1.59; CG 3.07 → 2.46; between-group difference 0.8 [0.3–1.4], p=0.006. 5-TST: TG 17.6 → 13.7 s; CG 15.9 → 14.5 s; between-group difference 2.3 [0.9–3.8], p=0.001. PSQI p=0.018; HADS-</w:t>
            </w:r>
            <w:r w:rsidRPr="00EF545D">
              <w:rPr>
                <w:rFonts w:ascii="Times New Roman" w:hAnsi="Times New Roman" w:cs="Times New Roman"/>
                <w:sz w:val="16"/>
                <w:szCs w:val="16"/>
              </w:rPr>
              <w:lastRenderedPageBreak/>
              <w:t>anxiety p=0.001; HADS-total p=0.026</w:t>
            </w:r>
          </w:p>
        </w:tc>
        <w:tc>
          <w:tcPr>
            <w:tcW w:w="1214" w:type="dxa"/>
            <w:vAlign w:val="center"/>
          </w:tcPr>
          <w:p w14:paraId="14F8549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No significant adverse events. Two TG participants reported muscle pain after exercise and one reported kneecap pain after squatting; exercise was modified. No adverse events in CG. No hospital/readmission outcome reported</w:t>
            </w:r>
          </w:p>
        </w:tc>
        <w:tc>
          <w:tcPr>
            <w:tcW w:w="1451" w:type="dxa"/>
            <w:vAlign w:val="center"/>
          </w:tcPr>
          <w:p w14:paraId="15D1ED6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Supervised telerehabilitation produced significantly greater improvements than unsupervised home exercise in dyspnoea, pain and functional performance, with significant between-group improvements in sleep quality and anxiety.</w:t>
            </w:r>
          </w:p>
        </w:tc>
      </w:tr>
      <w:tr w:rsidR="0068602E" w:rsidRPr="00EF545D" w14:paraId="70D72451" w14:textId="77777777" w:rsidTr="00D17C32">
        <w:tc>
          <w:tcPr>
            <w:tcW w:w="404" w:type="dxa"/>
            <w:vAlign w:val="center"/>
          </w:tcPr>
          <w:p w14:paraId="000363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19</w:t>
            </w:r>
          </w:p>
        </w:tc>
        <w:tc>
          <w:tcPr>
            <w:tcW w:w="946" w:type="dxa"/>
            <w:vAlign w:val="center"/>
          </w:tcPr>
          <w:p w14:paraId="1D1BE63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Li et al. (2022), China</w:t>
            </w:r>
          </w:p>
          <w:p w14:paraId="525C85C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[37]</w:t>
            </w:r>
          </w:p>
        </w:tc>
        <w:tc>
          <w:tcPr>
            <w:tcW w:w="772" w:type="dxa"/>
            <w:vAlign w:val="center"/>
          </w:tcPr>
          <w:p w14:paraId="428526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Multicentre, parallel-group randomised controlled trial conducted at three hospitals in Jiangsu and Hubei provinces</w:t>
            </w:r>
          </w:p>
        </w:tc>
        <w:tc>
          <w:tcPr>
            <w:tcW w:w="873" w:type="dxa"/>
            <w:vAlign w:val="center"/>
          </w:tcPr>
          <w:p w14:paraId="09187C0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120 randomized: TERECO n=59, Control n=61. ITT analysis: 119 participants</w:t>
            </w:r>
          </w:p>
        </w:tc>
        <w:tc>
          <w:tcPr>
            <w:tcW w:w="846" w:type="dxa"/>
            <w:vAlign w:val="center"/>
          </w:tcPr>
          <w:p w14:paraId="0B5BD7A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18–75 years, previously hospitalised for COVID-19, discharged from hospital and with persistent moderate dyspnoea (mMRC 2–3). Patients with severe dyspnoea (mMRC 4–5), unstable/uncontrolled conditions and inability to walk independently were excluded</w:t>
            </w:r>
          </w:p>
        </w:tc>
        <w:tc>
          <w:tcPr>
            <w:tcW w:w="973" w:type="dxa"/>
            <w:vAlign w:val="center"/>
          </w:tcPr>
          <w:p w14:paraId="5D6D5F8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TERECO telerehabilitation programme</w:t>
            </w:r>
          </w:p>
        </w:tc>
        <w:tc>
          <w:tcPr>
            <w:tcW w:w="933" w:type="dxa"/>
            <w:vAlign w:val="center"/>
          </w:tcPr>
          <w:p w14:paraId="47F6EF4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6-week unsupervised home exercise programme consisting of breathing control/thoracic expansion, aerobic exercise and lower-limb muscle-strengthening exercises. Three-tier programme with progressively increasing difficulty/intensity. Aerobic intensity based on HR reserve using Karvonen formula: 30–40% HRR (Tier 1) to 40–60% HRR (Tier 3)</w:t>
            </w:r>
          </w:p>
        </w:tc>
        <w:tc>
          <w:tcPr>
            <w:tcW w:w="986" w:type="dxa"/>
            <w:vAlign w:val="center"/>
          </w:tcPr>
          <w:p w14:paraId="674533F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Delivered through RehabApp smartphone application, monitored using chest-worn HR telemetry. Weekly teleconsultation with therapists. 3–4 sessions/week. Compliance defined as achieving ≥66.7% of scheduled effective target time for ≥5 of 6 weeks. 36/59 (61.02%) randomized participants complied, increasing to 69.2% among those remaining in the programme for the full 6 weeks</w:t>
            </w:r>
          </w:p>
        </w:tc>
        <w:tc>
          <w:tcPr>
            <w:tcW w:w="1007" w:type="dxa"/>
            <w:vAlign w:val="center"/>
          </w:tcPr>
          <w:p w14:paraId="64E7F3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rehabilitation; participants received short educational instructions at baseline</w:t>
            </w:r>
          </w:p>
        </w:tc>
        <w:tc>
          <w:tcPr>
            <w:tcW w:w="678" w:type="dxa"/>
            <w:vAlign w:val="center"/>
          </w:tcPr>
          <w:p w14:paraId="31820F7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Post-treatment: Control +0.18±0.53 L; TERECO +0.28±0.51 L; between-group difference 0.08 L (95% CI −0.08 to 0.25), p=0.327. Follow-up: difference 0.00 L (−0.18 to 0.17), p=0.969</w:t>
            </w:r>
          </w:p>
        </w:tc>
        <w:tc>
          <w:tcPr>
            <w:tcW w:w="678" w:type="dxa"/>
            <w:vAlign w:val="center"/>
          </w:tcPr>
          <w:p w14:paraId="65972C7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Post-treatment: Control +0.19±0.40 L; TERECO +0.21±0.47 L; between-group difference 0.02 L (−0.14 to 0.18), p=0.818. Follow-up: difference 0.01 L (−0.16 to 0.17), p=0.950</w:t>
            </w:r>
          </w:p>
        </w:tc>
        <w:tc>
          <w:tcPr>
            <w:tcW w:w="714" w:type="dxa"/>
            <w:vAlign w:val="center"/>
          </w:tcPr>
          <w:p w14:paraId="739146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Continuously monitored during 6MWT, but no between-group SpO₂ outcome reported</w:t>
            </w:r>
          </w:p>
        </w:tc>
        <w:tc>
          <w:tcPr>
            <w:tcW w:w="832" w:type="dxa"/>
            <w:vAlign w:val="center"/>
          </w:tcPr>
          <w:p w14:paraId="273CB16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MVV used as a respiratory-function/respiratory muscle endurance indicator. Post-treatment between-group difference 10.57 L/min (95% CI 3.26–17.88), p=0.005; follow-up 5.20 L/min (−2.33–12.73), p=0.176</w:t>
            </w:r>
          </w:p>
        </w:tc>
        <w:tc>
          <w:tcPr>
            <w:tcW w:w="608" w:type="dxa"/>
            <w:vAlign w:val="center"/>
          </w:tcPr>
          <w:p w14:paraId="5E6EFD5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Primary outcome. Post-treatment: Control +17.09±63.94 m; TERECO +80.20±74.66 m; adjusted between-group difference 65.45 m (95% CI 43.80–87.10), p&lt;0.001. Follow-up: difference 68.62 m (46.39–90.85), p&lt;0.001</w:t>
            </w:r>
          </w:p>
        </w:tc>
        <w:tc>
          <w:tcPr>
            <w:tcW w:w="1006" w:type="dxa"/>
            <w:vAlign w:val="center"/>
          </w:tcPr>
          <w:p w14:paraId="62FA81B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SF-12 PCS: between-group difference 3.79 points (1.24–6.35), p=0.004 post-treatment and 2.69 (0.06–5.32), p=0.045 at follow-up. SF-12 MCS: NS at both time points. mMRC dyspnoea: 90.4% TERECO vs 61.7% control dyspnoea-free post-treatment; RR 1.46 (1.17–1.82), p=0.001; not significant at follow-up</w:t>
            </w:r>
          </w:p>
        </w:tc>
        <w:tc>
          <w:tcPr>
            <w:tcW w:w="1214" w:type="dxa"/>
            <w:vAlign w:val="center"/>
          </w:tcPr>
          <w:p w14:paraId="3F4E6A3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serious adverse events. Eight participants were hospitalised during follow-up (5 TERECO, 3 control), all for non-life-threatening reasons unrelated to COVID-19 or the intervention. One TERECO participant withdrew because of premature beats; another discontinued because of chest pain</w:t>
            </w:r>
          </w:p>
        </w:tc>
        <w:tc>
          <w:tcPr>
            <w:tcW w:w="1451" w:type="dxa"/>
            <w:vAlign w:val="center"/>
          </w:tcPr>
          <w:p w14:paraId="3E4ED1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TERECO was superior to no rehabilitation for 6MWD, lower-limb muscle strength, physical HRQOL and short-term dyspnoea. It produced only a short-term improvement in MVV and no significant effects on FEV₁, FVC, FEV₁/FVC or PEF. Benefits in 6MWD and lower-limb strength were sustained at ~28 weeks.</w:t>
            </w:r>
          </w:p>
        </w:tc>
      </w:tr>
      <w:tr w:rsidR="0068602E" w:rsidRPr="00EF545D" w14:paraId="6D5DA634" w14:textId="77777777" w:rsidTr="00D17C32">
        <w:tc>
          <w:tcPr>
            <w:tcW w:w="404" w:type="dxa"/>
            <w:vAlign w:val="center"/>
          </w:tcPr>
          <w:p w14:paraId="0899275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20</w:t>
            </w:r>
          </w:p>
        </w:tc>
        <w:tc>
          <w:tcPr>
            <w:tcW w:w="946" w:type="dxa"/>
            <w:vAlign w:val="center"/>
          </w:tcPr>
          <w:p w14:paraId="7688295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Alsharidah et al. (2023), Saudi Arabia</w:t>
            </w:r>
          </w:p>
          <w:p w14:paraId="60A814C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[38]</w:t>
            </w:r>
          </w:p>
        </w:tc>
        <w:tc>
          <w:tcPr>
            <w:tcW w:w="772" w:type="dxa"/>
            <w:vAlign w:val="center"/>
          </w:tcPr>
          <w:p w14:paraId="2B30F1A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Parallel-group randomized controlled trial conducted at Qassim University cardiopulmonary laboratory</w:t>
            </w:r>
          </w:p>
        </w:tc>
        <w:tc>
          <w:tcPr>
            <w:tcW w:w="873" w:type="dxa"/>
            <w:vAlign w:val="center"/>
          </w:tcPr>
          <w:p w14:paraId="0FB4513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48 females: intervention n=24; control n=24</w:t>
            </w:r>
          </w:p>
        </w:tc>
        <w:tc>
          <w:tcPr>
            <w:tcW w:w="846" w:type="dxa"/>
            <w:vAlign w:val="center"/>
          </w:tcPr>
          <w:p w14:paraId="139C7C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Young females aged 18–30 years, non-smokers, BMI 18.5–24.9 kg/m², with mild-to-moderate post-COVID-19 symptoms. Participants had not been hospitalized. Mean time from confirmed COVID-19 to rehabilitation was 4.75±1.77 months vs 4.33±1.55 months</w:t>
            </w:r>
          </w:p>
        </w:tc>
        <w:tc>
          <w:tcPr>
            <w:tcW w:w="973" w:type="dxa"/>
            <w:vAlign w:val="center"/>
          </w:tcPr>
          <w:p w14:paraId="756F8BA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Pulmonary telerehabilitation programme</w:t>
            </w:r>
          </w:p>
        </w:tc>
        <w:tc>
          <w:tcPr>
            <w:tcW w:w="933" w:type="dxa"/>
            <w:vAlign w:val="center"/>
          </w:tcPr>
          <w:p w14:paraId="534E075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6-week home-based pulmonary exercise programme, 3 sessions/week, 60–80 min/session. Included breathing/chest-expansion exercises, aerobic exercise and resistance training</w:t>
            </w:r>
          </w:p>
        </w:tc>
        <w:tc>
          <w:tcPr>
            <w:tcW w:w="986" w:type="dxa"/>
            <w:vAlign w:val="center"/>
          </w:tcPr>
          <w:p w14:paraId="737CAE4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Live Zoom sessions supervised by specialized physiotherapists. Participants connected in groups of approximately 5. Exercise load individually adjusted weekly. Adherence = 94.21%, with 16.96±0.86 sessions completed</w:t>
            </w:r>
          </w:p>
        </w:tc>
        <w:tc>
          <w:tcPr>
            <w:tcW w:w="1007" w:type="dxa"/>
            <w:vAlign w:val="center"/>
          </w:tcPr>
          <w:p w14:paraId="1136EEE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Standardized educational instructions; continue normal activities, avoid prolonged bed rest, light activity, balanced diet, sleep 6–8 h and COVID-19 prevention advice</w:t>
            </w:r>
          </w:p>
        </w:tc>
        <w:tc>
          <w:tcPr>
            <w:tcW w:w="678" w:type="dxa"/>
            <w:vAlign w:val="center"/>
          </w:tcPr>
          <w:p w14:paraId="0377D9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Baseline: 2.22±0.33 L vs 2.26±0.26 L. Post: 2.39±0.31 L vs 2.28±0.25 L. Between-group post-treatment p=0.19; not significant</w:t>
            </w:r>
          </w:p>
        </w:tc>
        <w:tc>
          <w:tcPr>
            <w:tcW w:w="678" w:type="dxa"/>
            <w:vAlign w:val="center"/>
          </w:tcPr>
          <w:p w14:paraId="27DB20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Baseline: 2.71±0.41 L vs 2.72±0.36 L. Post: 2.92±0.43 L vs 2.74±0.37 L. Between-group post-treatment p=0.12; not significant</w:t>
            </w:r>
          </w:p>
        </w:tc>
        <w:tc>
          <w:tcPr>
            <w:tcW w:w="714" w:type="dxa"/>
            <w:vAlign w:val="center"/>
          </w:tcPr>
          <w:p w14:paraId="1C73F1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Monitored during every session using pulse oximetry for safety. Participants were instructed to stop if SpO₂ decreased by 4% or fell below 95%. Not reported as a comparative outcome</w:t>
            </w:r>
          </w:p>
        </w:tc>
        <w:tc>
          <w:tcPr>
            <w:tcW w:w="832" w:type="dxa"/>
            <w:vAlign w:val="center"/>
          </w:tcPr>
          <w:p w14:paraId="2715393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Not measured. Authors specifically identified lack of inspiratory muscle-strength data as a limitation</w:t>
            </w:r>
          </w:p>
        </w:tc>
        <w:tc>
          <w:tcPr>
            <w:tcW w:w="608" w:type="dxa"/>
            <w:vAlign w:val="center"/>
          </w:tcPr>
          <w:p w14:paraId="7441A3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Baseline: 450.83±40.58 m vs 440.58±51.47 m. Post: 514.95±42.96 m vs 459.12±53.71 m. Post-treatment between-group MD 55.83 m, p=0.001. Change: +64.12 m intervention vs +18.54 m control. Percentage change: 14.22% vs 4.21%</w:t>
            </w:r>
          </w:p>
        </w:tc>
        <w:tc>
          <w:tcPr>
            <w:tcW w:w="1006" w:type="dxa"/>
            <w:vAlign w:val="center"/>
          </w:tcPr>
          <w:p w14:paraId="1532730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SF-36. Significant post-treatment between-group differences in all 8 domains: physical functioning, role physical, bodily pain, general health, vitality, social functioning, role emotional and mental health (all p=0.001)</w:t>
            </w:r>
          </w:p>
        </w:tc>
        <w:tc>
          <w:tcPr>
            <w:tcW w:w="1214" w:type="dxa"/>
            <w:vAlign w:val="center"/>
          </w:tcPr>
          <w:p w14:paraId="4B74B6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significant adverse events reported. HR, respiratory rate, SpO₂ and Borg scale were monitored during sessions, with predefined criteria for stopping exercise</w:t>
            </w:r>
          </w:p>
        </w:tc>
        <w:tc>
          <w:tcPr>
            <w:tcW w:w="1451" w:type="dxa"/>
            <w:vAlign w:val="center"/>
          </w:tcPr>
          <w:p w14:paraId="578390F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Telerehabilitation significantly improved exercise capacity and HRQOL, but did not produce significant between-group improvements in FEV₁ or FVC. The authors concluded that pulmonary telerehabilitation was superior to no rehabilitation for exercise capacity and HRQOL in young females after COVID-19</w:t>
            </w:r>
          </w:p>
        </w:tc>
      </w:tr>
      <w:tr w:rsidR="0068602E" w:rsidRPr="00EF545D" w14:paraId="57EDE7C5" w14:textId="77777777" w:rsidTr="00D17C32">
        <w:tc>
          <w:tcPr>
            <w:tcW w:w="404" w:type="dxa"/>
            <w:vAlign w:val="center"/>
          </w:tcPr>
          <w:p w14:paraId="3CBDFB7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21</w:t>
            </w:r>
          </w:p>
        </w:tc>
        <w:tc>
          <w:tcPr>
            <w:tcW w:w="946" w:type="dxa"/>
            <w:vAlign w:val="center"/>
          </w:tcPr>
          <w:p w14:paraId="5F66127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Indrani et al. (2022), India</w:t>
            </w:r>
          </w:p>
          <w:p w14:paraId="69DF95E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[39]</w:t>
            </w:r>
          </w:p>
        </w:tc>
        <w:tc>
          <w:tcPr>
            <w:tcW w:w="772" w:type="dxa"/>
            <w:vAlign w:val="center"/>
          </w:tcPr>
          <w:p w14:paraId="4186B8F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Double-blind randomized controlled trial / Saveetha </w:t>
            </w:r>
            <w:r w:rsidRPr="00EF545D">
              <w:rPr>
                <w:rFonts w:ascii="Times New Roman" w:hAnsi="Times New Roman" w:cs="Times New Roman"/>
                <w:sz w:val="16"/>
                <w:szCs w:val="16"/>
              </w:rPr>
              <w:lastRenderedPageBreak/>
              <w:t>Hospital, Chennai</w:t>
            </w:r>
          </w:p>
        </w:tc>
        <w:tc>
          <w:tcPr>
            <w:tcW w:w="873" w:type="dxa"/>
            <w:vAlign w:val="center"/>
          </w:tcPr>
          <w:p w14:paraId="6873248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30 participants: Group A n=15; Group B n=15</w:t>
            </w:r>
          </w:p>
        </w:tc>
        <w:tc>
          <w:tcPr>
            <w:tcW w:w="846" w:type="dxa"/>
            <w:vAlign w:val="center"/>
          </w:tcPr>
          <w:p w14:paraId="244D942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Post-COVID women following lower-segment Caesarean section </w:t>
            </w:r>
            <w:r w:rsidRPr="00EF545D">
              <w:rPr>
                <w:rFonts w:ascii="Times New Roman" w:hAnsi="Times New Roman" w:cs="Times New Roman"/>
                <w:sz w:val="16"/>
                <w:szCs w:val="16"/>
              </w:rPr>
              <w:lastRenderedPageBreak/>
              <w:t>(LSCS); aged 20–40 years, &gt;8 weeks postpartum. Women with postnatal complications, sedentary women and those who underwent normal vaginal delivery were excluded</w:t>
            </w:r>
          </w:p>
        </w:tc>
        <w:tc>
          <w:tcPr>
            <w:tcW w:w="973" w:type="dxa"/>
            <w:vAlign w:val="center"/>
          </w:tcPr>
          <w:p w14:paraId="4F3A7E9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Combined body-weight, abdominal strengthening and breathing exercise</w:t>
            </w:r>
          </w:p>
        </w:tc>
        <w:tc>
          <w:tcPr>
            <w:tcW w:w="933" w:type="dxa"/>
            <w:vAlign w:val="center"/>
          </w:tcPr>
          <w:p w14:paraId="1216D3C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12 weeks; 5 days/week. Group B: 5-min warm-up followed by straight </w:t>
            </w:r>
            <w:r w:rsidRPr="00EF545D">
              <w:rPr>
                <w:rFonts w:ascii="Times New Roman" w:hAnsi="Times New Roman" w:cs="Times New Roman"/>
                <w:sz w:val="16"/>
                <w:szCs w:val="16"/>
              </w:rPr>
              <w:lastRenderedPageBreak/>
              <w:t>plank, elbow plank, hip twist, crunch kicks and hollow body hold, combined with abdominal draw-in manoeuvre and breathing exercise; exercises performed for 30 seconds each, 3 sets; approximately 7.5 min for the exercise component</w:t>
            </w:r>
          </w:p>
        </w:tc>
        <w:tc>
          <w:tcPr>
            <w:tcW w:w="986" w:type="dxa"/>
            <w:vAlign w:val="center"/>
          </w:tcPr>
          <w:p w14:paraId="10C63A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Exercise programme continued for 5 days/week for 12 weeks. Investigator </w:t>
            </w:r>
            <w:r w:rsidRPr="00EF545D">
              <w:rPr>
                <w:rFonts w:ascii="Times New Roman" w:hAnsi="Times New Roman" w:cs="Times New Roman"/>
                <w:sz w:val="16"/>
                <w:szCs w:val="16"/>
              </w:rPr>
              <w:lastRenderedPageBreak/>
              <w:t>and subjects reported as blinded. Adherence rate NR</w:t>
            </w:r>
          </w:p>
        </w:tc>
        <w:tc>
          <w:tcPr>
            <w:tcW w:w="1007" w:type="dxa"/>
            <w:vAlign w:val="center"/>
          </w:tcPr>
          <w:p w14:paraId="1FBA559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Breathing exercises + abdominal draw-in manoeuvre + upper- and lower-limb </w:t>
            </w:r>
            <w:r w:rsidRPr="00EF545D">
              <w:rPr>
                <w:rFonts w:ascii="Times New Roman" w:hAnsi="Times New Roman" w:cs="Times New Roman"/>
                <w:sz w:val="16"/>
                <w:szCs w:val="16"/>
              </w:rPr>
              <w:lastRenderedPageBreak/>
              <w:t>strengthening exercises; 5-min warm-up; breathing exercises 10 repetitions × 3 sets, abdominal draw-in 35 repetitions × 3 sets, upper/lower limb strengthening 10 repetitions × 3 sets; approximately 43 min/session, 5 days/week for 12 weeks</w:t>
            </w:r>
          </w:p>
        </w:tc>
        <w:tc>
          <w:tcPr>
            <w:tcW w:w="678" w:type="dxa"/>
            <w:vAlign w:val="center"/>
          </w:tcPr>
          <w:p w14:paraId="4A7308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NR</w:t>
            </w:r>
          </w:p>
        </w:tc>
        <w:tc>
          <w:tcPr>
            <w:tcW w:w="678" w:type="dxa"/>
            <w:vAlign w:val="center"/>
          </w:tcPr>
          <w:p w14:paraId="3A10838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26918F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3947990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Not directly measured. Upper-limb strength assessed using </w:t>
            </w:r>
            <w:r w:rsidRPr="00EF545D">
              <w:rPr>
                <w:rFonts w:ascii="Times New Roman" w:hAnsi="Times New Roman" w:cs="Times New Roman"/>
                <w:sz w:val="16"/>
                <w:szCs w:val="16"/>
              </w:rPr>
              <w:lastRenderedPageBreak/>
              <w:t>dynamometer; lower-limb strength assessed using sit-up test</w:t>
            </w:r>
          </w:p>
        </w:tc>
        <w:tc>
          <w:tcPr>
            <w:tcW w:w="608" w:type="dxa"/>
            <w:vAlign w:val="center"/>
          </w:tcPr>
          <w:p w14:paraId="0AC743D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NR</w:t>
            </w:r>
          </w:p>
        </w:tc>
        <w:tc>
          <w:tcPr>
            <w:tcW w:w="1006" w:type="dxa"/>
            <w:vAlign w:val="center"/>
          </w:tcPr>
          <w:p w14:paraId="198176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validated patient-reported outcome reported</w:t>
            </w:r>
          </w:p>
        </w:tc>
        <w:tc>
          <w:tcPr>
            <w:tcW w:w="1214" w:type="dxa"/>
            <w:vAlign w:val="center"/>
          </w:tcPr>
          <w:p w14:paraId="16A5405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events, hospital stay or readmission outcomes reported</w:t>
            </w:r>
          </w:p>
        </w:tc>
        <w:tc>
          <w:tcPr>
            <w:tcW w:w="1451" w:type="dxa"/>
            <w:vAlign w:val="center"/>
          </w:tcPr>
          <w:p w14:paraId="5CA242E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Both groups improved abdominal muscle thickness, upper-limb strength and lower-limb strength. Group B showed greater </w:t>
            </w:r>
            <w:r w:rsidRPr="00EF545D">
              <w:rPr>
                <w:rFonts w:ascii="Times New Roman" w:hAnsi="Times New Roman" w:cs="Times New Roman"/>
                <w:sz w:val="16"/>
                <w:szCs w:val="16"/>
              </w:rPr>
              <w:lastRenderedPageBreak/>
              <w:t>post-test improvement than Group A in ultrasonography-measured abdominal thickness, dynamometer-measured upper-limb strength and sit-up performance.</w:t>
            </w:r>
          </w:p>
        </w:tc>
      </w:tr>
      <w:tr w:rsidR="0068602E" w:rsidRPr="00EF545D" w14:paraId="34ABF3D4" w14:textId="77777777" w:rsidTr="00D17C32">
        <w:tc>
          <w:tcPr>
            <w:tcW w:w="404" w:type="dxa"/>
            <w:vAlign w:val="center"/>
          </w:tcPr>
          <w:p w14:paraId="5CE1457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22</w:t>
            </w:r>
          </w:p>
        </w:tc>
        <w:tc>
          <w:tcPr>
            <w:tcW w:w="946" w:type="dxa"/>
            <w:vAlign w:val="center"/>
          </w:tcPr>
          <w:p w14:paraId="493291F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Oliveira et al. (2023), Brazil</w:t>
            </w:r>
          </w:p>
          <w:p w14:paraId="341773B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[40]</w:t>
            </w:r>
          </w:p>
        </w:tc>
        <w:tc>
          <w:tcPr>
            <w:tcW w:w="772" w:type="dxa"/>
            <w:vAlign w:val="center"/>
          </w:tcPr>
          <w:p w14:paraId="02C042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trial / Kinesiotherapy and Manual Therapeutic Resources Laboratory (LACIRTEM), Federal University of Pernambuco</w:t>
            </w:r>
          </w:p>
        </w:tc>
        <w:tc>
          <w:tcPr>
            <w:tcW w:w="873" w:type="dxa"/>
            <w:vAlign w:val="center"/>
          </w:tcPr>
          <w:p w14:paraId="24BA5F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59 randomized: intervention 31, control 28; 25 analyzed: intervention 12, control 13</w:t>
            </w:r>
          </w:p>
        </w:tc>
        <w:tc>
          <w:tcPr>
            <w:tcW w:w="846" w:type="dxa"/>
            <w:vAlign w:val="center"/>
          </w:tcPr>
          <w:p w14:paraId="1CE4F7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aged 18–70 years with post-COVID-19 syndrome; sedentary or irregularly active; laboratory-confirmed COVID-19. Individuals with neurological/vascular disease, blindness, gait devices, uncontrolled hypertension/arrhythmia, active myocarditis, dyspnoea at rest, acute systemic disease/fever and other specified conditions excluded</w:t>
            </w:r>
          </w:p>
        </w:tc>
        <w:tc>
          <w:tcPr>
            <w:tcW w:w="973" w:type="dxa"/>
            <w:vAlign w:val="center"/>
          </w:tcPr>
          <w:p w14:paraId="16F6593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Multicomponent physiotherapy rehabilitation</w:t>
            </w:r>
          </w:p>
        </w:tc>
        <w:tc>
          <w:tcPr>
            <w:tcW w:w="933" w:type="dxa"/>
            <w:vAlign w:val="center"/>
          </w:tcPr>
          <w:p w14:paraId="03C9435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12 weeks; 2 sessions/week; 60 min/session; 24 sessions planned. Warm-up 10 min including joint mobility, stretching and breathing techniques; resistance 20 min walking; strength 15 min with 7 upper- and lower-limb exercises, 2 sets × 10 repetitions using elastic bands, free and ankle weights with progressive loading; balance 5 min; relaxation 10 min</w:t>
            </w:r>
          </w:p>
        </w:tc>
        <w:tc>
          <w:tcPr>
            <w:tcW w:w="986" w:type="dxa"/>
            <w:vAlign w:val="center"/>
          </w:tcPr>
          <w:p w14:paraId="5B280D9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Supervised laboratory-based programme. Of 31 intervention participants, 23 completed 6 sessions, 17 completed 12, 13 completed 18 and 12 completed all 24 sessions. No quantitative adherence percentage reported</w:t>
            </w:r>
          </w:p>
        </w:tc>
        <w:tc>
          <w:tcPr>
            <w:tcW w:w="1007" w:type="dxa"/>
            <w:vAlign w:val="center"/>
          </w:tcPr>
          <w:p w14:paraId="2A9EE05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training; educational orientation and activities of daily living during the same 12-week period</w:t>
            </w:r>
          </w:p>
        </w:tc>
        <w:tc>
          <w:tcPr>
            <w:tcW w:w="678" w:type="dxa"/>
            <w:vAlign w:val="center"/>
          </w:tcPr>
          <w:p w14:paraId="2C10DB5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1DBC91B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662F214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391B732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6D1EB1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IG: 464.5 ± 81.26 → 518.6 ± 82.68 m; change +54.10 m. CG: 441.2 ± 118.70 → 433.9 ± 111.70 m; change −7.30 m; reported p values: IG 0.55, CG 0.61</w:t>
            </w:r>
          </w:p>
        </w:tc>
        <w:tc>
          <w:tcPr>
            <w:tcW w:w="1006" w:type="dxa"/>
            <w:vAlign w:val="center"/>
          </w:tcPr>
          <w:p w14:paraId="4D82187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SF-36: IG 96.3 ± 10.14 → 102.6 ± 5.53; change +6.34. CG 96.4 ± 8.05 → 97.7 ± 7.74; change +1.30. Between-group reported p=0.81. Berg balance: IG 48.8 ± 4.00 → 51.9 ± 4.26; CG 47.8 ± 3.96 → 47.9 ± 4.96; between-group p=0.87</w:t>
            </w:r>
          </w:p>
        </w:tc>
        <w:tc>
          <w:tcPr>
            <w:tcW w:w="1214" w:type="dxa"/>
            <w:vAlign w:val="center"/>
          </w:tcPr>
          <w:p w14:paraId="12F2A7E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events, hospitalisation or readmission outcomes reported</w:t>
            </w:r>
          </w:p>
        </w:tc>
        <w:tc>
          <w:tcPr>
            <w:tcW w:w="1451" w:type="dxa"/>
            <w:vAlign w:val="center"/>
          </w:tcPr>
          <w:p w14:paraId="0220857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Multicomponent rehabilitation produced numerical improvements in 6MWT, Berg balance and SF-36 in the intervention group, but the changes were not statistically significant.</w:t>
            </w:r>
          </w:p>
        </w:tc>
      </w:tr>
      <w:tr w:rsidR="0068602E" w:rsidRPr="00EF545D" w14:paraId="4A886C08" w14:textId="77777777" w:rsidTr="00D17C32">
        <w:tc>
          <w:tcPr>
            <w:tcW w:w="404" w:type="dxa"/>
            <w:vAlign w:val="center"/>
          </w:tcPr>
          <w:p w14:paraId="43B5D33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23</w:t>
            </w:r>
          </w:p>
        </w:tc>
        <w:tc>
          <w:tcPr>
            <w:tcW w:w="946" w:type="dxa"/>
            <w:vAlign w:val="center"/>
          </w:tcPr>
          <w:p w14:paraId="31742B7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Sick et al. (2025), Austria</w:t>
            </w:r>
          </w:p>
          <w:p w14:paraId="50B32E5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[41]</w:t>
            </w:r>
          </w:p>
        </w:tc>
        <w:tc>
          <w:tcPr>
            <w:tcW w:w="772" w:type="dxa"/>
            <w:vAlign w:val="center"/>
          </w:tcPr>
          <w:p w14:paraId="0505CAD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3-arm, single-centre randomized controlled trial; Department of Sport and Human Movement Science, University of Vienna</w:t>
            </w:r>
          </w:p>
        </w:tc>
        <w:tc>
          <w:tcPr>
            <w:tcW w:w="873" w:type="dxa"/>
            <w:vAlign w:val="center"/>
          </w:tcPr>
          <w:p w14:paraId="4A42C6D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66 randomized: ED 24, CT 22, Control 20; 42 analyzed: 14 per group</w:t>
            </w:r>
          </w:p>
        </w:tc>
        <w:tc>
          <w:tcPr>
            <w:tcW w:w="846" w:type="dxa"/>
            <w:vAlign w:val="center"/>
          </w:tcPr>
          <w:p w14:paraId="7ED3C75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Adults 18–80 years with laboratory-confirmed SARS-CoV-2 infection ≥12 weeks before enrolment and ≥1 PCS symptom; non-hospitalized during acute COVID-19; excluded those with exercise intolerance/PEM, PCFS 3–4, </w:t>
            </w:r>
            <w:r w:rsidRPr="00EF545D">
              <w:rPr>
                <w:rFonts w:ascii="Times New Roman" w:hAnsi="Times New Roman" w:cs="Times New Roman"/>
                <w:sz w:val="16"/>
                <w:szCs w:val="16"/>
              </w:rPr>
              <w:lastRenderedPageBreak/>
              <w:t>contraindications to exercise and regular endurance/resistance training</w:t>
            </w:r>
          </w:p>
        </w:tc>
        <w:tc>
          <w:tcPr>
            <w:tcW w:w="973" w:type="dxa"/>
            <w:vAlign w:val="center"/>
          </w:tcPr>
          <w:p w14:paraId="1D92C07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Endurance training (ED) and concurrent training (CT)</w:t>
            </w:r>
          </w:p>
        </w:tc>
        <w:tc>
          <w:tcPr>
            <w:tcW w:w="933" w:type="dxa"/>
            <w:vAlign w:val="center"/>
          </w:tcPr>
          <w:p w14:paraId="21EDDB0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12-week supervised exercise rehabilitation. ED: cycling, elliptical or treadmill; first 2 weeks 30 min/session below VT1, then VT1 sessions plus VT2 intervals, progressively increasing volume, maximum 60 min/session. CT: resistance + endurance in same session; </w:t>
            </w:r>
            <w:r w:rsidRPr="00EF545D">
              <w:rPr>
                <w:rFonts w:ascii="Times New Roman" w:hAnsi="Times New Roman" w:cs="Times New Roman"/>
                <w:sz w:val="16"/>
                <w:szCs w:val="16"/>
              </w:rPr>
              <w:lastRenderedPageBreak/>
              <w:t>leg press, leg curl, chest press and horizontal row, progressing from 2 × 15–20 repetitions at RPE ~12 to 2 × 8–12 repetitions at RPE 14–18, with endurance exercise thereafter</w:t>
            </w:r>
          </w:p>
        </w:tc>
        <w:tc>
          <w:tcPr>
            <w:tcW w:w="986" w:type="dxa"/>
            <w:vAlign w:val="center"/>
          </w:tcPr>
          <w:p w14:paraId="3CF7D6C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3 sessions/week, non-consecutive days, supervised by trained sport scientists. Sessions in groups of 2–4 at a local gym. Adherence among intervention groups 92.6% on average; retention required &gt;80% attendance</w:t>
            </w:r>
          </w:p>
        </w:tc>
        <w:tc>
          <w:tcPr>
            <w:tcW w:w="1007" w:type="dxa"/>
            <w:vAlign w:val="center"/>
          </w:tcPr>
          <w:p w14:paraId="0AF6B40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Non-exercising control: maintain usual physical activity and not begin a new training programme</w:t>
            </w:r>
          </w:p>
        </w:tc>
        <w:tc>
          <w:tcPr>
            <w:tcW w:w="678" w:type="dxa"/>
            <w:vAlign w:val="center"/>
          </w:tcPr>
          <w:p w14:paraId="356666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346ED94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1B91918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as an outcome; SpO₂ was monitored at least once during each training session</w:t>
            </w:r>
          </w:p>
        </w:tc>
        <w:tc>
          <w:tcPr>
            <w:tcW w:w="832" w:type="dxa"/>
            <w:vAlign w:val="center"/>
          </w:tcPr>
          <w:p w14:paraId="3A894FC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40C717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30EA0E3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Fatigue Severity Scale (FSS); mMRC dyspnea scale; SF-36; number of PCS symptoms</w:t>
            </w:r>
          </w:p>
        </w:tc>
        <w:tc>
          <w:tcPr>
            <w:tcW w:w="1214" w:type="dxa"/>
            <w:vAlign w:val="center"/>
          </w:tcPr>
          <w:p w14:paraId="1E30F50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Two training participants discontinued because of worsening symptoms. Overall dropout 36.4%; most common reasons were COVID-19 reinfection and non-COVID viral/bacterial infections</w:t>
            </w:r>
          </w:p>
        </w:tc>
        <w:tc>
          <w:tcPr>
            <w:tcW w:w="1451" w:type="dxa"/>
            <w:vAlign w:val="center"/>
          </w:tcPr>
          <w:p w14:paraId="5735EB1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Both ED and CT significantly increased VO₂peak; ED +3.9 mL/min/kg and CT +3.2 mL/min/kg, with significant time×group interaction. Both exercise groups significantly reduced fatigue. CT significantly improved dyspnea. Lower-body strength improved significantly in both exercise groups. HRQoL improved within all groups, but no significant time×group interaction for HRQoL. No evidence that either training modality was superior</w:t>
            </w:r>
          </w:p>
        </w:tc>
      </w:tr>
      <w:tr w:rsidR="0068602E" w:rsidRPr="00EF545D" w14:paraId="4297C43F" w14:textId="77777777" w:rsidTr="00D17C32">
        <w:tc>
          <w:tcPr>
            <w:tcW w:w="404" w:type="dxa"/>
            <w:vAlign w:val="center"/>
          </w:tcPr>
          <w:p w14:paraId="6EA53BD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24</w:t>
            </w:r>
          </w:p>
        </w:tc>
        <w:tc>
          <w:tcPr>
            <w:tcW w:w="946" w:type="dxa"/>
            <w:vAlign w:val="center"/>
          </w:tcPr>
          <w:p w14:paraId="53F62F4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Şahın et al. (2023), Turkey</w:t>
            </w:r>
          </w:p>
          <w:p w14:paraId="268188C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[42]</w:t>
            </w:r>
          </w:p>
        </w:tc>
        <w:tc>
          <w:tcPr>
            <w:tcW w:w="772" w:type="dxa"/>
            <w:vAlign w:val="center"/>
          </w:tcPr>
          <w:p w14:paraId="5269BC3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clinical study; Dr. Suat Seren Chest Diseases and Thoracic Surgery Training and Research Hospital, İzmir</w:t>
            </w:r>
          </w:p>
        </w:tc>
        <w:tc>
          <w:tcPr>
            <w:tcW w:w="873" w:type="dxa"/>
            <w:vAlign w:val="center"/>
          </w:tcPr>
          <w:p w14:paraId="3D65ABF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48 randomized: telecoaching 24, control 24; 42 analyzed: 21 per group</w:t>
            </w:r>
          </w:p>
        </w:tc>
        <w:tc>
          <w:tcPr>
            <w:tcW w:w="846" w:type="dxa"/>
            <w:vAlign w:val="center"/>
          </w:tcPr>
          <w:p w14:paraId="00823E5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COVID-19 survivors who had completed medical treatment; included patients with hospitalization &gt;10 days, with/without IMV, NIMV or high-flow oxygen; persistent/post-acute symptoms were targeted</w:t>
            </w:r>
          </w:p>
        </w:tc>
        <w:tc>
          <w:tcPr>
            <w:tcW w:w="973" w:type="dxa"/>
            <w:vAlign w:val="center"/>
          </w:tcPr>
          <w:p w14:paraId="1F9DE71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Home-based pulmonary rehabilitation + telecoaching</w:t>
            </w:r>
          </w:p>
        </w:tc>
        <w:tc>
          <w:tcPr>
            <w:tcW w:w="933" w:type="dxa"/>
            <w:vAlign w:val="center"/>
          </w:tcPr>
          <w:p w14:paraId="07B66D1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Both groups received breathing exercises, upper/lower-limb strengthening and regular walking. Telecoaching group additionally received weekly telephone calls from a physiotherapist for adherence monitoring, motivation and problem solving</w:t>
            </w:r>
          </w:p>
        </w:tc>
        <w:tc>
          <w:tcPr>
            <w:tcW w:w="986" w:type="dxa"/>
            <w:vAlign w:val="center"/>
          </w:tcPr>
          <w:p w14:paraId="7C84D3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 programme; exercise diary used for compliance. Telecoaching once weekly. Compliance: 90% telecoaching vs 70% control</w:t>
            </w:r>
          </w:p>
        </w:tc>
        <w:tc>
          <w:tcPr>
            <w:tcW w:w="1007" w:type="dxa"/>
            <w:vAlign w:val="center"/>
          </w:tcPr>
          <w:p w14:paraId="0EA4762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Same 8-week home-based PR programme without telecoaching</w:t>
            </w:r>
          </w:p>
        </w:tc>
        <w:tc>
          <w:tcPr>
            <w:tcW w:w="678" w:type="dxa"/>
            <w:vAlign w:val="center"/>
          </w:tcPr>
          <w:p w14:paraId="5655EAF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significant change: 85.05 → 89.63% predicted, p=0.066</w:t>
            </w:r>
          </w:p>
        </w:tc>
        <w:tc>
          <w:tcPr>
            <w:tcW w:w="678" w:type="dxa"/>
            <w:vAlign w:val="center"/>
          </w:tcPr>
          <w:p w14:paraId="3924116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Significant improvement in both groups: telecoaching 83.94 → 90.94%; control 77.47 → 83.57%; p=0.014 and p=0.031 respectively</w:t>
            </w:r>
          </w:p>
        </w:tc>
        <w:tc>
          <w:tcPr>
            <w:tcW w:w="714" w:type="dxa"/>
            <w:vAlign w:val="center"/>
          </w:tcPr>
          <w:p w14:paraId="37BC3F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Not reported as an outcome; participants were instructed to maintain SpO₂ &gt;90% during exercise</w:t>
            </w:r>
          </w:p>
        </w:tc>
        <w:tc>
          <w:tcPr>
            <w:tcW w:w="832" w:type="dxa"/>
            <w:vAlign w:val="center"/>
          </w:tcPr>
          <w:p w14:paraId="4BE4F1C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Peripheral muscle strength assessed using manual muscle testing; deltoid, biceps and quadriceps. No respiratory muscle-specific measure reported</w:t>
            </w:r>
          </w:p>
        </w:tc>
        <w:tc>
          <w:tcPr>
            <w:tcW w:w="608" w:type="dxa"/>
            <w:vAlign w:val="center"/>
          </w:tcPr>
          <w:p w14:paraId="291D004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Significant improvement: 378.1 → 440.9 m; control 325.1 → 381.7 m; p&lt;0.001 in both groups</w:t>
            </w:r>
          </w:p>
        </w:tc>
        <w:tc>
          <w:tcPr>
            <w:tcW w:w="1006" w:type="dxa"/>
            <w:vAlign w:val="center"/>
          </w:tcPr>
          <w:p w14:paraId="58A1074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mMRC, modified Borg dyspnea/fatigue, SGRQ, SF-36, HADS</w:t>
            </w:r>
          </w:p>
        </w:tc>
        <w:tc>
          <w:tcPr>
            <w:tcW w:w="1214" w:type="dxa"/>
            <w:vAlign w:val="center"/>
          </w:tcPr>
          <w:p w14:paraId="34A0F3F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side effects were observed. Six participants were lost to follow-up; 3 per group</w:t>
            </w:r>
          </w:p>
        </w:tc>
        <w:tc>
          <w:tcPr>
            <w:tcW w:w="1451" w:type="dxa"/>
            <w:vAlign w:val="center"/>
          </w:tcPr>
          <w:p w14:paraId="1DBBA43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Home-based PR improved 6MWD, FVC, muscle strength and several QoL domains in both groups. Adding telecoaching produced significantly greater improvements in daily-life dyspnea, exertional dyspnea, exertional fatigue and SF-36 social functioning</w:t>
            </w:r>
          </w:p>
        </w:tc>
      </w:tr>
      <w:tr w:rsidR="0068602E" w:rsidRPr="00EF545D" w14:paraId="5641D124" w14:textId="77777777" w:rsidTr="00D17C32">
        <w:tc>
          <w:tcPr>
            <w:tcW w:w="404" w:type="dxa"/>
            <w:vAlign w:val="center"/>
          </w:tcPr>
          <w:p w14:paraId="53507EC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25</w:t>
            </w:r>
          </w:p>
        </w:tc>
        <w:tc>
          <w:tcPr>
            <w:tcW w:w="946" w:type="dxa"/>
            <w:vAlign w:val="center"/>
          </w:tcPr>
          <w:p w14:paraId="521D571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Reeves et al. (2025), Australia</w:t>
            </w:r>
          </w:p>
          <w:p w14:paraId="4AA3C8C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[43]</w:t>
            </w:r>
          </w:p>
        </w:tc>
        <w:tc>
          <w:tcPr>
            <w:tcW w:w="772" w:type="dxa"/>
            <w:vAlign w:val="center"/>
          </w:tcPr>
          <w:p w14:paraId="085B557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Prospective, multicentre, assessor-blinded RCT / two major tertiary metropolitan hospitals in Sydney; remote intervention and outcome assessment</w:t>
            </w:r>
          </w:p>
        </w:tc>
        <w:tc>
          <w:tcPr>
            <w:tcW w:w="873" w:type="dxa"/>
            <w:vAlign w:val="center"/>
          </w:tcPr>
          <w:p w14:paraId="32E971E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50 randomized: PTR 24, control 26; 39 completed initial trial: PTR 14, control 25</w:t>
            </w:r>
          </w:p>
        </w:tc>
        <w:tc>
          <w:tcPr>
            <w:tcW w:w="846" w:type="dxa"/>
            <w:vAlign w:val="center"/>
          </w:tcPr>
          <w:p w14:paraId="40C4221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≥18 years, ≥4 weeks after confirmed SARS-CoV-2 infection; persistent respiratory sequelae including dyspnoea, cough or wheeze; 80% non-hospitalised and 20% previously hospitalised; mean age 54.2 ± 14.2 years; 60% female</w:t>
            </w:r>
          </w:p>
        </w:tc>
        <w:tc>
          <w:tcPr>
            <w:tcW w:w="973" w:type="dxa"/>
            <w:vAlign w:val="center"/>
          </w:tcPr>
          <w:p w14:paraId="3F5D48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Pulmonary telerehabilitation (PTR)</w:t>
            </w:r>
          </w:p>
        </w:tc>
        <w:tc>
          <w:tcPr>
            <w:tcW w:w="933" w:type="dxa"/>
            <w:vAlign w:val="center"/>
          </w:tcPr>
          <w:p w14:paraId="78B5A59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 weeks; twice weekly; 8 sessions; 40 min/session. Aerobic exercise: multidirectional stepping ± arm movements for 25 min. Resistance exercise: squats/sit-to-stands and/or hand weights for approximately 15 min. Intensity titrated to fatigue or breathlessness, targeting 2–3/10</w:t>
            </w:r>
          </w:p>
        </w:tc>
        <w:tc>
          <w:tcPr>
            <w:tcW w:w="986" w:type="dxa"/>
            <w:vAlign w:val="center"/>
          </w:tcPr>
          <w:p w14:paraId="6B9E4D3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Real-time physiotherapist-supervised videoconferencing using Zoom; groups ≤5 participants; initial home safety assessment; fatigue monitored before and 12–24 h after sessions; intensity reduced when fatigue increased ≥2 points. 11 participants dropped out, 10 from PTR</w:t>
            </w:r>
          </w:p>
        </w:tc>
        <w:tc>
          <w:tcPr>
            <w:tcW w:w="1007" w:type="dxa"/>
            <w:vAlign w:val="center"/>
          </w:tcPr>
          <w:p w14:paraId="330471F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Usual medical care + WHO rehabilitation education pamphlet; participants could cross over to PTR after the control period</w:t>
            </w:r>
          </w:p>
        </w:tc>
        <w:tc>
          <w:tcPr>
            <w:tcW w:w="678" w:type="dxa"/>
            <w:vAlign w:val="center"/>
          </w:tcPr>
          <w:p w14:paraId="4C952C3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11CDC36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1DCEDBB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Pulse oximetry used during screening and 1-min sit-to-stand assessment, but SpO₂ was not reported as an outcome</w:t>
            </w:r>
          </w:p>
        </w:tc>
        <w:tc>
          <w:tcPr>
            <w:tcW w:w="832" w:type="dxa"/>
            <w:vAlign w:val="center"/>
          </w:tcPr>
          <w:p w14:paraId="23D0521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09E985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primary functional outcome was 1-min sit-to-stand rather than 6MWT</w:t>
            </w:r>
          </w:p>
        </w:tc>
        <w:tc>
          <w:tcPr>
            <w:tcW w:w="1006" w:type="dxa"/>
            <w:vAlign w:val="center"/>
          </w:tcPr>
          <w:p w14:paraId="5EA5483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SF-36, HADS, FSS, K6+, CAT and C19-YRS. No significant between-group differences in HRQoL, anxiety, depression, fatigue or respiratory symptom outcomes; SF-36 energy/fatigue domain showed a small significant difference favouring control (between-group p=0.047)</w:t>
            </w:r>
          </w:p>
        </w:tc>
        <w:tc>
          <w:tcPr>
            <w:tcW w:w="1214" w:type="dxa"/>
            <w:vAlign w:val="center"/>
          </w:tcPr>
          <w:p w14:paraId="05D017D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Post-exertional fatigue was monitored and exercise intensity reduced when necessary. Dropouts included work commitments, preference for independent exercise, post-exertional symptom exacerbation, respiratory syncytial virus, family death and loss to contact. No major safety signal reported</w:t>
            </w:r>
          </w:p>
        </w:tc>
        <w:tc>
          <w:tcPr>
            <w:tcW w:w="1451" w:type="dxa"/>
            <w:vAlign w:val="center"/>
          </w:tcPr>
          <w:p w14:paraId="1B2E320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significant between-group differences in the primary 1-min sit-to-stand or secondary outcomes. 1-min sit-to-stand improved by 2.1 repetitions in PTR vs 1.3 in control; between-group difference 0.8 repetitions (95% CI −3.0 to 4.6; p=0.563). The authors concluded that the 4-week, 8-session PTR programme did not significantly improve functional capacity, symptoms, HRQoL, cognition, anxiety, depression or fatigue compared with usual care.</w:t>
            </w:r>
          </w:p>
        </w:tc>
      </w:tr>
      <w:tr w:rsidR="0068602E" w:rsidRPr="00EF545D" w14:paraId="327E2B71" w14:textId="77777777" w:rsidTr="00D17C32">
        <w:tc>
          <w:tcPr>
            <w:tcW w:w="404" w:type="dxa"/>
            <w:vAlign w:val="center"/>
          </w:tcPr>
          <w:p w14:paraId="36013E6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26</w:t>
            </w:r>
          </w:p>
        </w:tc>
        <w:tc>
          <w:tcPr>
            <w:tcW w:w="946" w:type="dxa"/>
            <w:vAlign w:val="center"/>
          </w:tcPr>
          <w:p w14:paraId="68C4A81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Modesto et al. (2024), Brazil</w:t>
            </w:r>
          </w:p>
          <w:p w14:paraId="5B71B2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[44]</w:t>
            </w:r>
          </w:p>
        </w:tc>
        <w:tc>
          <w:tcPr>
            <w:tcW w:w="772" w:type="dxa"/>
            <w:vAlign w:val="center"/>
          </w:tcPr>
          <w:p w14:paraId="33D5114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Cost–utility analysis conducted alongside a pragmatic randomized double-masked controlled trial / public health rehabilitation setting in Brasília, Brazil</w:t>
            </w:r>
          </w:p>
        </w:tc>
        <w:tc>
          <w:tcPr>
            <w:tcW w:w="873" w:type="dxa"/>
            <w:vAlign w:val="center"/>
          </w:tcPr>
          <w:p w14:paraId="100482B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52 participants: PR + IMT n=25; PR + sham IMT n=27</w:t>
            </w:r>
          </w:p>
        </w:tc>
        <w:tc>
          <w:tcPr>
            <w:tcW w:w="846" w:type="dxa"/>
            <w:vAlign w:val="center"/>
          </w:tcPr>
          <w:p w14:paraId="1816BF7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with confirmed COVID-19 requiring hospitalization and classified as moderate-to-severe within 3 months before recruitment; screened 4–6 weeks after ICU discharge</w:t>
            </w:r>
            <w:r w:rsidRPr="00EF545D">
              <w:rPr>
                <w:rFonts w:ascii="Times New Roman" w:hAnsi="Times New Roman" w:cs="Times New Roman"/>
                <w:sz w:val="16"/>
                <w:szCs w:val="16"/>
              </w:rPr>
              <w:lastRenderedPageBreak/>
              <w:t>. Most participants were obese, diabetic and hypertensive; fatigue and myalgia were common post-COVID symptoms</w:t>
            </w:r>
          </w:p>
        </w:tc>
        <w:tc>
          <w:tcPr>
            <w:tcW w:w="973" w:type="dxa"/>
            <w:vAlign w:val="center"/>
          </w:tcPr>
          <w:p w14:paraId="3BBBA85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Pulmonary rehabilitation + supervised inspiratory muscle training (IMT) using POWERbreathe® KH2</w:t>
            </w:r>
          </w:p>
        </w:tc>
        <w:tc>
          <w:tcPr>
            <w:tcW w:w="933" w:type="dxa"/>
            <w:vAlign w:val="center"/>
          </w:tcPr>
          <w:p w14:paraId="293624B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8 weeks. IMT at 50–60% MIP, 2 sets of 30 breaths (60 breaths), 2-min rest between sets, 3 times/week. MIP and S-Index reassessed weekly and workload adjusted. Both groups also completed 24 PR sessions </w:t>
            </w:r>
            <w:r w:rsidRPr="00EF545D">
              <w:rPr>
                <w:rFonts w:ascii="Times New Roman" w:hAnsi="Times New Roman" w:cs="Times New Roman"/>
                <w:sz w:val="16"/>
                <w:szCs w:val="16"/>
              </w:rPr>
              <w:lastRenderedPageBreak/>
              <w:t>over 8 weeks, 3 sessions/week, 30–50 min/session</w:t>
            </w:r>
          </w:p>
        </w:tc>
        <w:tc>
          <w:tcPr>
            <w:tcW w:w="986" w:type="dxa"/>
            <w:vAlign w:val="center"/>
          </w:tcPr>
          <w:p w14:paraId="1D2A63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Supervised by physical therapists. IMT performed after PR. PR included endurance/interval training at moderate–high intensity; oxygen saturation target &gt;90%. Weekly MIP assessment used to adjust IMT intensity</w:t>
            </w:r>
          </w:p>
        </w:tc>
        <w:tc>
          <w:tcPr>
            <w:tcW w:w="1007" w:type="dxa"/>
            <w:vAlign w:val="center"/>
          </w:tcPr>
          <w:p w14:paraId="7E2F97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Pulmonary rehabilitation + sham IMT; control IMT workload fixed at 10% baseline MIP throughout the intervention</w:t>
            </w:r>
          </w:p>
        </w:tc>
        <w:tc>
          <w:tcPr>
            <w:tcW w:w="678" w:type="dxa"/>
            <w:vAlign w:val="center"/>
          </w:tcPr>
          <w:p w14:paraId="02E13FB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165722A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27DA521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SpO₂ was used as an exercise target (&gt;90%) but not reported as an outcome</w:t>
            </w:r>
          </w:p>
        </w:tc>
        <w:tc>
          <w:tcPr>
            <w:tcW w:w="832" w:type="dxa"/>
            <w:vAlign w:val="center"/>
          </w:tcPr>
          <w:p w14:paraId="7D8B336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MIP and S-Index were assessed weekly, but outcome values comparing groups were NR in this cost–utility paper</w:t>
            </w:r>
          </w:p>
        </w:tc>
        <w:tc>
          <w:tcPr>
            <w:tcW w:w="608" w:type="dxa"/>
            <w:vAlign w:val="center"/>
          </w:tcPr>
          <w:p w14:paraId="603F354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73ECD1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QALY-based utility outcome: PR + IMT 0.23 QALYs vs PR + sham IMT 0.20 QALYs; incremental utility 0.03. No individual patient-reported scale was reported in this paper</w:t>
            </w:r>
          </w:p>
        </w:tc>
        <w:tc>
          <w:tcPr>
            <w:tcW w:w="1214" w:type="dxa"/>
            <w:vAlign w:val="center"/>
          </w:tcPr>
          <w:p w14:paraId="5F2144A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adverse-event or readmission outcome reported in the cost–utility analysis</w:t>
            </w:r>
          </w:p>
        </w:tc>
        <w:tc>
          <w:tcPr>
            <w:tcW w:w="1451" w:type="dxa"/>
            <w:vAlign w:val="center"/>
          </w:tcPr>
          <w:p w14:paraId="1A54639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Adding IMT to PR was more effective and more costly than PR alone. Cost: US$317.73 vs US$293.93; incremental cost US$23.80; incremental utility 0.03 QALY; ICER US$793.33/QALY. 512/1000 (51.2%) Monte Carlo simulations were considered cost-effective at the BRL 40,000/QALY threshold</w:t>
            </w:r>
          </w:p>
        </w:tc>
      </w:tr>
      <w:tr w:rsidR="0068602E" w:rsidRPr="00EF545D" w14:paraId="5E290E76" w14:textId="77777777" w:rsidTr="00D17C32">
        <w:tc>
          <w:tcPr>
            <w:tcW w:w="404" w:type="dxa"/>
            <w:vAlign w:val="center"/>
          </w:tcPr>
          <w:p w14:paraId="2D556AB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27</w:t>
            </w:r>
          </w:p>
        </w:tc>
        <w:tc>
          <w:tcPr>
            <w:tcW w:w="946" w:type="dxa"/>
            <w:vAlign w:val="center"/>
          </w:tcPr>
          <w:p w14:paraId="40ECA29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del Corral et al. (2023), Spain</w:t>
            </w:r>
          </w:p>
          <w:p w14:paraId="51262AB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[45]</w:t>
            </w:r>
          </w:p>
        </w:tc>
        <w:tc>
          <w:tcPr>
            <w:tcW w:w="772" w:type="dxa"/>
            <w:vAlign w:val="center"/>
          </w:tcPr>
          <w:p w14:paraId="40424AC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Secondary analysis of a parallel, double-blind RCT; home-based respiratory muscle training</w:t>
            </w:r>
          </w:p>
        </w:tc>
        <w:tc>
          <w:tcPr>
            <w:tcW w:w="873" w:type="dxa"/>
            <w:vAlign w:val="center"/>
          </w:tcPr>
          <w:p w14:paraId="4A3AD3D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 = 42 analysed; 71% female; mean age 48 ± 9 years</w:t>
            </w:r>
          </w:p>
        </w:tc>
        <w:tc>
          <w:tcPr>
            <w:tcW w:w="846" w:type="dxa"/>
            <w:vAlign w:val="center"/>
          </w:tcPr>
          <w:p w14:paraId="4DDE818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≥18 years with long-term post-COVID-19 symptoms, including fatigue and/or dyspnea, persisting ≥3 months after COVID-19 diagnosis</w:t>
            </w:r>
          </w:p>
        </w:tc>
        <w:tc>
          <w:tcPr>
            <w:tcW w:w="973" w:type="dxa"/>
            <w:vAlign w:val="center"/>
          </w:tcPr>
          <w:p w14:paraId="6C1BF3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Home-based respiratory muscle training (RMT)</w:t>
            </w:r>
          </w:p>
        </w:tc>
        <w:tc>
          <w:tcPr>
            <w:tcW w:w="933" w:type="dxa"/>
            <w:vAlign w:val="center"/>
          </w:tcPr>
          <w:p w14:paraId="0754BA3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Two real-training groups from the original RCT: inspiratory muscle training and combined inspiratory + expiratory muscle training. Training was 40 min/day (20 min twice daily), 6 days/week for 8 weeks. Assessments at baseline, 4 and 8 weeks</w:t>
            </w:r>
          </w:p>
        </w:tc>
        <w:tc>
          <w:tcPr>
            <w:tcW w:w="986" w:type="dxa"/>
            <w:vAlign w:val="center"/>
          </w:tcPr>
          <w:p w14:paraId="5877974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Home-based programme. Adherence was &gt;95% of scheduled sessions. No adverse effects reported</w:t>
            </w:r>
          </w:p>
        </w:tc>
        <w:tc>
          <w:tcPr>
            <w:tcW w:w="1007" w:type="dxa"/>
            <w:vAlign w:val="center"/>
          </w:tcPr>
          <w:p w14:paraId="7EF388C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comparator in this secondary analysis. The original RCT also contained sham inspiratory and sham inspiratory/expiratory groups, but these were excluded from the present analysis</w:t>
            </w:r>
          </w:p>
        </w:tc>
        <w:tc>
          <w:tcPr>
            <w:tcW w:w="678" w:type="dxa"/>
            <w:vAlign w:val="center"/>
          </w:tcPr>
          <w:p w14:paraId="5FD45D5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FEV₁ % predicted: MCID-exceeded vs not exceeded groups showed changes of 3.4 ± 10.1 vs −1.1 ± 10.3 for the EQ-5D index criterion; 1.1 ± 14.7 vs 2.1 ± 9.2 for the VAS criterion; between-group p = 0.173 and 0.386, respectively</w:t>
            </w:r>
          </w:p>
        </w:tc>
        <w:tc>
          <w:tcPr>
            <w:tcW w:w="678" w:type="dxa"/>
            <w:vAlign w:val="center"/>
          </w:tcPr>
          <w:p w14:paraId="710EB5D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FVC % predicted: changes 2.8 ± 11.1 vs 4.4 ± 12.5 for EQ-5D index criterion; 0.7 ± 15.2 vs 3.9 ± 10.6 for VAS criterion; p = 0.285 and 0.255</w:t>
            </w:r>
          </w:p>
        </w:tc>
        <w:tc>
          <w:tcPr>
            <w:tcW w:w="714" w:type="dxa"/>
            <w:vAlign w:val="center"/>
          </w:tcPr>
          <w:p w14:paraId="5C62D90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572C351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MIP: substantial improvement among those exceeding the MCID. For VAS criterion, change 37.9 ± 17.7 vs 12.5 ± 6.8 cmH₂O, p &lt; 0.001, r = 0.60. MIP % predicted showed similar findings</w:t>
            </w:r>
          </w:p>
        </w:tc>
        <w:tc>
          <w:tcPr>
            <w:tcW w:w="608" w:type="dxa"/>
            <w:vAlign w:val="center"/>
          </w:tcPr>
          <w:p w14:paraId="55FE580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Not used. Exercise tolerance was assessed with the Ruffier index, not the 6MWT</w:t>
            </w:r>
          </w:p>
        </w:tc>
        <w:tc>
          <w:tcPr>
            <w:tcW w:w="1006" w:type="dxa"/>
            <w:vAlign w:val="center"/>
          </w:tcPr>
          <w:p w14:paraId="1983CAC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EQ-5D-5L index and VAS. Mean change: index 0.192 ± 0.165, VAS 17.7 ± 12.71; both p &lt; 0.001. Proposed MCID: 0.262 index and 7.5 VAS points</w:t>
            </w:r>
          </w:p>
        </w:tc>
        <w:tc>
          <w:tcPr>
            <w:tcW w:w="1214" w:type="dxa"/>
            <w:vAlign w:val="center"/>
          </w:tcPr>
          <w:p w14:paraId="7006092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effects reported; adherence &gt;95%. 69% classified as improved and 31% stable/not improved according to GROC</w:t>
            </w:r>
          </w:p>
        </w:tc>
        <w:tc>
          <w:tcPr>
            <w:tcW w:w="1451" w:type="dxa"/>
            <w:vAlign w:val="center"/>
          </w:tcPr>
          <w:p w14:paraId="329A22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EQ-5D-5L VAS showed acceptable discrimination (AUC = 0.78, 95% CI 0.63–0.92), whereas the index did not (AUC = 0.64). Exceeding the VAS MCID was associated with greater improvements in inspiratory muscle strength, exercise tolerance and lower-limb strength, but not lung function</w:t>
            </w:r>
          </w:p>
        </w:tc>
      </w:tr>
      <w:tr w:rsidR="0068602E" w:rsidRPr="00EF545D" w14:paraId="7FF9701D" w14:textId="77777777" w:rsidTr="00D17C32">
        <w:tc>
          <w:tcPr>
            <w:tcW w:w="404" w:type="dxa"/>
            <w:vAlign w:val="center"/>
          </w:tcPr>
          <w:p w14:paraId="681CBFE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28</w:t>
            </w:r>
          </w:p>
        </w:tc>
        <w:tc>
          <w:tcPr>
            <w:tcW w:w="946" w:type="dxa"/>
            <w:vAlign w:val="center"/>
          </w:tcPr>
          <w:p w14:paraId="31FABE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Amin et al. (2024), Saudi Arabia</w:t>
            </w:r>
          </w:p>
          <w:p w14:paraId="7B5D078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[46]</w:t>
            </w:r>
          </w:p>
        </w:tc>
        <w:tc>
          <w:tcPr>
            <w:tcW w:w="772" w:type="dxa"/>
            <w:vAlign w:val="center"/>
          </w:tcPr>
          <w:p w14:paraId="3AF786F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Single-blinded randomized controlled trial; Jazan University, Saudi Arabia</w:t>
            </w:r>
          </w:p>
        </w:tc>
        <w:tc>
          <w:tcPr>
            <w:tcW w:w="873" w:type="dxa"/>
            <w:vAlign w:val="center"/>
          </w:tcPr>
          <w:p w14:paraId="4501640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 = 145 analysed; Pilates n=74, control n=71</w:t>
            </w:r>
          </w:p>
        </w:tc>
        <w:tc>
          <w:tcPr>
            <w:tcW w:w="846" w:type="dxa"/>
            <w:vAlign w:val="center"/>
          </w:tcPr>
          <w:p w14:paraId="616675F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University students aged approximately 19–26 years with recovered mild-to-moderate COVID-19; BMI &lt;25 kg/m²; non-athletic</w:t>
            </w:r>
          </w:p>
        </w:tc>
        <w:tc>
          <w:tcPr>
            <w:tcW w:w="973" w:type="dxa"/>
            <w:vAlign w:val="center"/>
          </w:tcPr>
          <w:p w14:paraId="32C9863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Pilates exercise + home exercise programme</w:t>
            </w:r>
          </w:p>
        </w:tc>
        <w:tc>
          <w:tcPr>
            <w:tcW w:w="933" w:type="dxa"/>
            <w:vAlign w:val="center"/>
          </w:tcPr>
          <w:p w14:paraId="782F9A6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12-week Pilates programme, 3 sessions/week, 1 hour/session: 10-min warm-up, 40-min Pilates, 10-min cool-down. Exercises: Mat Hundred, Roll-Up, One-Leg Circle, Rolling Like a Ball, Spine Stretch</w:t>
            </w:r>
          </w:p>
        </w:tc>
        <w:tc>
          <w:tcPr>
            <w:tcW w:w="986" w:type="dxa"/>
            <w:vAlign w:val="center"/>
          </w:tcPr>
          <w:p w14:paraId="5542CC1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Sessions conducted with a qualified practitioner; participants received step-by-step instruction, breathing and spinal-neutrality training. Home programme included 15 min breathing + stretching and 15 min daily walking</w:t>
            </w:r>
          </w:p>
        </w:tc>
        <w:tc>
          <w:tcPr>
            <w:tcW w:w="1007" w:type="dxa"/>
            <w:vAlign w:val="center"/>
          </w:tcPr>
          <w:p w14:paraId="7E9B64A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 exercise programme alone: daily 15-min breathing, self-stretching and 15-min walking</w:t>
            </w:r>
          </w:p>
        </w:tc>
        <w:tc>
          <w:tcPr>
            <w:tcW w:w="678" w:type="dxa"/>
            <w:vAlign w:val="center"/>
          </w:tcPr>
          <w:p w14:paraId="2A70D7D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4614710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1940D5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675C1B1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53886FC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34356CD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214" w:type="dxa"/>
            <w:vAlign w:val="center"/>
          </w:tcPr>
          <w:p w14:paraId="009CCFB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events reported; study focused on core endurance and static balance</w:t>
            </w:r>
          </w:p>
        </w:tc>
        <w:tc>
          <w:tcPr>
            <w:tcW w:w="1451" w:type="dxa"/>
            <w:vAlign w:val="center"/>
          </w:tcPr>
          <w:p w14:paraId="1AD8888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Pilates produced significantly greater improvements in all five core endurance tests and most Prokin balance measures compared with control. Significant between-group effects were observed for abdominal fatigue, prone plank, Sorensen, right/left side plank, OE/CE perimeter and CE ellipse area.</w:t>
            </w:r>
          </w:p>
        </w:tc>
      </w:tr>
      <w:tr w:rsidR="0068602E" w:rsidRPr="00EF545D" w14:paraId="57E2BDC4" w14:textId="77777777" w:rsidTr="00D17C32">
        <w:tc>
          <w:tcPr>
            <w:tcW w:w="404" w:type="dxa"/>
            <w:vAlign w:val="center"/>
          </w:tcPr>
          <w:p w14:paraId="1F4EF7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29</w:t>
            </w:r>
          </w:p>
        </w:tc>
        <w:tc>
          <w:tcPr>
            <w:tcW w:w="946" w:type="dxa"/>
            <w:vAlign w:val="center"/>
          </w:tcPr>
          <w:p w14:paraId="336CFAC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Harisuddin et al. (2023), Indonesia</w:t>
            </w:r>
          </w:p>
          <w:p w14:paraId="76DD42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[47]</w:t>
            </w:r>
          </w:p>
        </w:tc>
        <w:tc>
          <w:tcPr>
            <w:tcW w:w="772" w:type="dxa"/>
            <w:vAlign w:val="center"/>
          </w:tcPr>
          <w:p w14:paraId="2155369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pre-test/post-test controlled group design / Medical Rehabilitation Installation, Dr. Soetomo Hospital, Surabaya</w:t>
            </w:r>
          </w:p>
        </w:tc>
        <w:tc>
          <w:tcPr>
            <w:tcW w:w="873" w:type="dxa"/>
            <w:vAlign w:val="center"/>
          </w:tcPr>
          <w:p w14:paraId="5D1BAC5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20 participants: incentive spirometry n=10; diaphragmatic breathing n=10</w:t>
            </w:r>
          </w:p>
        </w:tc>
        <w:tc>
          <w:tcPr>
            <w:tcW w:w="846" w:type="dxa"/>
            <w:vAlign w:val="center"/>
          </w:tcPr>
          <w:p w14:paraId="09AFB15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Post-COVID-19 patients attending medical rehabilitation; &gt;3 months after COVID-19; still experiencing post-COVID cardiopulmonary symptoms including shortness </w:t>
            </w:r>
            <w:r w:rsidRPr="00EF545D">
              <w:rPr>
                <w:rFonts w:ascii="Times New Roman" w:hAnsi="Times New Roman" w:cs="Times New Roman"/>
                <w:sz w:val="16"/>
                <w:szCs w:val="16"/>
              </w:rPr>
              <w:lastRenderedPageBreak/>
              <w:t>of breath, fatigue and chest pain; age 18–59 years; MMSE 24–30; hemodynamically stable; SpO₂ &gt;95%</w:t>
            </w:r>
          </w:p>
        </w:tc>
        <w:tc>
          <w:tcPr>
            <w:tcW w:w="973" w:type="dxa"/>
            <w:vAlign w:val="center"/>
          </w:tcPr>
          <w:p w14:paraId="34333CB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Breathing exercise using incentive spirometry</w:t>
            </w:r>
          </w:p>
        </w:tc>
        <w:tc>
          <w:tcPr>
            <w:tcW w:w="933" w:type="dxa"/>
            <w:vAlign w:val="center"/>
          </w:tcPr>
          <w:p w14:paraId="2CADC1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 weeks; 5 sessions/day; 10 repetitions/session, with 1-hour interval between sessions. Incentive spirometry used as the respiratory exercise intervention</w:t>
            </w:r>
          </w:p>
        </w:tc>
        <w:tc>
          <w:tcPr>
            <w:tcW w:w="986" w:type="dxa"/>
            <w:vAlign w:val="center"/>
          </w:tcPr>
          <w:p w14:paraId="20F3967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Exercises performed at home daily according to instructions; exercise supervision documented using an exercise supervision card signed by an agreed witness. HRV reassessed after 4 weeks</w:t>
            </w:r>
          </w:p>
        </w:tc>
        <w:tc>
          <w:tcPr>
            <w:tcW w:w="1007" w:type="dxa"/>
            <w:vAlign w:val="center"/>
          </w:tcPr>
          <w:p w14:paraId="3BDF9F1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Diaphragmatic breathing, 5 sessions/day, 10 repetitions/session, 1-hour interval between exercises, for 4 weeks</w:t>
            </w:r>
          </w:p>
        </w:tc>
        <w:tc>
          <w:tcPr>
            <w:tcW w:w="678" w:type="dxa"/>
            <w:vAlign w:val="center"/>
          </w:tcPr>
          <w:p w14:paraId="0CE6B2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0952633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38B47C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as outcome; SpO₂ &gt;95% was an inclusion criterion</w:t>
            </w:r>
          </w:p>
        </w:tc>
        <w:tc>
          <w:tcPr>
            <w:tcW w:w="832" w:type="dxa"/>
            <w:vAlign w:val="center"/>
          </w:tcPr>
          <w:p w14:paraId="7F211C2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3441A2F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5515AA6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214" w:type="dxa"/>
            <w:vAlign w:val="center"/>
          </w:tcPr>
          <w:p w14:paraId="3B36447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events, hospitalisation or readmission outcomes reported; all 20 participants completed the study</w:t>
            </w:r>
          </w:p>
        </w:tc>
        <w:tc>
          <w:tcPr>
            <w:tcW w:w="1451" w:type="dxa"/>
            <w:vAlign w:val="center"/>
          </w:tcPr>
          <w:p w14:paraId="2BEDABC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significant between-group differences in ΔRMSSD, ΔSDNN or ΔLF/HF ratio (p=0.067, p=0.706 and p=0.540, respectively). Incentive spirometry produced a moderate effect on SDNN and LF/HF ratio within the treatment group, but the changes were not statistically significant between groups.</w:t>
            </w:r>
          </w:p>
        </w:tc>
      </w:tr>
      <w:tr w:rsidR="0068602E" w:rsidRPr="00EF545D" w14:paraId="297BAEDE" w14:textId="77777777" w:rsidTr="00D17C32">
        <w:tc>
          <w:tcPr>
            <w:tcW w:w="404" w:type="dxa"/>
            <w:vAlign w:val="center"/>
          </w:tcPr>
          <w:p w14:paraId="3096D9F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30</w:t>
            </w:r>
          </w:p>
        </w:tc>
        <w:tc>
          <w:tcPr>
            <w:tcW w:w="946" w:type="dxa"/>
            <w:vAlign w:val="center"/>
          </w:tcPr>
          <w:p w14:paraId="26341FA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Omarova et al. (2023), Kazakhstan</w:t>
            </w:r>
          </w:p>
          <w:p w14:paraId="38AE7A5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[48]</w:t>
            </w:r>
          </w:p>
        </w:tc>
        <w:tc>
          <w:tcPr>
            <w:tcW w:w="772" w:type="dxa"/>
            <w:vAlign w:val="center"/>
          </w:tcPr>
          <w:p w14:paraId="189767E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trial / Rehabilitation Center “Kamenskoe Plato”, Almaty</w:t>
            </w:r>
          </w:p>
        </w:tc>
        <w:tc>
          <w:tcPr>
            <w:tcW w:w="873" w:type="dxa"/>
            <w:vAlign w:val="center"/>
          </w:tcPr>
          <w:p w14:paraId="037A6A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160 participants: CRM without acupuncture n=80; CRM with acupuncture n=80</w:t>
            </w:r>
          </w:p>
        </w:tc>
        <w:tc>
          <w:tcPr>
            <w:tcW w:w="846" w:type="dxa"/>
            <w:vAlign w:val="center"/>
          </w:tcPr>
          <w:p w14:paraId="0A61134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&gt;18 years with post-COVID-19 condition (PCC), including patients recovering from severe and non-severe COVID-19; stable condition and able to cooperate with rehabilitation. Common complaints included shortness of breath, cognitive impairment/weakness/sleep disturbance, increased BP, joint pain, headache and cough. Mean age 61.3 ± 4.26 years; 75.6% female.</w:t>
            </w:r>
          </w:p>
        </w:tc>
        <w:tc>
          <w:tcPr>
            <w:tcW w:w="973" w:type="dxa"/>
            <w:vAlign w:val="center"/>
          </w:tcPr>
          <w:p w14:paraId="492DFAA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Complex rehabilitation methods (CRM) + acupuncture</w:t>
            </w:r>
          </w:p>
        </w:tc>
        <w:tc>
          <w:tcPr>
            <w:tcW w:w="933" w:type="dxa"/>
            <w:vAlign w:val="center"/>
          </w:tcPr>
          <w:p w14:paraId="03F5299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CRM included respiratory gymnastics, massage, myorelaxation, physical therapy, speleotherapy, exercise equipment, aerosol therapy, oxygen cocktail, magnetotherapy, amplipulse, ultrawave frequencies, ultrasound, ultraviolet irradiation, shungite therapy, inhalation and outdoor walks. Acupuncture group additionally received full-body dry acupuncture at 10 points, with needles inserted to 10 mm and manual stimulation to produce </w:t>
            </w:r>
            <w:r w:rsidRPr="00EF545D">
              <w:rPr>
                <w:rFonts w:ascii="Times New Roman" w:hAnsi="Times New Roman" w:cs="Times New Roman"/>
                <w:i/>
                <w:iCs/>
                <w:sz w:val="16"/>
                <w:szCs w:val="16"/>
              </w:rPr>
              <w:t>deqi</w:t>
            </w:r>
            <w:r w:rsidRPr="00EF545D">
              <w:rPr>
                <w:rFonts w:ascii="Times New Roman" w:hAnsi="Times New Roman" w:cs="Times New Roman"/>
                <w:sz w:val="16"/>
                <w:szCs w:val="16"/>
              </w:rPr>
              <w:t>. Each acupuncture session lasted 30 min.</w:t>
            </w:r>
          </w:p>
        </w:tc>
        <w:tc>
          <w:tcPr>
            <w:tcW w:w="986" w:type="dxa"/>
            <w:vAlign w:val="center"/>
          </w:tcPr>
          <w:p w14:paraId="6F4A432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Hospital-based rehabilitation for 10–14 days. Acupuncture was performed once daily; acupuncture group received an average of 9.5 ± 0.95 sessions. Participants completed at least 10 days of treatment. Rehabilitation procedures were prescribed individually by a physiotherapist.</w:t>
            </w:r>
          </w:p>
        </w:tc>
        <w:tc>
          <w:tcPr>
            <w:tcW w:w="1007" w:type="dxa"/>
            <w:vAlign w:val="center"/>
          </w:tcPr>
          <w:p w14:paraId="0EFFF8B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CRM without acupuncture, n=80; same complex rehabilitation programme without acupuncture</w:t>
            </w:r>
          </w:p>
        </w:tc>
        <w:tc>
          <w:tcPr>
            <w:tcW w:w="678" w:type="dxa"/>
            <w:vAlign w:val="center"/>
          </w:tcPr>
          <w:p w14:paraId="0CF4E5D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2A22116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7803051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Admission SpO₂: CRM 96.2 ± 0.60%; CRM + acupuncture 95.6 ± 1.18%. No post-treatment SpO₂ outcome reported</w:t>
            </w:r>
          </w:p>
        </w:tc>
        <w:tc>
          <w:tcPr>
            <w:tcW w:w="832" w:type="dxa"/>
            <w:vAlign w:val="center"/>
          </w:tcPr>
          <w:p w14:paraId="26E65D2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08" w:type="dxa"/>
            <w:vAlign w:val="center"/>
          </w:tcPr>
          <w:p w14:paraId="6E90844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MWT6: CRM without acupuncture 2.9 ± 0.36 → 2.8 ± 0.51; CRM + acupuncture 2.7 ± 0.55 → 1.9 ± 0.57; within-group p&lt;0.001 for acupuncture group; ANCOVA between-group p&lt;0.001</w:t>
            </w:r>
          </w:p>
        </w:tc>
        <w:tc>
          <w:tcPr>
            <w:tcW w:w="1006" w:type="dxa"/>
            <w:vAlign w:val="center"/>
          </w:tcPr>
          <w:p w14:paraId="39303D5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mMRC dyspnoea: CRM 2.3 ± 0.63 → 2.1 ± 0.37; acupuncture 2.5 ± 0.76 → 1.5 ± 0.51; ANCOVA p&lt;0.001. Borg RPE: CRM 3.9 ± 0.36 → 3.6 ± 0.49; acupuncture 3.1 ± 0.85 → 2.1 ± 0.68; ANCOVA p&lt;0.001. Barthel Index: CRM 86.8 ± 3.99 → 86.9 ± 4.02; acupuncture 90.6 ± 3.62 → 92.7 ± 2.86; ANCOVA p&lt;0.001</w:t>
            </w:r>
          </w:p>
        </w:tc>
        <w:tc>
          <w:tcPr>
            <w:tcW w:w="1214" w:type="dxa"/>
            <w:vAlign w:val="center"/>
          </w:tcPr>
          <w:p w14:paraId="0AAEE60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Adverse events were monitored and documented, but specific adverse-event results were not reported. No follow-up beyond treatment was performed.</w:t>
            </w:r>
          </w:p>
        </w:tc>
        <w:tc>
          <w:tcPr>
            <w:tcW w:w="1451" w:type="dxa"/>
            <w:vAlign w:val="center"/>
          </w:tcPr>
          <w:p w14:paraId="72BBCB8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CRM with acupuncture produced significant improvements in mMRC dyspnoea, Borg RPE, 6-MWT and Barthel Index, whereas CRM without acupuncture significantly improved only mMRC and Borg. The authors reported better post-treatment results in the acupuncture group on all four outcomes, but acknowledged that because acupuncture was combined with multiple rehabilitation procedures, the independent effect of acupuncture cannot be established.</w:t>
            </w:r>
          </w:p>
        </w:tc>
      </w:tr>
      <w:tr w:rsidR="0068602E" w:rsidRPr="00EF545D" w14:paraId="175C850D" w14:textId="77777777" w:rsidTr="00D17C32">
        <w:tc>
          <w:tcPr>
            <w:tcW w:w="404" w:type="dxa"/>
            <w:vAlign w:val="center"/>
          </w:tcPr>
          <w:p w14:paraId="08F056B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31</w:t>
            </w:r>
          </w:p>
        </w:tc>
        <w:tc>
          <w:tcPr>
            <w:tcW w:w="946" w:type="dxa"/>
            <w:vAlign w:val="center"/>
          </w:tcPr>
          <w:p w14:paraId="073C4D3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 Araújo Furtado et al. (2023), Brazil</w:t>
            </w:r>
          </w:p>
          <w:p w14:paraId="2F6A94B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[49]</w:t>
            </w:r>
          </w:p>
        </w:tc>
        <w:tc>
          <w:tcPr>
            <w:tcW w:w="772" w:type="dxa"/>
            <w:vAlign w:val="center"/>
          </w:tcPr>
          <w:p w14:paraId="26D8F0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clinical trial / Laboratory of Physical Training Studies Applied to Health, Federal University of Paraíba</w:t>
            </w:r>
          </w:p>
        </w:tc>
        <w:tc>
          <w:tcPr>
            <w:tcW w:w="873" w:type="dxa"/>
            <w:vAlign w:val="center"/>
          </w:tcPr>
          <w:p w14:paraId="6B80D0D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47 randomized: TG n=24; CG n=23. 32 completed/analyzed: TG n=16; CG n=16</w:t>
            </w:r>
          </w:p>
        </w:tc>
        <w:tc>
          <w:tcPr>
            <w:tcW w:w="846" w:type="dxa"/>
            <w:vAlign w:val="center"/>
          </w:tcPr>
          <w:p w14:paraId="47D7CFE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Adults ≥18 years clinically recovered from COVID-19 for ≥20 days; no invasive mechanical ventilation, physical/clinical restrictions, concurrent rehabilitation, cardiac/respiratory/neurological disease or chronic psychiatric disorders. Mean age of analyzed sample </w:t>
            </w:r>
            <w:r w:rsidRPr="00EF545D">
              <w:rPr>
                <w:rFonts w:ascii="Times New Roman" w:hAnsi="Times New Roman" w:cs="Times New Roman"/>
                <w:sz w:val="16"/>
                <w:szCs w:val="16"/>
              </w:rPr>
              <w:lastRenderedPageBreak/>
              <w:t>48.35 ± 13 years; 14 males/18 females. 56.7% had severe COVID-19. Persistent symptoms included fatigue, dyspnea, arthralgia and headache.</w:t>
            </w:r>
          </w:p>
        </w:tc>
        <w:tc>
          <w:tcPr>
            <w:tcW w:w="973" w:type="dxa"/>
            <w:vAlign w:val="center"/>
          </w:tcPr>
          <w:p w14:paraId="3D505D1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Telerehabilitation functional training</w:t>
            </w:r>
          </w:p>
        </w:tc>
        <w:tc>
          <w:tcPr>
            <w:tcW w:w="933" w:type="dxa"/>
            <w:vAlign w:val="center"/>
          </w:tcPr>
          <w:p w14:paraId="4F0FF25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Multicomponent neuromuscular-efficiency training: single/bi-articular, multisegmental, multiplanar, dual-task, stabilization and integrated movements. Progression from posture, mobility and stability → aerobic resistance/strength → strength, agility, speed and power. Each session included warm-up/proprio</w:t>
            </w:r>
            <w:r w:rsidRPr="00EF545D">
              <w:rPr>
                <w:rFonts w:ascii="Times New Roman" w:hAnsi="Times New Roman" w:cs="Times New Roman"/>
                <w:sz w:val="16"/>
                <w:szCs w:val="16"/>
              </w:rPr>
              <w:lastRenderedPageBreak/>
              <w:t>ception and mobility/strengthening, main aerobic/strength/agility/speed/power component, and cool-down/stretching/light walking.</w:t>
            </w:r>
          </w:p>
        </w:tc>
        <w:tc>
          <w:tcPr>
            <w:tcW w:w="986" w:type="dxa"/>
            <w:vAlign w:val="center"/>
          </w:tcPr>
          <w:p w14:paraId="31D14CF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8 weeks, 3 sessions/week, 45–60 min/session, delivered remotely by phone/computer video call. 24 planned sessions. Exercise intensity targeted Borg 6–8/10. Eight participants in TG discontinued intervention, leaving 16 analyzed.</w:t>
            </w:r>
          </w:p>
        </w:tc>
        <w:tc>
          <w:tcPr>
            <w:tcW w:w="1007" w:type="dxa"/>
            <w:vAlign w:val="center"/>
          </w:tcPr>
          <w:p w14:paraId="4582C3F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Control group, n=23 randomized/16 analyzed. No physical training programme; both groups received remote health-education lectures.</w:t>
            </w:r>
          </w:p>
        </w:tc>
        <w:tc>
          <w:tcPr>
            <w:tcW w:w="678" w:type="dxa"/>
            <w:vAlign w:val="center"/>
          </w:tcPr>
          <w:p w14:paraId="44A5074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678" w:type="dxa"/>
            <w:vAlign w:val="center"/>
          </w:tcPr>
          <w:p w14:paraId="0A1587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770CC4C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3FE6B24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Handgrip strength: TG 22.93 ± 10 → 30.00 ± 10 kg; CG 22.40 ± 8 → 28.76 ± 11 kg. Between-group difference in change was not statistically significant.</w:t>
            </w:r>
          </w:p>
        </w:tc>
        <w:tc>
          <w:tcPr>
            <w:tcW w:w="608" w:type="dxa"/>
            <w:vAlign w:val="center"/>
          </w:tcPr>
          <w:p w14:paraId="10533F4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TG: 470 ± 77 → 591 ± 60 m; change 122 ± 64 m, p&lt;0.05. CG: 486 ± 111 → 494 ± 116 m; change 8 ± 76 m, not significant. Between-group p=0.01.</w:t>
            </w:r>
          </w:p>
        </w:tc>
        <w:tc>
          <w:tcPr>
            <w:tcW w:w="1006" w:type="dxa"/>
            <w:vAlign w:val="center"/>
          </w:tcPr>
          <w:p w14:paraId="64AEE0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Depression: significantly reduced in TG (p=0.02) and between-group difference p&lt;0.001/0.00. Anxiety: reduced within TG (p=0.03), but between-group difference was not significant (p=0.26).</w:t>
            </w:r>
          </w:p>
        </w:tc>
        <w:tc>
          <w:tcPr>
            <w:tcW w:w="1214" w:type="dxa"/>
            <w:vAlign w:val="center"/>
          </w:tcPr>
          <w:p w14:paraId="23F5F50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specific adverse events reported. Attrition occurred due to surgery (n=1), medical restrictions (n=3) and dropout (n=4) in TG; physical activity during study (n=1) and dropout (n=6) in CG.</w:t>
            </w:r>
          </w:p>
        </w:tc>
        <w:tc>
          <w:tcPr>
            <w:tcW w:w="1451" w:type="dxa"/>
            <w:vAlign w:val="center"/>
          </w:tcPr>
          <w:p w14:paraId="2DC5C67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Telerehabilitation significantly improved physical fitness and functional capacity, particularly flex-arm, 30-s sit-to-stand, Get Up and Go and 6MWT. Depression improved significantly compared with control, whereas anxiety improved within TG but not significantly between groups. Handgrip improved in both groups without significant between-group difference.</w:t>
            </w:r>
          </w:p>
        </w:tc>
      </w:tr>
      <w:tr w:rsidR="0068602E" w:rsidRPr="00EF545D" w14:paraId="2EFA0C05" w14:textId="77777777" w:rsidTr="00D17C32">
        <w:tc>
          <w:tcPr>
            <w:tcW w:w="404" w:type="dxa"/>
            <w:vAlign w:val="center"/>
          </w:tcPr>
          <w:p w14:paraId="5368FCD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32</w:t>
            </w:r>
          </w:p>
        </w:tc>
        <w:tc>
          <w:tcPr>
            <w:tcW w:w="946" w:type="dxa"/>
            <w:vAlign w:val="center"/>
          </w:tcPr>
          <w:p w14:paraId="7DB7C77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del Corral et al. (2023), Spain</w:t>
            </w:r>
          </w:p>
          <w:p w14:paraId="0E6D50B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[50]</w:t>
            </w:r>
          </w:p>
        </w:tc>
        <w:tc>
          <w:tcPr>
            <w:tcW w:w="772" w:type="dxa"/>
            <w:vAlign w:val="center"/>
          </w:tcPr>
          <w:p w14:paraId="12BE66C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Parallel 4-arm double-blinded RCT; participants recruited through long-COVID support organisations; baseline and follow-up assessments conducted face-to-face, intervention delivered at home with telerehabilitation</w:t>
            </w:r>
          </w:p>
        </w:tc>
        <w:tc>
          <w:tcPr>
            <w:tcW w:w="873" w:type="dxa"/>
            <w:vAlign w:val="center"/>
          </w:tcPr>
          <w:p w14:paraId="2D7ABD0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88 randomized, 22/group: IMT n=22; IMT-sham n=22; RMT n=22; RMT-sham n=22</w:t>
            </w:r>
          </w:p>
        </w:tc>
        <w:tc>
          <w:tcPr>
            <w:tcW w:w="846" w:type="dxa"/>
            <w:vAlign w:val="center"/>
          </w:tcPr>
          <w:p w14:paraId="58B1DD3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COVID-19 survivors &gt;18 years with fatigue and dyspnoea persisting ≥3 months after confirmed COVID-19. Mean age approximately 45–49 years across groups; predominantly female. All participants had dyspnoea and fatigue at baseline.</w:t>
            </w:r>
          </w:p>
        </w:tc>
        <w:tc>
          <w:tcPr>
            <w:tcW w:w="973" w:type="dxa"/>
            <w:vAlign w:val="center"/>
          </w:tcPr>
          <w:p w14:paraId="3A7FE7D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Home-based respiratory muscle training (RMT)</w:t>
            </w:r>
          </w:p>
        </w:tc>
        <w:tc>
          <w:tcPr>
            <w:tcW w:w="933" w:type="dxa"/>
            <w:vAlign w:val="center"/>
          </w:tcPr>
          <w:p w14:paraId="57ECDAD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Threshold-pressure respiratory muscle training. 40 min/day, divided into two 20-min sessions, 6 days/week for 8 weeks. RMT trained both inspiratory and expiratory muscles; IMT trained inspiratory muscles only. Training load individually tailored and progressively increased. Sham devices provided 0 cmH₂O resistance.</w:t>
            </w:r>
          </w:p>
        </w:tc>
        <w:tc>
          <w:tcPr>
            <w:tcW w:w="986" w:type="dxa"/>
            <w:vAlign w:val="center"/>
          </w:tcPr>
          <w:p w14:paraId="3493965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Supervised through videoconferencing once weekly by a physiotherapist. Participants shared sessions across real/sham groups to equalize attention. Training diaries showed &gt;95% completion in all groups.</w:t>
            </w:r>
          </w:p>
        </w:tc>
        <w:tc>
          <w:tcPr>
            <w:tcW w:w="1007" w:type="dxa"/>
            <w:vAlign w:val="center"/>
          </w:tcPr>
          <w:p w14:paraId="1CFB383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IMT-sham and RMT-sham devices; the study also directly compared RMT with IMT.</w:t>
            </w:r>
          </w:p>
        </w:tc>
        <w:tc>
          <w:tcPr>
            <w:tcW w:w="678" w:type="dxa"/>
            <w:vAlign w:val="center"/>
          </w:tcPr>
          <w:p w14:paraId="6CA92B3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RMT: 3.1 ± 0.8 L → 3.1 ± 0.8 L; no significant group×time interaction. IMT: 2.9 ± 0.5 → 3.0 ± 0.6 L; RMT-sham: 3.1 ± 0.6 → 3.1 ± 0.6 L.</w:t>
            </w:r>
          </w:p>
        </w:tc>
        <w:tc>
          <w:tcPr>
            <w:tcW w:w="678" w:type="dxa"/>
            <w:vAlign w:val="center"/>
          </w:tcPr>
          <w:p w14:paraId="30EBB98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RMT: 4.1 ± 0.9 L → 4.2 ± 1.0 L; no significant group×time interaction. IMT: 3.8 ± 0.7 → 3.9 ± 0.8 L; RMT-sham: 4.0 ± 0.7 → 4.1 ± 0.8 L.</w:t>
            </w:r>
          </w:p>
        </w:tc>
        <w:tc>
          <w:tcPr>
            <w:tcW w:w="714" w:type="dxa"/>
            <w:vAlign w:val="center"/>
          </w:tcPr>
          <w:p w14:paraId="5E38E3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4777E5B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MIP: RMT 90.0 ± 22.1 → 123.5 ± 28.1 cmH₂O; significant group×time interaction, p&lt;0.001. MEP: RMT 113.1 ± 32.0 → 154.9 ± 38.7 cmH₂O; significant group×time interaction, p&lt;0.001. IME: RMT 180.8 ± 96.9 → 459.3 ± 175.4 s; p&lt;0.001. RMT produced large improvements compared with sham groups.</w:t>
            </w:r>
          </w:p>
        </w:tc>
        <w:tc>
          <w:tcPr>
            <w:tcW w:w="608" w:type="dxa"/>
            <w:vAlign w:val="center"/>
          </w:tcPr>
          <w:p w14:paraId="5DB38EE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 the study used the Ruffier test for exercise tolerance rather than 6MWT. Exercise tolerance did not show a significant group×time interaction.</w:t>
            </w:r>
          </w:p>
        </w:tc>
        <w:tc>
          <w:tcPr>
            <w:tcW w:w="1006" w:type="dxa"/>
            <w:vAlign w:val="center"/>
          </w:tcPr>
          <w:p w14:paraId="4C7DA7A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EQ-5D-5L: RMT 0.615 ± 0.253 → 0.827 ± 0.203; significantly better than RMT-sham at post-intervention, adjusted difference 0.151 (95% CI 0.029–0.273), d=1.0. EQ-5D VAS: RMT 60.2 ± 15.5 → 79.9 ± 14.3, adjusted difference vs RMT-sham 16.3 (4.8–27.8), d=0.9. Dyspnoea also improved significantly in RMT.</w:t>
            </w:r>
          </w:p>
        </w:tc>
        <w:tc>
          <w:tcPr>
            <w:tcW w:w="1214" w:type="dxa"/>
            <w:vAlign w:val="center"/>
          </w:tcPr>
          <w:p w14:paraId="0B94AD6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 participants discontinued during the study. Only one adverse event was reported (symptom exacerbation) and occurred in the IMT-sham group; authors did not attribute it to the intervention. Compliance exceeded 95%.</w:t>
            </w:r>
          </w:p>
        </w:tc>
        <w:tc>
          <w:tcPr>
            <w:tcW w:w="1451" w:type="dxa"/>
            <w:vAlign w:val="center"/>
          </w:tcPr>
          <w:p w14:paraId="61CDCB3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RMT significantly improved HRQoL, respiratory muscle strength/endurance, lower-limb strength, expiratory muscle strength and PEF. However, it did not significantly improve exercise tolerance, FEV₁ or FVC. The RMT group had approximately 5–6-fold greater reduction in dyspnoea than the sham groups.</w:t>
            </w:r>
          </w:p>
        </w:tc>
      </w:tr>
      <w:tr w:rsidR="0068602E" w:rsidRPr="00EF545D" w14:paraId="076D97B6" w14:textId="77777777" w:rsidTr="00D17C32">
        <w:tc>
          <w:tcPr>
            <w:tcW w:w="404" w:type="dxa"/>
            <w:vAlign w:val="center"/>
          </w:tcPr>
          <w:p w14:paraId="49ABEC2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33</w:t>
            </w:r>
          </w:p>
        </w:tc>
        <w:tc>
          <w:tcPr>
            <w:tcW w:w="946" w:type="dxa"/>
            <w:vAlign w:val="center"/>
          </w:tcPr>
          <w:p w14:paraId="638EF0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Bagherzadeh-Rahmani et al. (2023), Iran</w:t>
            </w:r>
          </w:p>
          <w:p w14:paraId="7D9EEDA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w:t>
            </w:r>
          </w:p>
        </w:tc>
        <w:tc>
          <w:tcPr>
            <w:tcW w:w="772" w:type="dxa"/>
            <w:vAlign w:val="center"/>
          </w:tcPr>
          <w:p w14:paraId="55107E2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trial; pretest–posttest design. Conducted among COVID-19 survivors recruited from Imam Khomeini Hospital, Amol, Iran</w:t>
            </w:r>
          </w:p>
        </w:tc>
        <w:tc>
          <w:tcPr>
            <w:tcW w:w="873" w:type="dxa"/>
            <w:vAlign w:val="center"/>
          </w:tcPr>
          <w:p w14:paraId="74C39D1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48 recruited; 45 completed. Pilates n=15, Aqua-Pilates n=15, Control n=15</w:t>
            </w:r>
          </w:p>
        </w:tc>
        <w:tc>
          <w:tcPr>
            <w:tcW w:w="846" w:type="dxa"/>
            <w:vAlign w:val="center"/>
          </w:tcPr>
          <w:p w14:paraId="0F6D704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Adults with previous COVID-19. All had ≥50% pulmonary involvement, ICU admission ≥3 days and non-invasive respiratory assistance. Participants reported dyspnoea and fatigue during daily activities after discharge. Mean age 49.9 ± 6.4 years</w:t>
            </w:r>
          </w:p>
        </w:tc>
        <w:tc>
          <w:tcPr>
            <w:tcW w:w="973" w:type="dxa"/>
            <w:vAlign w:val="center"/>
          </w:tcPr>
          <w:p w14:paraId="74799BE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Pilates training and Aqua-Pilates</w:t>
            </w:r>
          </w:p>
        </w:tc>
        <w:tc>
          <w:tcPr>
            <w:tcW w:w="933" w:type="dxa"/>
            <w:vAlign w:val="center"/>
          </w:tcPr>
          <w:p w14:paraId="785FB32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 weeks, 3 sessions/week. Sessions included 10–15 min warm-up, 40 min main exercise, and 5–10 min cool-down. 5–10 repetitions/exercise with 1-min rest. Progressive beginner (weeks 1–3), intermediate (weeks 4–6), advanced (weeks 7–8). Main exercise RPE 14–16/20. Aqua-Pilates was performed in 120–140 cm deep water.</w:t>
            </w:r>
          </w:p>
        </w:tc>
        <w:tc>
          <w:tcPr>
            <w:tcW w:w="986" w:type="dxa"/>
            <w:vAlign w:val="center"/>
          </w:tcPr>
          <w:p w14:paraId="0A68DA4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Supervised by 2 certified Pilates instructors and 2 assistants; Aqua-Pilates also had a certified lifeguard. Training occurred under COVID-19 safety protocols. Three participants withdrew, leaving 45 completers.</w:t>
            </w:r>
          </w:p>
        </w:tc>
        <w:tc>
          <w:tcPr>
            <w:tcW w:w="1007" w:type="dxa"/>
            <w:vAlign w:val="center"/>
          </w:tcPr>
          <w:p w14:paraId="738A9A0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Usual/control group, which received no prescribed exercise during the study</w:t>
            </w:r>
          </w:p>
        </w:tc>
        <w:tc>
          <w:tcPr>
            <w:tcW w:w="678" w:type="dxa"/>
            <w:vAlign w:val="center"/>
          </w:tcPr>
          <w:p w14:paraId="2744D0C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Pilates: increased by 32.3%; Aqua-Pilates: increased by 34.7%; Control: 3.0%. Both experimental groups significantly improved versus control.</w:t>
            </w:r>
          </w:p>
        </w:tc>
        <w:tc>
          <w:tcPr>
            <w:tcW w:w="678" w:type="dxa"/>
            <w:vAlign w:val="center"/>
          </w:tcPr>
          <w:p w14:paraId="1609EC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Pilates: increased 21.4%; Aqua-Pilates: 22.1%; Control: 1.9%. Both experimental groups significantly improved versus control.</w:t>
            </w:r>
          </w:p>
        </w:tc>
        <w:tc>
          <w:tcPr>
            <w:tcW w:w="714" w:type="dxa"/>
            <w:vAlign w:val="center"/>
          </w:tcPr>
          <w:p w14:paraId="15CABF1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Authors explicitly stated that oxygen saturation was not controlled/measured as an outcome limitation.</w:t>
            </w:r>
          </w:p>
        </w:tc>
        <w:tc>
          <w:tcPr>
            <w:tcW w:w="832" w:type="dxa"/>
            <w:vAlign w:val="center"/>
          </w:tcPr>
          <w:p w14:paraId="1E12697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No objective respiratory muscle strength measure was reported.</w:t>
            </w:r>
          </w:p>
        </w:tc>
        <w:tc>
          <w:tcPr>
            <w:tcW w:w="608" w:type="dxa"/>
            <w:vAlign w:val="center"/>
          </w:tcPr>
          <w:p w14:paraId="4364E15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1006" w:type="dxa"/>
            <w:vAlign w:val="center"/>
          </w:tcPr>
          <w:p w14:paraId="1025515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WHOQOL-BREF. Significant improvements in general, physical, mental, environmental and social QoL in the experimental groups. Aqua-Pilates generally produced greater improvements than standard Pilates.</w:t>
            </w:r>
          </w:p>
        </w:tc>
        <w:tc>
          <w:tcPr>
            <w:tcW w:w="1214" w:type="dxa"/>
            <w:vAlign w:val="center"/>
          </w:tcPr>
          <w:p w14:paraId="02AD8FA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Three participants withdrew: one Pilates, one Aqua-Pilates and one control. Study termination criteria included fever &gt;37.5°C, weakness, discomfort, dyspnoea or excessive RPE. No specific adverse-event outcome was reported.</w:t>
            </w:r>
          </w:p>
        </w:tc>
        <w:tc>
          <w:tcPr>
            <w:tcW w:w="1451" w:type="dxa"/>
            <w:vAlign w:val="center"/>
          </w:tcPr>
          <w:p w14:paraId="576CE3D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Both Pilates and Aqua-Pilates significantly improved FVC, FEV₁, FEV₁/FVC and QoL compared with control. Aqua-Pilates showed numerically greater improvements and significantly greater QoL responses than standard Pilates, although the pulmonary differences between the two active groups were not statistically significant.</w:t>
            </w:r>
          </w:p>
        </w:tc>
      </w:tr>
      <w:tr w:rsidR="0068602E" w:rsidRPr="00EF545D" w14:paraId="7795E6E5" w14:textId="77777777" w:rsidTr="00D17C32">
        <w:tc>
          <w:tcPr>
            <w:tcW w:w="404" w:type="dxa"/>
            <w:vAlign w:val="center"/>
          </w:tcPr>
          <w:p w14:paraId="1261DB1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34</w:t>
            </w:r>
          </w:p>
        </w:tc>
        <w:tc>
          <w:tcPr>
            <w:tcW w:w="946" w:type="dxa"/>
            <w:vAlign w:val="center"/>
          </w:tcPr>
          <w:p w14:paraId="4F1FB1A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de Moraes Sirydakis et al. </w:t>
            </w:r>
            <w:r w:rsidRPr="00EF545D">
              <w:rPr>
                <w:rFonts w:ascii="Times New Roman" w:hAnsi="Times New Roman" w:cs="Times New Roman"/>
                <w:sz w:val="16"/>
                <w:szCs w:val="16"/>
              </w:rPr>
              <w:lastRenderedPageBreak/>
              <w:t>(2024), Brazil</w:t>
            </w:r>
          </w:p>
          <w:p w14:paraId="0DEEACB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[52]</w:t>
            </w:r>
          </w:p>
        </w:tc>
        <w:tc>
          <w:tcPr>
            <w:tcW w:w="772" w:type="dxa"/>
            <w:vAlign w:val="center"/>
          </w:tcPr>
          <w:p w14:paraId="1864643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Randomized controll</w:t>
            </w:r>
            <w:r w:rsidRPr="00EF545D">
              <w:rPr>
                <w:rFonts w:ascii="Times New Roman" w:hAnsi="Times New Roman" w:cs="Times New Roman"/>
                <w:sz w:val="16"/>
                <w:szCs w:val="16"/>
              </w:rPr>
              <w:lastRenderedPageBreak/>
              <w:t>ed clinical trial / university rehabilitation centre, Florianópolis, Brazil</w:t>
            </w:r>
          </w:p>
        </w:tc>
        <w:tc>
          <w:tcPr>
            <w:tcW w:w="873" w:type="dxa"/>
            <w:vAlign w:val="center"/>
          </w:tcPr>
          <w:p w14:paraId="5E6537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40 randomized: </w:t>
            </w:r>
            <w:r w:rsidRPr="00EF545D">
              <w:rPr>
                <w:rFonts w:ascii="Times New Roman" w:hAnsi="Times New Roman" w:cs="Times New Roman"/>
                <w:sz w:val="16"/>
                <w:szCs w:val="16"/>
              </w:rPr>
              <w:lastRenderedPageBreak/>
              <w:t>intervention 21, control 19; ITT: intervention 21, control 18; PP: intervention 11, control 15</w:t>
            </w:r>
          </w:p>
        </w:tc>
        <w:tc>
          <w:tcPr>
            <w:tcW w:w="846" w:type="dxa"/>
            <w:vAlign w:val="center"/>
          </w:tcPr>
          <w:p w14:paraId="6C1E229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Adults and older adults </w:t>
            </w:r>
            <w:r w:rsidRPr="00EF545D">
              <w:rPr>
                <w:rFonts w:ascii="Times New Roman" w:hAnsi="Times New Roman" w:cs="Times New Roman"/>
                <w:sz w:val="16"/>
                <w:szCs w:val="16"/>
              </w:rPr>
              <w:lastRenderedPageBreak/>
              <w:t>&gt;18 years, both sexes, previously infected with moderate-to-severe COVID-19; post-COVID symptoms including fatigue, dyspnoea, memory loss and myalgia; most had previous ICU admission. Mean age: IG 47.61 ± 12.13 years; CG 54.05 ± 11.43 years</w:t>
            </w:r>
          </w:p>
        </w:tc>
        <w:tc>
          <w:tcPr>
            <w:tcW w:w="973" w:type="dxa"/>
            <w:vAlign w:val="center"/>
          </w:tcPr>
          <w:p w14:paraId="5B21988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Multicomponent physical </w:t>
            </w:r>
            <w:r w:rsidRPr="00EF545D">
              <w:rPr>
                <w:rFonts w:ascii="Times New Roman" w:hAnsi="Times New Roman" w:cs="Times New Roman"/>
                <w:sz w:val="16"/>
                <w:szCs w:val="16"/>
              </w:rPr>
              <w:lastRenderedPageBreak/>
              <w:t>training: balance + aerobic + strength + stretching</w:t>
            </w:r>
          </w:p>
        </w:tc>
        <w:tc>
          <w:tcPr>
            <w:tcW w:w="933" w:type="dxa"/>
            <w:vAlign w:val="center"/>
          </w:tcPr>
          <w:p w14:paraId="32E54A3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11 weeks: 1 familiariza</w:t>
            </w:r>
            <w:r w:rsidRPr="00EF545D">
              <w:rPr>
                <w:rFonts w:ascii="Times New Roman" w:hAnsi="Times New Roman" w:cs="Times New Roman"/>
                <w:sz w:val="16"/>
                <w:szCs w:val="16"/>
              </w:rPr>
              <w:lastRenderedPageBreak/>
              <w:t>tion week + 10 weeks training; 2 sessions/week, approximately 60 min/session. Balance 10 min, aerobic 25 min, strength 15–20 min and stretching 5 min. Aerobic and strength components progressed across the programme; RPE approximately 12–13</w:t>
            </w:r>
          </w:p>
        </w:tc>
        <w:tc>
          <w:tcPr>
            <w:tcW w:w="986" w:type="dxa"/>
            <w:vAlign w:val="center"/>
          </w:tcPr>
          <w:p w14:paraId="215BD06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Face-to-face supervised </w:t>
            </w:r>
            <w:r w:rsidRPr="00EF545D">
              <w:rPr>
                <w:rFonts w:ascii="Times New Roman" w:hAnsi="Times New Roman" w:cs="Times New Roman"/>
                <w:sz w:val="16"/>
                <w:szCs w:val="16"/>
              </w:rPr>
              <w:lastRenderedPageBreak/>
              <w:t>training at the UFSC Sports Center by 3 experienced instructors, assisted by Physical Education students. Mean attendance among 20 IG participants was 73% (16/22 sessions); 11 (53.2%) completed &gt;70% of sessions</w:t>
            </w:r>
          </w:p>
        </w:tc>
        <w:tc>
          <w:tcPr>
            <w:tcW w:w="1007" w:type="dxa"/>
            <w:vAlign w:val="center"/>
          </w:tcPr>
          <w:p w14:paraId="5A57E0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Physical activity recommend</w:t>
            </w:r>
            <w:r w:rsidRPr="00EF545D">
              <w:rPr>
                <w:rFonts w:ascii="Times New Roman" w:hAnsi="Times New Roman" w:cs="Times New Roman"/>
                <w:sz w:val="16"/>
                <w:szCs w:val="16"/>
              </w:rPr>
              <w:lastRenderedPageBreak/>
              <w:t>ations: face-to-face guidance using the Brazilian Guide to Physical Activity; no supervised exercise programme</w:t>
            </w:r>
          </w:p>
        </w:tc>
        <w:tc>
          <w:tcPr>
            <w:tcW w:w="678" w:type="dxa"/>
            <w:vAlign w:val="center"/>
          </w:tcPr>
          <w:p w14:paraId="784304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NR</w:t>
            </w:r>
          </w:p>
        </w:tc>
        <w:tc>
          <w:tcPr>
            <w:tcW w:w="678" w:type="dxa"/>
            <w:vAlign w:val="center"/>
          </w:tcPr>
          <w:p w14:paraId="3E18B7E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714" w:type="dxa"/>
            <w:vAlign w:val="center"/>
          </w:tcPr>
          <w:p w14:paraId="5554B1A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as an outcom</w:t>
            </w:r>
            <w:r w:rsidRPr="00EF545D">
              <w:rPr>
                <w:rFonts w:ascii="Times New Roman" w:hAnsi="Times New Roman" w:cs="Times New Roman"/>
                <w:sz w:val="16"/>
                <w:szCs w:val="16"/>
              </w:rPr>
              <w:lastRenderedPageBreak/>
              <w:t>e; SpO₂ was monitored before, during and after exercise sessions for safety</w:t>
            </w:r>
          </w:p>
        </w:tc>
        <w:tc>
          <w:tcPr>
            <w:tcW w:w="832" w:type="dxa"/>
            <w:vAlign w:val="center"/>
          </w:tcPr>
          <w:p w14:paraId="2D3104A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NR</w:t>
            </w:r>
          </w:p>
        </w:tc>
        <w:tc>
          <w:tcPr>
            <w:tcW w:w="608" w:type="dxa"/>
            <w:vAlign w:val="center"/>
          </w:tcPr>
          <w:p w14:paraId="4C8B529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 in this secon</w:t>
            </w:r>
            <w:r w:rsidRPr="00EF545D">
              <w:rPr>
                <w:rFonts w:ascii="Times New Roman" w:hAnsi="Times New Roman" w:cs="Times New Roman"/>
                <w:sz w:val="16"/>
                <w:szCs w:val="16"/>
              </w:rPr>
              <w:lastRenderedPageBreak/>
              <w:t>dary-analysis paper. The authors state that the 6MWT was the primary outcome of the parent CORE-study, but this paper analysed secondary outcomes</w:t>
            </w:r>
          </w:p>
        </w:tc>
        <w:tc>
          <w:tcPr>
            <w:tcW w:w="1006" w:type="dxa"/>
            <w:vAlign w:val="center"/>
          </w:tcPr>
          <w:p w14:paraId="17ECCE0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Quality of life: EQ-5D-5L; ITT </w:t>
            </w:r>
            <w:r w:rsidRPr="00EF545D">
              <w:rPr>
                <w:rFonts w:ascii="Times New Roman" w:hAnsi="Times New Roman" w:cs="Times New Roman"/>
                <w:sz w:val="16"/>
                <w:szCs w:val="16"/>
              </w:rPr>
              <w:lastRenderedPageBreak/>
              <w:t>IG 10.70 ± 0.77 → 8.83 ± 0.82, p&lt;0.001; CG 10.11 ± 0.81 → 11.00 ± 1.11, p=0.408; significant time×group interaction p=0.015. Sleep quality: PSQI IG 8.80 ± 0.94 → 6.47 ± 0.88, p&lt;0.001; CG 7.00 ± 1.04 → 7.21 ± 1.20, p=0.768; interaction p=0.008. Depressive symptoms: PHQ-9 IG 8.89 ± 1.14 → 4.71 ± 1.22; CG 9.06 ± 1.68 → 6.92 ± 1.80; both improved over time, interaction p=0.235. Health perception: IG 63.75 ± 3.75 → 70.00 ± 4.37; CG 58.33 ± 4.15 → 61.25 ± 4.93; no significant interaction, p=0.627</w:t>
            </w:r>
          </w:p>
        </w:tc>
        <w:tc>
          <w:tcPr>
            <w:tcW w:w="1214" w:type="dxa"/>
            <w:vAlign w:val="center"/>
          </w:tcPr>
          <w:p w14:paraId="72A9254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Participants generally tolerated the </w:t>
            </w:r>
            <w:r w:rsidRPr="00EF545D">
              <w:rPr>
                <w:rFonts w:ascii="Times New Roman" w:hAnsi="Times New Roman" w:cs="Times New Roman"/>
                <w:sz w:val="16"/>
                <w:szCs w:val="16"/>
              </w:rPr>
              <w:lastRenderedPageBreak/>
              <w:t>programme. Adverse events included sudden BP reduction and blood-glucose dysregulation in some IG participants; CG events included pain, altered clinical examination findings and depression. No serious safety outcome or hospital/readmission outcome reported</w:t>
            </w:r>
          </w:p>
        </w:tc>
        <w:tc>
          <w:tcPr>
            <w:tcW w:w="1451" w:type="dxa"/>
            <w:vAlign w:val="center"/>
          </w:tcPr>
          <w:p w14:paraId="5E08183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 xml:space="preserve">Multicomponent training was superior to </w:t>
            </w:r>
            <w:r w:rsidRPr="00EF545D">
              <w:rPr>
                <w:rFonts w:ascii="Times New Roman" w:hAnsi="Times New Roman" w:cs="Times New Roman"/>
                <w:sz w:val="16"/>
                <w:szCs w:val="16"/>
              </w:rPr>
              <w:lastRenderedPageBreak/>
              <w:t>physical-activity recommendations for improving QoL and sleep quality. Both approaches reduced depressive symptoms, while neither significantly improved health perception.</w:t>
            </w:r>
          </w:p>
        </w:tc>
      </w:tr>
      <w:tr w:rsidR="0068602E" w:rsidRPr="00EF545D" w14:paraId="2EC9A712" w14:textId="77777777" w:rsidTr="00D17C32">
        <w:tc>
          <w:tcPr>
            <w:tcW w:w="404" w:type="dxa"/>
            <w:vAlign w:val="center"/>
          </w:tcPr>
          <w:p w14:paraId="4CC7D52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35</w:t>
            </w:r>
          </w:p>
        </w:tc>
        <w:tc>
          <w:tcPr>
            <w:tcW w:w="946" w:type="dxa"/>
            <w:vAlign w:val="center"/>
          </w:tcPr>
          <w:p w14:paraId="2948293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Okan et al. (2022), Turkey</w:t>
            </w:r>
          </w:p>
          <w:p w14:paraId="506298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[53]</w:t>
            </w:r>
          </w:p>
        </w:tc>
        <w:tc>
          <w:tcPr>
            <w:tcW w:w="772" w:type="dxa"/>
            <w:vAlign w:val="center"/>
          </w:tcPr>
          <w:p w14:paraId="7190689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Randomized controlled study / telemedicine-based intervention</w:t>
            </w:r>
          </w:p>
        </w:tc>
        <w:tc>
          <w:tcPr>
            <w:tcW w:w="873" w:type="dxa"/>
            <w:vAlign w:val="center"/>
          </w:tcPr>
          <w:p w14:paraId="4C08B20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52: intervention n=26, control n=26</w:t>
            </w:r>
          </w:p>
        </w:tc>
        <w:tc>
          <w:tcPr>
            <w:tcW w:w="846" w:type="dxa"/>
            <w:vAlign w:val="center"/>
          </w:tcPr>
          <w:p w14:paraId="04A1D21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Dyspneic post-COVID-19 individuals</w:t>
            </w:r>
          </w:p>
        </w:tc>
        <w:tc>
          <w:tcPr>
            <w:tcW w:w="973" w:type="dxa"/>
            <w:vAlign w:val="center"/>
          </w:tcPr>
          <w:p w14:paraId="4F0499C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Breathing exercises delivered by telemedicine</w:t>
            </w:r>
          </w:p>
        </w:tc>
        <w:tc>
          <w:tcPr>
            <w:tcW w:w="933" w:type="dxa"/>
            <w:vAlign w:val="center"/>
          </w:tcPr>
          <w:p w14:paraId="7E8BA18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Breathing exercises performed 3 times/day for 5 weeks; one session each week was performed via telemedicine</w:t>
            </w:r>
          </w:p>
        </w:tc>
        <w:tc>
          <w:tcPr>
            <w:tcW w:w="986" w:type="dxa"/>
            <w:vAlign w:val="center"/>
          </w:tcPr>
          <w:p w14:paraId="4DC0DA7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Telemedicine-based; one supervised telemedicine session/week; home exercises performed independently between sessions; adherence rate NR</w:t>
            </w:r>
          </w:p>
        </w:tc>
        <w:tc>
          <w:tcPr>
            <w:tcW w:w="1007" w:type="dxa"/>
            <w:vAlign w:val="center"/>
          </w:tcPr>
          <w:p w14:paraId="7A8ABF7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Brochure explaining the breathing exercises, n=26</w:t>
            </w:r>
          </w:p>
        </w:tc>
        <w:tc>
          <w:tcPr>
            <w:tcW w:w="678" w:type="dxa"/>
            <w:vAlign w:val="center"/>
          </w:tcPr>
          <w:p w14:paraId="37DFC15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Intervention: posttest FEV₁ significantly higher than pretest, p&lt;0.001. Control: no significant pre-post difference</w:t>
            </w:r>
          </w:p>
        </w:tc>
        <w:tc>
          <w:tcPr>
            <w:tcW w:w="678" w:type="dxa"/>
            <w:vAlign w:val="center"/>
          </w:tcPr>
          <w:p w14:paraId="1E0A39A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Intervention: posttest FVC significantly higher than pretest, p&lt;0.001. Control: no significant difference</w:t>
            </w:r>
          </w:p>
        </w:tc>
        <w:tc>
          <w:tcPr>
            <w:tcW w:w="714" w:type="dxa"/>
            <w:vAlign w:val="center"/>
          </w:tcPr>
          <w:p w14:paraId="09524A8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NR</w:t>
            </w:r>
          </w:p>
        </w:tc>
        <w:tc>
          <w:tcPr>
            <w:tcW w:w="832" w:type="dxa"/>
            <w:vAlign w:val="center"/>
          </w:tcPr>
          <w:p w14:paraId="35010F5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MVV: posttest significantly higher than pretest in intervention group, p&lt;0.001; no significant difference in control</w:t>
            </w:r>
          </w:p>
        </w:tc>
        <w:tc>
          <w:tcPr>
            <w:tcW w:w="608" w:type="dxa"/>
            <w:vAlign w:val="center"/>
          </w:tcPr>
          <w:p w14:paraId="04B6DD6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Intervention: increased by 54.27 m; Control: increased by 4.69 m</w:t>
            </w:r>
          </w:p>
        </w:tc>
        <w:tc>
          <w:tcPr>
            <w:tcW w:w="1006" w:type="dxa"/>
            <w:vAlign w:val="center"/>
          </w:tcPr>
          <w:p w14:paraId="76581C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St George's Respiratory Questionnaire (SGRQ): quality of life improved in the intervention group; pulmonary function and exercise capacity also improved</w:t>
            </w:r>
          </w:p>
        </w:tc>
        <w:tc>
          <w:tcPr>
            <w:tcW w:w="1214" w:type="dxa"/>
            <w:vAlign w:val="center"/>
          </w:tcPr>
          <w:p w14:paraId="2D3D8B7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 adverse events reported</w:t>
            </w:r>
          </w:p>
        </w:tc>
        <w:tc>
          <w:tcPr>
            <w:tcW w:w="1451" w:type="dxa"/>
            <w:vAlign w:val="center"/>
          </w:tcPr>
          <w:p w14:paraId="2D1C392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Telemedicine-delivered breathing exercises improved pulmonary function, quality of life and exercise capacity in dyspneic post-COVID-19 individuals compared with the control condition.</w:t>
            </w:r>
          </w:p>
        </w:tc>
      </w:tr>
    </w:tbl>
    <w:p w14:paraId="091B3AD4" w14:textId="77777777" w:rsidR="0068602E" w:rsidRDefault="0068602E" w:rsidP="0068602E"/>
    <w:p w14:paraId="74AC8FF5" w14:textId="77777777" w:rsidR="0068602E" w:rsidRDefault="0068602E" w:rsidP="0068602E">
      <w:pPr>
        <w:pStyle w:val="CommentText"/>
        <w:spacing w:after="0" w:line="480" w:lineRule="auto"/>
        <w:jc w:val="both"/>
        <w:rPr>
          <w:rFonts w:ascii="Times New Roman" w:hAnsi="Times New Roman" w:cs="Times New Roman"/>
          <w:b/>
          <w:bCs/>
          <w:sz w:val="24"/>
          <w:szCs w:val="24"/>
          <w:lang w:val="en-US"/>
        </w:rPr>
      </w:pPr>
    </w:p>
    <w:p w14:paraId="1B1BAC02" w14:textId="77777777" w:rsidR="0068602E" w:rsidRDefault="0068602E" w:rsidP="0068602E">
      <w:pPr>
        <w:pStyle w:val="CommentText"/>
        <w:spacing w:after="0" w:line="480" w:lineRule="auto"/>
        <w:jc w:val="both"/>
        <w:rPr>
          <w:rFonts w:ascii="Times New Roman" w:hAnsi="Times New Roman" w:cs="Times New Roman"/>
          <w:b/>
          <w:bCs/>
          <w:sz w:val="24"/>
          <w:szCs w:val="24"/>
          <w:lang w:val="en-US"/>
        </w:rPr>
      </w:pPr>
    </w:p>
    <w:p w14:paraId="0FA281E6" w14:textId="77777777" w:rsidR="0068602E" w:rsidRPr="00826342" w:rsidRDefault="0068602E" w:rsidP="0068602E">
      <w:pPr>
        <w:pStyle w:val="CommentText"/>
        <w:spacing w:after="0" w:line="480" w:lineRule="auto"/>
        <w:jc w:val="both"/>
        <w:rPr>
          <w:rFonts w:ascii="Times New Roman" w:hAnsi="Times New Roman" w:cs="Times New Roman"/>
          <w:b/>
          <w:bCs/>
          <w:sz w:val="24"/>
          <w:szCs w:val="24"/>
          <w:lang w:val="en-US"/>
        </w:rPr>
      </w:pPr>
      <w:r w:rsidRPr="0082634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2</w:t>
      </w:r>
      <w:r w:rsidRPr="00826342">
        <w:rPr>
          <w:rFonts w:ascii="Times New Roman" w:hAnsi="Times New Roman" w:cs="Times New Roman"/>
          <w:b/>
          <w:bCs/>
          <w:sz w:val="24"/>
          <w:szCs w:val="24"/>
          <w:lang w:val="en-US"/>
        </w:rPr>
        <w:t xml:space="preserve">. </w:t>
      </w:r>
      <w:r w:rsidRPr="00EF545D">
        <w:rPr>
          <w:rFonts w:ascii="Times New Roman" w:hAnsi="Times New Roman" w:cs="Times New Roman"/>
          <w:b/>
          <w:bCs/>
          <w:sz w:val="24"/>
          <w:szCs w:val="24"/>
          <w:lang w:val="en-US"/>
        </w:rPr>
        <w:t xml:space="preserve">PEDro scores of </w:t>
      </w:r>
      <w:r>
        <w:rPr>
          <w:rFonts w:ascii="Times New Roman" w:hAnsi="Times New Roman" w:cs="Times New Roman"/>
          <w:b/>
          <w:bCs/>
          <w:sz w:val="24"/>
          <w:szCs w:val="24"/>
          <w:lang w:val="en-US"/>
        </w:rPr>
        <w:t>the I</w:t>
      </w:r>
      <w:r w:rsidRPr="00EF545D">
        <w:rPr>
          <w:rFonts w:ascii="Times New Roman" w:hAnsi="Times New Roman" w:cs="Times New Roman"/>
          <w:b/>
          <w:bCs/>
          <w:sz w:val="24"/>
          <w:szCs w:val="24"/>
          <w:lang w:val="en-US"/>
        </w:rPr>
        <w:t xml:space="preserve">ncluded </w:t>
      </w:r>
      <w:r>
        <w:rPr>
          <w:rFonts w:ascii="Times New Roman" w:hAnsi="Times New Roman" w:cs="Times New Roman"/>
          <w:b/>
          <w:bCs/>
          <w:sz w:val="24"/>
          <w:szCs w:val="24"/>
          <w:lang w:val="en-US"/>
        </w:rPr>
        <w:t>S</w:t>
      </w:r>
      <w:r w:rsidRPr="00EF545D">
        <w:rPr>
          <w:rFonts w:ascii="Times New Roman" w:hAnsi="Times New Roman" w:cs="Times New Roman"/>
          <w:b/>
          <w:bCs/>
          <w:sz w:val="24"/>
          <w:szCs w:val="24"/>
          <w:lang w:val="en-US"/>
        </w:rPr>
        <w:t>tudies</w:t>
      </w:r>
    </w:p>
    <w:tbl>
      <w:tblPr>
        <w:tblStyle w:val="TableGrid"/>
        <w:tblW w:w="14696" w:type="dxa"/>
        <w:tblInd w:w="-905" w:type="dxa"/>
        <w:tblLook w:val="04A0" w:firstRow="1" w:lastRow="0" w:firstColumn="1" w:lastColumn="0" w:noHBand="0" w:noVBand="1"/>
      </w:tblPr>
      <w:tblGrid>
        <w:gridCol w:w="465"/>
        <w:gridCol w:w="1265"/>
        <w:gridCol w:w="923"/>
        <w:gridCol w:w="988"/>
        <w:gridCol w:w="1037"/>
        <w:gridCol w:w="970"/>
        <w:gridCol w:w="1060"/>
        <w:gridCol w:w="953"/>
        <w:gridCol w:w="1023"/>
        <w:gridCol w:w="802"/>
        <w:gridCol w:w="1026"/>
        <w:gridCol w:w="1228"/>
        <w:gridCol w:w="1072"/>
        <w:gridCol w:w="703"/>
        <w:gridCol w:w="1181"/>
      </w:tblGrid>
      <w:tr w:rsidR="0068602E" w:rsidRPr="00EF545D" w14:paraId="1C786CF4" w14:textId="77777777" w:rsidTr="00D17C32">
        <w:tc>
          <w:tcPr>
            <w:tcW w:w="0" w:type="auto"/>
            <w:hideMark/>
          </w:tcPr>
          <w:p w14:paraId="685E1EBB"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S/N</w:t>
            </w:r>
          </w:p>
        </w:tc>
        <w:tc>
          <w:tcPr>
            <w:tcW w:w="1265" w:type="dxa"/>
            <w:hideMark/>
          </w:tcPr>
          <w:p w14:paraId="7DCDE564"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Author (Year), Country</w:t>
            </w:r>
          </w:p>
        </w:tc>
        <w:tc>
          <w:tcPr>
            <w:tcW w:w="0" w:type="auto"/>
            <w:hideMark/>
          </w:tcPr>
          <w:p w14:paraId="5EE61806"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1: Eligibility</w:t>
            </w:r>
          </w:p>
        </w:tc>
        <w:tc>
          <w:tcPr>
            <w:tcW w:w="0" w:type="auto"/>
            <w:hideMark/>
          </w:tcPr>
          <w:p w14:paraId="3C349132"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2: Random Allocation</w:t>
            </w:r>
          </w:p>
        </w:tc>
        <w:tc>
          <w:tcPr>
            <w:tcW w:w="0" w:type="auto"/>
            <w:hideMark/>
          </w:tcPr>
          <w:p w14:paraId="47B2FE09"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3: Concealed Allocation</w:t>
            </w:r>
          </w:p>
        </w:tc>
        <w:tc>
          <w:tcPr>
            <w:tcW w:w="0" w:type="auto"/>
            <w:hideMark/>
          </w:tcPr>
          <w:p w14:paraId="38C87510"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4: Baseline Similarity</w:t>
            </w:r>
          </w:p>
        </w:tc>
        <w:tc>
          <w:tcPr>
            <w:tcW w:w="0" w:type="auto"/>
            <w:hideMark/>
          </w:tcPr>
          <w:p w14:paraId="7D3FBFD3"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5: Participant Blinding</w:t>
            </w:r>
          </w:p>
        </w:tc>
        <w:tc>
          <w:tcPr>
            <w:tcW w:w="0" w:type="auto"/>
            <w:hideMark/>
          </w:tcPr>
          <w:p w14:paraId="11AEF9C4"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6: Therapist Blinding</w:t>
            </w:r>
          </w:p>
        </w:tc>
        <w:tc>
          <w:tcPr>
            <w:tcW w:w="0" w:type="auto"/>
            <w:hideMark/>
          </w:tcPr>
          <w:p w14:paraId="00B08E47"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7: Assessor Blinding</w:t>
            </w:r>
          </w:p>
        </w:tc>
        <w:tc>
          <w:tcPr>
            <w:tcW w:w="0" w:type="auto"/>
            <w:hideMark/>
          </w:tcPr>
          <w:p w14:paraId="104EE481"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8: &gt;85% Follow-up</w:t>
            </w:r>
          </w:p>
        </w:tc>
        <w:tc>
          <w:tcPr>
            <w:tcW w:w="0" w:type="auto"/>
            <w:hideMark/>
          </w:tcPr>
          <w:p w14:paraId="3DA0F0DF"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9: Intention-to-Treat</w:t>
            </w:r>
          </w:p>
        </w:tc>
        <w:tc>
          <w:tcPr>
            <w:tcW w:w="0" w:type="auto"/>
            <w:hideMark/>
          </w:tcPr>
          <w:p w14:paraId="62456F57"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10: Between-Group Comparisons</w:t>
            </w:r>
          </w:p>
        </w:tc>
        <w:tc>
          <w:tcPr>
            <w:tcW w:w="0" w:type="auto"/>
            <w:hideMark/>
          </w:tcPr>
          <w:p w14:paraId="1CCD5A56"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Item 11: Point Estimates / Variability</w:t>
            </w:r>
          </w:p>
        </w:tc>
        <w:tc>
          <w:tcPr>
            <w:tcW w:w="0" w:type="auto"/>
            <w:hideMark/>
          </w:tcPr>
          <w:p w14:paraId="0D0F6724"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PEDro /10</w:t>
            </w:r>
          </w:p>
        </w:tc>
        <w:tc>
          <w:tcPr>
            <w:tcW w:w="1181" w:type="dxa"/>
            <w:hideMark/>
          </w:tcPr>
          <w:p w14:paraId="22F49803" w14:textId="77777777" w:rsidR="0068602E" w:rsidRPr="00EF545D" w:rsidRDefault="0068602E" w:rsidP="00D17C32">
            <w:pPr>
              <w:spacing w:after="160" w:line="278" w:lineRule="auto"/>
              <w:rPr>
                <w:rFonts w:ascii="Times New Roman" w:hAnsi="Times New Roman" w:cs="Times New Roman"/>
                <w:b/>
                <w:bCs/>
                <w:sz w:val="16"/>
                <w:szCs w:val="16"/>
              </w:rPr>
            </w:pPr>
            <w:r w:rsidRPr="00EF545D">
              <w:rPr>
                <w:rFonts w:ascii="Times New Roman" w:hAnsi="Times New Roman" w:cs="Times New Roman"/>
                <w:b/>
                <w:bCs/>
                <w:sz w:val="16"/>
                <w:szCs w:val="16"/>
              </w:rPr>
              <w:t>Overall Risk of Bias</w:t>
            </w:r>
          </w:p>
        </w:tc>
      </w:tr>
      <w:tr w:rsidR="0068602E" w:rsidRPr="00EF545D" w14:paraId="165DCBA1" w14:textId="77777777" w:rsidTr="00D17C32">
        <w:tc>
          <w:tcPr>
            <w:tcW w:w="0" w:type="auto"/>
            <w:hideMark/>
          </w:tcPr>
          <w:p w14:paraId="52F89984"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1</w:t>
            </w:r>
          </w:p>
        </w:tc>
        <w:tc>
          <w:tcPr>
            <w:tcW w:w="1265" w:type="dxa"/>
          </w:tcPr>
          <w:p w14:paraId="262644B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Pietranis et al. (2024)</w:t>
            </w:r>
          </w:p>
          <w:p w14:paraId="2527835E" w14:textId="77777777" w:rsidR="0068602E" w:rsidRPr="00EF545D" w:rsidRDefault="0068602E" w:rsidP="00D17C32">
            <w:pPr>
              <w:spacing w:line="278" w:lineRule="auto"/>
              <w:rPr>
                <w:rFonts w:ascii="Times New Roman" w:hAnsi="Times New Roman" w:cs="Times New Roman"/>
                <w:sz w:val="16"/>
                <w:szCs w:val="16"/>
              </w:rPr>
            </w:pPr>
            <w:r w:rsidRPr="00EF545D">
              <w:rPr>
                <w:rFonts w:ascii="Times New Roman" w:hAnsi="Times New Roman" w:cs="Times New Roman"/>
                <w:sz w:val="16"/>
                <w:szCs w:val="16"/>
              </w:rPr>
              <w:t>Poland</w:t>
            </w:r>
          </w:p>
          <w:p w14:paraId="77E760EC" w14:textId="77777777" w:rsidR="0068602E" w:rsidRPr="00EF545D" w:rsidRDefault="0068602E" w:rsidP="00D17C32">
            <w:pPr>
              <w:spacing w:line="278" w:lineRule="auto"/>
              <w:rPr>
                <w:rFonts w:ascii="Times New Roman" w:hAnsi="Times New Roman" w:cs="Times New Roman"/>
                <w:sz w:val="16"/>
                <w:szCs w:val="16"/>
              </w:rPr>
            </w:pPr>
            <w:r w:rsidRPr="00EF545D">
              <w:rPr>
                <w:rFonts w:ascii="Times New Roman" w:hAnsi="Times New Roman" w:cs="Times New Roman"/>
                <w:sz w:val="16"/>
                <w:szCs w:val="16"/>
              </w:rPr>
              <w:t>[19]</w:t>
            </w:r>
          </w:p>
        </w:tc>
        <w:tc>
          <w:tcPr>
            <w:tcW w:w="0" w:type="auto"/>
            <w:hideMark/>
          </w:tcPr>
          <w:p w14:paraId="027E2B49"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hideMark/>
          </w:tcPr>
          <w:p w14:paraId="3D4F3236"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hideMark/>
          </w:tcPr>
          <w:p w14:paraId="22461F48"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hideMark/>
          </w:tcPr>
          <w:p w14:paraId="772AD994"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hideMark/>
          </w:tcPr>
          <w:p w14:paraId="41EA0D75"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hideMark/>
          </w:tcPr>
          <w:p w14:paraId="4B1323BC"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hideMark/>
          </w:tcPr>
          <w:p w14:paraId="384EC228"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hideMark/>
          </w:tcPr>
          <w:p w14:paraId="407B50B9"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hideMark/>
          </w:tcPr>
          <w:p w14:paraId="55D49B07"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hideMark/>
          </w:tcPr>
          <w:p w14:paraId="584C42DE"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hideMark/>
          </w:tcPr>
          <w:p w14:paraId="00AE2B00"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hideMark/>
          </w:tcPr>
          <w:p w14:paraId="34B44524"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hideMark/>
          </w:tcPr>
          <w:p w14:paraId="02CD3B04" w14:textId="77777777" w:rsidR="0068602E" w:rsidRPr="00EF545D" w:rsidRDefault="0068602E" w:rsidP="00D17C32">
            <w:pPr>
              <w:spacing w:after="160" w:line="278" w:lineRule="auto"/>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65BD8D25" w14:textId="77777777" w:rsidTr="00D17C32">
        <w:tc>
          <w:tcPr>
            <w:tcW w:w="0" w:type="auto"/>
            <w:vAlign w:val="center"/>
          </w:tcPr>
          <w:p w14:paraId="2759A00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w:t>
            </w:r>
          </w:p>
        </w:tc>
        <w:tc>
          <w:tcPr>
            <w:tcW w:w="1265" w:type="dxa"/>
            <w:vAlign w:val="center"/>
          </w:tcPr>
          <w:p w14:paraId="345D8FD7"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eastAsia="Times New Roman" w:hAnsi="Times New Roman" w:cs="Times New Roman"/>
                <w:sz w:val="16"/>
                <w:szCs w:val="16"/>
              </w:rPr>
              <w:t>Sharma &amp; Goswami (2022), India</w:t>
            </w:r>
          </w:p>
          <w:p w14:paraId="0463F20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[20]</w:t>
            </w:r>
          </w:p>
        </w:tc>
        <w:tc>
          <w:tcPr>
            <w:tcW w:w="0" w:type="auto"/>
            <w:vAlign w:val="center"/>
          </w:tcPr>
          <w:p w14:paraId="0948BA3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61DA77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AAF49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195498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733D36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A4127A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09BDFD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6E79D6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E8DCE1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127E3C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25A35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9C5C13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vAlign w:val="center"/>
          </w:tcPr>
          <w:p w14:paraId="7291FDA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3BFC31D9" w14:textId="77777777" w:rsidTr="00D17C32">
        <w:tc>
          <w:tcPr>
            <w:tcW w:w="0" w:type="auto"/>
            <w:vAlign w:val="center"/>
          </w:tcPr>
          <w:p w14:paraId="33DCA0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w:t>
            </w:r>
          </w:p>
        </w:tc>
        <w:tc>
          <w:tcPr>
            <w:tcW w:w="1265" w:type="dxa"/>
            <w:vAlign w:val="center"/>
          </w:tcPr>
          <w:p w14:paraId="32017E3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Nagy et al. (2022), Egypt</w:t>
            </w:r>
          </w:p>
          <w:p w14:paraId="7E53905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[21]</w:t>
            </w:r>
          </w:p>
        </w:tc>
        <w:tc>
          <w:tcPr>
            <w:tcW w:w="0" w:type="auto"/>
            <w:vAlign w:val="center"/>
          </w:tcPr>
          <w:p w14:paraId="66D558A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1B80DD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CF6AF0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EA6019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1984B2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A88320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5F4BB2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8BC4A8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A8470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5E4FB7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C90D08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A9D07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9/10</w:t>
            </w:r>
          </w:p>
        </w:tc>
        <w:tc>
          <w:tcPr>
            <w:tcW w:w="1181" w:type="dxa"/>
            <w:vAlign w:val="center"/>
          </w:tcPr>
          <w:p w14:paraId="553DB95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75AE27C3" w14:textId="77777777" w:rsidTr="00D17C32">
        <w:tc>
          <w:tcPr>
            <w:tcW w:w="0" w:type="auto"/>
            <w:vAlign w:val="center"/>
          </w:tcPr>
          <w:p w14:paraId="5511133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w:t>
            </w:r>
          </w:p>
        </w:tc>
        <w:tc>
          <w:tcPr>
            <w:tcW w:w="1265" w:type="dxa"/>
            <w:vAlign w:val="center"/>
          </w:tcPr>
          <w:p w14:paraId="0B1C215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Sánchez Milá et al. (2024), Spain</w:t>
            </w:r>
          </w:p>
          <w:p w14:paraId="5136FA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[22]</w:t>
            </w:r>
          </w:p>
        </w:tc>
        <w:tc>
          <w:tcPr>
            <w:tcW w:w="0" w:type="auto"/>
            <w:vAlign w:val="center"/>
          </w:tcPr>
          <w:p w14:paraId="453753D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698E7D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3027FB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1EB59B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CDCA19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72FB9A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CF2247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06ED40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6C9241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D79DFB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7876DA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1859BA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2DB0E0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3A683DE5" w14:textId="77777777" w:rsidTr="00D17C32">
        <w:tc>
          <w:tcPr>
            <w:tcW w:w="0" w:type="auto"/>
            <w:vAlign w:val="center"/>
          </w:tcPr>
          <w:p w14:paraId="3538629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w:t>
            </w:r>
          </w:p>
        </w:tc>
        <w:tc>
          <w:tcPr>
            <w:tcW w:w="1265" w:type="dxa"/>
            <w:vAlign w:val="center"/>
          </w:tcPr>
          <w:p w14:paraId="4F2C2E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Ashraf et al. (2022), Pakistan</w:t>
            </w:r>
          </w:p>
          <w:p w14:paraId="6CF25C9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[23]</w:t>
            </w:r>
          </w:p>
        </w:tc>
        <w:tc>
          <w:tcPr>
            <w:tcW w:w="0" w:type="auto"/>
            <w:vAlign w:val="center"/>
          </w:tcPr>
          <w:p w14:paraId="28D6D3F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Yes</w:t>
            </w:r>
          </w:p>
        </w:tc>
        <w:tc>
          <w:tcPr>
            <w:tcW w:w="0" w:type="auto"/>
            <w:vAlign w:val="center"/>
          </w:tcPr>
          <w:p w14:paraId="548E6CB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6EE8F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910E44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812420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F7CA06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B2335C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0D4399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8B2253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54A237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83E80F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0E55DB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vAlign w:val="center"/>
          </w:tcPr>
          <w:p w14:paraId="7A48155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5A8697FB" w14:textId="77777777" w:rsidTr="00D17C32">
        <w:tc>
          <w:tcPr>
            <w:tcW w:w="0" w:type="auto"/>
            <w:vAlign w:val="center"/>
          </w:tcPr>
          <w:p w14:paraId="4C1B468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w:t>
            </w:r>
          </w:p>
        </w:tc>
        <w:tc>
          <w:tcPr>
            <w:tcW w:w="1265" w:type="dxa"/>
            <w:vAlign w:val="center"/>
          </w:tcPr>
          <w:p w14:paraId="4D6E1FD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Sari et al. (2022), Türkiye</w:t>
            </w:r>
          </w:p>
          <w:p w14:paraId="14C8FAD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[24]</w:t>
            </w:r>
          </w:p>
        </w:tc>
        <w:tc>
          <w:tcPr>
            <w:tcW w:w="0" w:type="auto"/>
            <w:vAlign w:val="center"/>
          </w:tcPr>
          <w:p w14:paraId="7D4BBB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D5BB2C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1E795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C58811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A5D5DC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AE41A0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BC82E6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9A807F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E47836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889B28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591EAC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9E803E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74EA45D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3915B95E" w14:textId="77777777" w:rsidTr="00D17C32">
        <w:tc>
          <w:tcPr>
            <w:tcW w:w="0" w:type="auto"/>
            <w:vAlign w:val="center"/>
          </w:tcPr>
          <w:p w14:paraId="788165A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w:t>
            </w:r>
          </w:p>
        </w:tc>
        <w:tc>
          <w:tcPr>
            <w:tcW w:w="1265" w:type="dxa"/>
            <w:vAlign w:val="center"/>
          </w:tcPr>
          <w:p w14:paraId="17259FF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Gomes dos Santos et al. (2024), Brazil</w:t>
            </w:r>
          </w:p>
          <w:p w14:paraId="1976C0F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[25]</w:t>
            </w:r>
          </w:p>
        </w:tc>
        <w:tc>
          <w:tcPr>
            <w:tcW w:w="0" w:type="auto"/>
            <w:vAlign w:val="center"/>
          </w:tcPr>
          <w:p w14:paraId="7BD49AD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6451A4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40DC61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F7673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E2D25A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509E96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84D0D8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F0CFBC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025397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F1B9C6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14ABD2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B48714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452F0D1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78A9CA8D" w14:textId="77777777" w:rsidTr="00D17C32">
        <w:tc>
          <w:tcPr>
            <w:tcW w:w="0" w:type="auto"/>
            <w:vAlign w:val="center"/>
          </w:tcPr>
          <w:p w14:paraId="117523B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w:t>
            </w:r>
          </w:p>
        </w:tc>
        <w:tc>
          <w:tcPr>
            <w:tcW w:w="1265" w:type="dxa"/>
            <w:vAlign w:val="center"/>
          </w:tcPr>
          <w:p w14:paraId="55E7F1C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Elyazed et al. (2024), Egypt</w:t>
            </w:r>
          </w:p>
          <w:p w14:paraId="3E3358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[26]</w:t>
            </w:r>
          </w:p>
        </w:tc>
        <w:tc>
          <w:tcPr>
            <w:tcW w:w="0" w:type="auto"/>
            <w:vAlign w:val="center"/>
          </w:tcPr>
          <w:p w14:paraId="52D2491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84AFEF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0248DD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56172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66BCD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0B63CF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A4E084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EA0743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C98504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A4D9BD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E5FBF2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A35ECC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71CA4A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0F1B8B7D" w14:textId="77777777" w:rsidTr="00D17C32">
        <w:tc>
          <w:tcPr>
            <w:tcW w:w="0" w:type="auto"/>
            <w:vAlign w:val="center"/>
          </w:tcPr>
          <w:p w14:paraId="24CC7CA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9</w:t>
            </w:r>
          </w:p>
        </w:tc>
        <w:tc>
          <w:tcPr>
            <w:tcW w:w="1265" w:type="dxa"/>
            <w:vAlign w:val="center"/>
          </w:tcPr>
          <w:p w14:paraId="53D809F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Vallier et al. (2023), France</w:t>
            </w:r>
          </w:p>
          <w:p w14:paraId="2203DC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[27]</w:t>
            </w:r>
          </w:p>
        </w:tc>
        <w:tc>
          <w:tcPr>
            <w:tcW w:w="0" w:type="auto"/>
            <w:vAlign w:val="center"/>
          </w:tcPr>
          <w:p w14:paraId="09222C6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F0D0EA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2F8FEB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55022F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E5A6D4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E1FB0F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0D58C1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B6D02D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0129E7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556031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FC1443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4641C6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6/10</w:t>
            </w:r>
          </w:p>
        </w:tc>
        <w:tc>
          <w:tcPr>
            <w:tcW w:w="1181" w:type="dxa"/>
            <w:vAlign w:val="center"/>
          </w:tcPr>
          <w:p w14:paraId="7FA2441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Some concerns</w:t>
            </w:r>
          </w:p>
        </w:tc>
      </w:tr>
      <w:tr w:rsidR="0068602E" w:rsidRPr="00EF545D" w14:paraId="660ACB41" w14:textId="77777777" w:rsidTr="00D17C32">
        <w:tc>
          <w:tcPr>
            <w:tcW w:w="0" w:type="auto"/>
            <w:vAlign w:val="center"/>
          </w:tcPr>
          <w:p w14:paraId="2EC2FF9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10</w:t>
            </w:r>
          </w:p>
        </w:tc>
        <w:tc>
          <w:tcPr>
            <w:tcW w:w="1265" w:type="dxa"/>
            <w:vAlign w:val="center"/>
          </w:tcPr>
          <w:p w14:paraId="09D3509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Mashhadi et al. (2022), Iran</w:t>
            </w:r>
          </w:p>
          <w:p w14:paraId="0AC8894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w:t>
            </w:r>
            <w:r>
              <w:rPr>
                <w:rFonts w:ascii="Times New Roman" w:hAnsi="Times New Roman" w:cs="Times New Roman"/>
                <w:sz w:val="16"/>
                <w:szCs w:val="16"/>
              </w:rPr>
              <w:t>8</w:t>
            </w:r>
            <w:r w:rsidRPr="00EF545D">
              <w:rPr>
                <w:rFonts w:ascii="Times New Roman" w:hAnsi="Times New Roman" w:cs="Times New Roman"/>
                <w:sz w:val="16"/>
                <w:szCs w:val="16"/>
              </w:rPr>
              <w:t>]</w:t>
            </w:r>
          </w:p>
        </w:tc>
        <w:tc>
          <w:tcPr>
            <w:tcW w:w="0" w:type="auto"/>
            <w:vAlign w:val="center"/>
          </w:tcPr>
          <w:p w14:paraId="4A4828E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D55651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014921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034D7D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64A27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5E8C07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D2CC4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983638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08E94D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8F1425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A8BDB7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26EC5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4/10</w:t>
            </w:r>
          </w:p>
        </w:tc>
        <w:tc>
          <w:tcPr>
            <w:tcW w:w="1181" w:type="dxa"/>
            <w:vAlign w:val="center"/>
          </w:tcPr>
          <w:p w14:paraId="2E935AB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75F33394" w14:textId="77777777" w:rsidTr="00D17C32">
        <w:tc>
          <w:tcPr>
            <w:tcW w:w="0" w:type="auto"/>
            <w:vAlign w:val="center"/>
          </w:tcPr>
          <w:p w14:paraId="47247B1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11</w:t>
            </w:r>
          </w:p>
        </w:tc>
        <w:tc>
          <w:tcPr>
            <w:tcW w:w="1265" w:type="dxa"/>
            <w:vAlign w:val="center"/>
          </w:tcPr>
          <w:p w14:paraId="5D931292" w14:textId="77777777" w:rsidR="0068602E" w:rsidRPr="00EF545D" w:rsidRDefault="0068602E" w:rsidP="00D17C32">
            <w:pPr>
              <w:rPr>
                <w:rFonts w:ascii="Times New Roman" w:eastAsia="Times New Roman" w:hAnsi="Times New Roman" w:cs="Times New Roman"/>
                <w:sz w:val="16"/>
                <w:szCs w:val="16"/>
              </w:rPr>
            </w:pPr>
            <w:r w:rsidRPr="00EF545D">
              <w:rPr>
                <w:rFonts w:ascii="Times New Roman" w:eastAsia="Times New Roman" w:hAnsi="Times New Roman" w:cs="Times New Roman"/>
                <w:sz w:val="16"/>
                <w:szCs w:val="16"/>
              </w:rPr>
              <w:t>Rodriguez-Blanco et al. (2023), Spain</w:t>
            </w:r>
          </w:p>
          <w:p w14:paraId="6E3C567C" w14:textId="77777777" w:rsidR="0068602E" w:rsidRPr="00EF545D" w:rsidRDefault="0068602E" w:rsidP="00D17C32">
            <w:pPr>
              <w:rPr>
                <w:rFonts w:ascii="Times New Roman" w:hAnsi="Times New Roman" w:cs="Times New Roman"/>
                <w:sz w:val="16"/>
                <w:szCs w:val="16"/>
              </w:rPr>
            </w:pPr>
            <w:r w:rsidRPr="00EF545D">
              <w:rPr>
                <w:rFonts w:ascii="Times New Roman" w:eastAsia="Times New Roman" w:hAnsi="Times New Roman" w:cs="Times New Roman"/>
                <w:sz w:val="16"/>
                <w:szCs w:val="16"/>
              </w:rPr>
              <w:t>[29]</w:t>
            </w:r>
          </w:p>
        </w:tc>
        <w:tc>
          <w:tcPr>
            <w:tcW w:w="0" w:type="auto"/>
            <w:vAlign w:val="center"/>
          </w:tcPr>
          <w:p w14:paraId="1BCEBF0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582F2E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BADDB8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7CB2EF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8D6B09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F41ADC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5B3AC9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8F0F0D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E54A66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081652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F12AD4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A8DB53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096EAD1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28086C41" w14:textId="77777777" w:rsidTr="00D17C32">
        <w:tc>
          <w:tcPr>
            <w:tcW w:w="0" w:type="auto"/>
            <w:vAlign w:val="center"/>
          </w:tcPr>
          <w:p w14:paraId="0E0EA80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12</w:t>
            </w:r>
          </w:p>
        </w:tc>
        <w:tc>
          <w:tcPr>
            <w:tcW w:w="1265" w:type="dxa"/>
            <w:vAlign w:val="center"/>
          </w:tcPr>
          <w:p w14:paraId="635016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da Costa et al. (2024), Brazil</w:t>
            </w:r>
          </w:p>
          <w:p w14:paraId="1273EC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[30]</w:t>
            </w:r>
          </w:p>
        </w:tc>
        <w:tc>
          <w:tcPr>
            <w:tcW w:w="0" w:type="auto"/>
            <w:vAlign w:val="center"/>
          </w:tcPr>
          <w:p w14:paraId="043B252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C0CEAB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696168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6EADFA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B9212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DD24D1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7E4DF6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25B16A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B820E1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76466D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1CB47E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E9299C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1921280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481BFD3F" w14:textId="77777777" w:rsidTr="00D17C32">
        <w:tc>
          <w:tcPr>
            <w:tcW w:w="0" w:type="auto"/>
            <w:vAlign w:val="center"/>
          </w:tcPr>
          <w:p w14:paraId="662DD4C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13</w:t>
            </w:r>
          </w:p>
        </w:tc>
        <w:tc>
          <w:tcPr>
            <w:tcW w:w="1265" w:type="dxa"/>
            <w:vAlign w:val="center"/>
          </w:tcPr>
          <w:p w14:paraId="0749987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Pehlivan et al. (2022), Turkey</w:t>
            </w:r>
          </w:p>
          <w:p w14:paraId="2D6BA8F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[31]</w:t>
            </w:r>
          </w:p>
        </w:tc>
        <w:tc>
          <w:tcPr>
            <w:tcW w:w="0" w:type="auto"/>
            <w:vAlign w:val="center"/>
          </w:tcPr>
          <w:p w14:paraId="163EA08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BA0C10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11A9B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4D4715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50D7A8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122C8B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E7BD4F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FA5436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21760B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5E6436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DB4374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5B9C1D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424E122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456BA4D5" w14:textId="77777777" w:rsidTr="00D17C32">
        <w:tc>
          <w:tcPr>
            <w:tcW w:w="0" w:type="auto"/>
            <w:vAlign w:val="center"/>
          </w:tcPr>
          <w:p w14:paraId="74CF3CD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14</w:t>
            </w:r>
          </w:p>
        </w:tc>
        <w:tc>
          <w:tcPr>
            <w:tcW w:w="1265" w:type="dxa"/>
            <w:vAlign w:val="center"/>
          </w:tcPr>
          <w:p w14:paraId="4D5EE8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Jeong et al. (2024), Republic of Korea</w:t>
            </w:r>
          </w:p>
          <w:p w14:paraId="4D08F29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[32]</w:t>
            </w:r>
          </w:p>
        </w:tc>
        <w:tc>
          <w:tcPr>
            <w:tcW w:w="0" w:type="auto"/>
            <w:vAlign w:val="center"/>
          </w:tcPr>
          <w:p w14:paraId="6B4EC6F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834029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E5352D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D9EA8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AA4A42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93B0F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9DF4FD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707BDC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F087C1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38D87C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79E95B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9E25EB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vAlign w:val="center"/>
          </w:tcPr>
          <w:p w14:paraId="2C57F55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0F5C05FA" w14:textId="77777777" w:rsidTr="00D17C32">
        <w:tc>
          <w:tcPr>
            <w:tcW w:w="0" w:type="auto"/>
            <w:vAlign w:val="center"/>
          </w:tcPr>
          <w:p w14:paraId="4D9F48E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15</w:t>
            </w:r>
          </w:p>
        </w:tc>
        <w:tc>
          <w:tcPr>
            <w:tcW w:w="1265" w:type="dxa"/>
            <w:vAlign w:val="center"/>
          </w:tcPr>
          <w:p w14:paraId="72BBE73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Elgayar et al. (2025), Egypt</w:t>
            </w:r>
          </w:p>
          <w:p w14:paraId="2DA1C5A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[33]</w:t>
            </w:r>
          </w:p>
        </w:tc>
        <w:tc>
          <w:tcPr>
            <w:tcW w:w="0" w:type="auto"/>
            <w:vAlign w:val="center"/>
          </w:tcPr>
          <w:p w14:paraId="32296D9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A5D26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2A81E2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698ED5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3D53D0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6921D8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E8315B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5E5C3E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A9989B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F45745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68E252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633E4F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8/10</w:t>
            </w:r>
          </w:p>
        </w:tc>
        <w:tc>
          <w:tcPr>
            <w:tcW w:w="1181" w:type="dxa"/>
            <w:vAlign w:val="center"/>
          </w:tcPr>
          <w:p w14:paraId="6FE3C07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5091C15B" w14:textId="77777777" w:rsidTr="00D17C32">
        <w:tc>
          <w:tcPr>
            <w:tcW w:w="0" w:type="auto"/>
            <w:vAlign w:val="center"/>
          </w:tcPr>
          <w:p w14:paraId="585E12D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16</w:t>
            </w:r>
          </w:p>
        </w:tc>
        <w:tc>
          <w:tcPr>
            <w:tcW w:w="1265" w:type="dxa"/>
            <w:vAlign w:val="center"/>
          </w:tcPr>
          <w:p w14:paraId="2C04FBA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Rutkowski et al. (2023), Poland</w:t>
            </w:r>
          </w:p>
          <w:p w14:paraId="5637D93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[34]</w:t>
            </w:r>
          </w:p>
        </w:tc>
        <w:tc>
          <w:tcPr>
            <w:tcW w:w="0" w:type="auto"/>
            <w:vAlign w:val="center"/>
          </w:tcPr>
          <w:p w14:paraId="3794E3C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5F2359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7FF7AF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F1E03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D6C587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08BCBB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E13F6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ED68CC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7E4B0D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B6151F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F9268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EBE811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6/10</w:t>
            </w:r>
          </w:p>
        </w:tc>
        <w:tc>
          <w:tcPr>
            <w:tcW w:w="1181" w:type="dxa"/>
            <w:vAlign w:val="center"/>
          </w:tcPr>
          <w:p w14:paraId="1D6BEDE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Some concerns</w:t>
            </w:r>
          </w:p>
        </w:tc>
      </w:tr>
      <w:tr w:rsidR="0068602E" w:rsidRPr="00EF545D" w14:paraId="5C8A8F07" w14:textId="77777777" w:rsidTr="00D17C32">
        <w:tc>
          <w:tcPr>
            <w:tcW w:w="0" w:type="auto"/>
            <w:vAlign w:val="center"/>
          </w:tcPr>
          <w:p w14:paraId="02B39A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17</w:t>
            </w:r>
          </w:p>
        </w:tc>
        <w:tc>
          <w:tcPr>
            <w:tcW w:w="1265" w:type="dxa"/>
            <w:vAlign w:val="center"/>
          </w:tcPr>
          <w:p w14:paraId="3F2C7DD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Kusumawardani et al. (2023), Indonesia</w:t>
            </w:r>
          </w:p>
          <w:p w14:paraId="28E46E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[35]</w:t>
            </w:r>
          </w:p>
        </w:tc>
        <w:tc>
          <w:tcPr>
            <w:tcW w:w="0" w:type="auto"/>
            <w:vAlign w:val="center"/>
          </w:tcPr>
          <w:p w14:paraId="5E61F4B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EF57BD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A9E1C1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EA85E6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C3B14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1878B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80E9E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3E5FA5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8C2AB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F48DEB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9959FD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C22219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vAlign w:val="center"/>
          </w:tcPr>
          <w:p w14:paraId="546FB5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520100FB" w14:textId="77777777" w:rsidTr="00D17C32">
        <w:tc>
          <w:tcPr>
            <w:tcW w:w="0" w:type="auto"/>
            <w:vAlign w:val="center"/>
          </w:tcPr>
          <w:p w14:paraId="4A9DF3C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18</w:t>
            </w:r>
          </w:p>
        </w:tc>
        <w:tc>
          <w:tcPr>
            <w:tcW w:w="1265" w:type="dxa"/>
            <w:vAlign w:val="center"/>
          </w:tcPr>
          <w:p w14:paraId="289D28C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Yasacı et al. (2025), Turkey</w:t>
            </w:r>
          </w:p>
          <w:p w14:paraId="30312E5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[36]</w:t>
            </w:r>
          </w:p>
        </w:tc>
        <w:tc>
          <w:tcPr>
            <w:tcW w:w="0" w:type="auto"/>
            <w:vAlign w:val="center"/>
          </w:tcPr>
          <w:p w14:paraId="69CB51E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811579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C5A2BC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A4F192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786056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B8923E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732D0D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383DC5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4A8F3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0A2FB1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788082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8ACEB9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4CD63D7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1FC6E3C2" w14:textId="77777777" w:rsidTr="00D17C32">
        <w:tc>
          <w:tcPr>
            <w:tcW w:w="0" w:type="auto"/>
            <w:vAlign w:val="center"/>
          </w:tcPr>
          <w:p w14:paraId="0B8F759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19</w:t>
            </w:r>
          </w:p>
        </w:tc>
        <w:tc>
          <w:tcPr>
            <w:tcW w:w="1265" w:type="dxa"/>
            <w:vAlign w:val="center"/>
          </w:tcPr>
          <w:p w14:paraId="199F555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Li et al. (2022), China</w:t>
            </w:r>
          </w:p>
          <w:p w14:paraId="109892A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[37]</w:t>
            </w:r>
          </w:p>
        </w:tc>
        <w:tc>
          <w:tcPr>
            <w:tcW w:w="0" w:type="auto"/>
            <w:vAlign w:val="center"/>
          </w:tcPr>
          <w:p w14:paraId="483F4AD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F27E89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912965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91E44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945F58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BE860C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CD5A98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BD493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524D2D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0BA177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E2400E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642BC4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8/10</w:t>
            </w:r>
          </w:p>
        </w:tc>
        <w:tc>
          <w:tcPr>
            <w:tcW w:w="1181" w:type="dxa"/>
            <w:vAlign w:val="center"/>
          </w:tcPr>
          <w:p w14:paraId="393E22B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2EE20486" w14:textId="77777777" w:rsidTr="00D17C32">
        <w:tc>
          <w:tcPr>
            <w:tcW w:w="0" w:type="auto"/>
            <w:vAlign w:val="center"/>
          </w:tcPr>
          <w:p w14:paraId="2C1C471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20</w:t>
            </w:r>
          </w:p>
        </w:tc>
        <w:tc>
          <w:tcPr>
            <w:tcW w:w="1265" w:type="dxa"/>
            <w:vAlign w:val="center"/>
          </w:tcPr>
          <w:p w14:paraId="53DF3CD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Alsharidah et al. (2023), Saudi Arabia</w:t>
            </w:r>
          </w:p>
          <w:p w14:paraId="362E63B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[38]</w:t>
            </w:r>
          </w:p>
        </w:tc>
        <w:tc>
          <w:tcPr>
            <w:tcW w:w="0" w:type="auto"/>
            <w:vAlign w:val="center"/>
          </w:tcPr>
          <w:p w14:paraId="2CB357B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739D0B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008DB4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ED090F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25789E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352A04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3DB046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444C9F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E061FA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BF9A96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3E4BCF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931526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8/10</w:t>
            </w:r>
          </w:p>
        </w:tc>
        <w:tc>
          <w:tcPr>
            <w:tcW w:w="1181" w:type="dxa"/>
            <w:vAlign w:val="center"/>
          </w:tcPr>
          <w:p w14:paraId="24320B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07570E2F" w14:textId="77777777" w:rsidTr="00D17C32">
        <w:tc>
          <w:tcPr>
            <w:tcW w:w="0" w:type="auto"/>
            <w:vAlign w:val="center"/>
          </w:tcPr>
          <w:p w14:paraId="2FD4551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21</w:t>
            </w:r>
          </w:p>
        </w:tc>
        <w:tc>
          <w:tcPr>
            <w:tcW w:w="1265" w:type="dxa"/>
            <w:vAlign w:val="center"/>
          </w:tcPr>
          <w:p w14:paraId="7FD1D12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Indrani et al. (2022), India</w:t>
            </w:r>
          </w:p>
          <w:p w14:paraId="2F510DD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[39]</w:t>
            </w:r>
          </w:p>
        </w:tc>
        <w:tc>
          <w:tcPr>
            <w:tcW w:w="0" w:type="auto"/>
            <w:vAlign w:val="center"/>
          </w:tcPr>
          <w:p w14:paraId="538DFC0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90B68F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5C6E1A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9CBFBF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18F12D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8D1CA1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341EEF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379CFE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328A32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9082D1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9B7AD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6950F0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8/10</w:t>
            </w:r>
          </w:p>
        </w:tc>
        <w:tc>
          <w:tcPr>
            <w:tcW w:w="1181" w:type="dxa"/>
            <w:vAlign w:val="center"/>
          </w:tcPr>
          <w:p w14:paraId="4F6F994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4B78831F" w14:textId="77777777" w:rsidTr="00D17C32">
        <w:tc>
          <w:tcPr>
            <w:tcW w:w="0" w:type="auto"/>
            <w:vAlign w:val="center"/>
          </w:tcPr>
          <w:p w14:paraId="31C7E41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22</w:t>
            </w:r>
          </w:p>
        </w:tc>
        <w:tc>
          <w:tcPr>
            <w:tcW w:w="1265" w:type="dxa"/>
            <w:vAlign w:val="center"/>
          </w:tcPr>
          <w:p w14:paraId="5C84FC1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Oliveira et al. (2023), Brazil</w:t>
            </w:r>
          </w:p>
          <w:p w14:paraId="74C927F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[40]</w:t>
            </w:r>
          </w:p>
        </w:tc>
        <w:tc>
          <w:tcPr>
            <w:tcW w:w="0" w:type="auto"/>
            <w:vAlign w:val="center"/>
          </w:tcPr>
          <w:p w14:paraId="640E645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72BB64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2FC410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25823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A65434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9D227A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E46E7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11E048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7A08E9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58A8DF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F74500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C2E476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vAlign w:val="center"/>
          </w:tcPr>
          <w:p w14:paraId="7676ED3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2764E2D7" w14:textId="77777777" w:rsidTr="00D17C32">
        <w:tc>
          <w:tcPr>
            <w:tcW w:w="0" w:type="auto"/>
            <w:vAlign w:val="center"/>
          </w:tcPr>
          <w:p w14:paraId="694B123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23</w:t>
            </w:r>
          </w:p>
        </w:tc>
        <w:tc>
          <w:tcPr>
            <w:tcW w:w="1265" w:type="dxa"/>
            <w:vAlign w:val="center"/>
          </w:tcPr>
          <w:p w14:paraId="00063BD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Sick et al. (2025), Austria</w:t>
            </w:r>
          </w:p>
          <w:p w14:paraId="0A3296F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[41]</w:t>
            </w:r>
          </w:p>
        </w:tc>
        <w:tc>
          <w:tcPr>
            <w:tcW w:w="0" w:type="auto"/>
            <w:vAlign w:val="center"/>
          </w:tcPr>
          <w:p w14:paraId="51D6AF9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41A1E6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90CCC5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B08735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E3E620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A432C3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E04F28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ED8309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6CD79C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3C6C95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C2647C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39D445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3/10</w:t>
            </w:r>
          </w:p>
        </w:tc>
        <w:tc>
          <w:tcPr>
            <w:tcW w:w="1181" w:type="dxa"/>
            <w:vAlign w:val="center"/>
          </w:tcPr>
          <w:p w14:paraId="135462F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0E2F0088" w14:textId="77777777" w:rsidTr="00D17C32">
        <w:tc>
          <w:tcPr>
            <w:tcW w:w="0" w:type="auto"/>
            <w:vAlign w:val="center"/>
          </w:tcPr>
          <w:p w14:paraId="645F0E6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24</w:t>
            </w:r>
          </w:p>
        </w:tc>
        <w:tc>
          <w:tcPr>
            <w:tcW w:w="1265" w:type="dxa"/>
            <w:vAlign w:val="center"/>
          </w:tcPr>
          <w:p w14:paraId="2DB9278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Şahın et al. (2023), Turkey</w:t>
            </w:r>
          </w:p>
          <w:p w14:paraId="332EBEF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[42]</w:t>
            </w:r>
          </w:p>
        </w:tc>
        <w:tc>
          <w:tcPr>
            <w:tcW w:w="0" w:type="auto"/>
            <w:vAlign w:val="center"/>
          </w:tcPr>
          <w:p w14:paraId="2360B77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06A15E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0D662E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B9D360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92E528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121EB4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D4BC68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F0C0AA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C025C5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19CAEF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2F06F1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CE3159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4/10</w:t>
            </w:r>
          </w:p>
        </w:tc>
        <w:tc>
          <w:tcPr>
            <w:tcW w:w="1181" w:type="dxa"/>
            <w:vAlign w:val="center"/>
          </w:tcPr>
          <w:p w14:paraId="2EBFC68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0CA21FCC" w14:textId="77777777" w:rsidTr="00D17C32">
        <w:tc>
          <w:tcPr>
            <w:tcW w:w="0" w:type="auto"/>
            <w:vAlign w:val="center"/>
          </w:tcPr>
          <w:p w14:paraId="3C3427B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25</w:t>
            </w:r>
          </w:p>
        </w:tc>
        <w:tc>
          <w:tcPr>
            <w:tcW w:w="1265" w:type="dxa"/>
            <w:vAlign w:val="center"/>
          </w:tcPr>
          <w:p w14:paraId="37E3735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Reeves et al. (2025), Australia</w:t>
            </w:r>
          </w:p>
          <w:p w14:paraId="2BCB9E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[43]</w:t>
            </w:r>
          </w:p>
        </w:tc>
        <w:tc>
          <w:tcPr>
            <w:tcW w:w="0" w:type="auto"/>
            <w:vAlign w:val="center"/>
          </w:tcPr>
          <w:p w14:paraId="3D9AD6E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83372D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8C8DBB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CA3192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8090D8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E584FB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CF682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7FB7D7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6083B8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4E198D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DB068C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3B0BF5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6/10</w:t>
            </w:r>
          </w:p>
        </w:tc>
        <w:tc>
          <w:tcPr>
            <w:tcW w:w="1181" w:type="dxa"/>
            <w:vAlign w:val="center"/>
          </w:tcPr>
          <w:p w14:paraId="6EAA0C2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Some concerns</w:t>
            </w:r>
          </w:p>
        </w:tc>
      </w:tr>
      <w:tr w:rsidR="0068602E" w:rsidRPr="00EF545D" w14:paraId="2463F8C9" w14:textId="77777777" w:rsidTr="00D17C32">
        <w:tc>
          <w:tcPr>
            <w:tcW w:w="0" w:type="auto"/>
            <w:vAlign w:val="center"/>
          </w:tcPr>
          <w:p w14:paraId="42AA9BE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26</w:t>
            </w:r>
          </w:p>
        </w:tc>
        <w:tc>
          <w:tcPr>
            <w:tcW w:w="1265" w:type="dxa"/>
            <w:vAlign w:val="center"/>
          </w:tcPr>
          <w:p w14:paraId="262C52C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Modesto et al. (2024), Brazil</w:t>
            </w:r>
          </w:p>
          <w:p w14:paraId="0D71407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[44]</w:t>
            </w:r>
          </w:p>
        </w:tc>
        <w:tc>
          <w:tcPr>
            <w:tcW w:w="0" w:type="auto"/>
            <w:vAlign w:val="center"/>
          </w:tcPr>
          <w:p w14:paraId="4CC1EA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65B385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48DFDB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64BE6B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8DFF1D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24ED29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4F2289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90B65F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552C6E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3A4C15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29AF0F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D1B07F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6/10</w:t>
            </w:r>
          </w:p>
        </w:tc>
        <w:tc>
          <w:tcPr>
            <w:tcW w:w="1181" w:type="dxa"/>
            <w:vAlign w:val="center"/>
          </w:tcPr>
          <w:p w14:paraId="410CD56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Moderate</w:t>
            </w:r>
          </w:p>
        </w:tc>
      </w:tr>
      <w:tr w:rsidR="0068602E" w:rsidRPr="00EF545D" w14:paraId="2820D859" w14:textId="77777777" w:rsidTr="00D17C32">
        <w:tc>
          <w:tcPr>
            <w:tcW w:w="0" w:type="auto"/>
            <w:vAlign w:val="center"/>
          </w:tcPr>
          <w:p w14:paraId="2A4BF01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27</w:t>
            </w:r>
          </w:p>
        </w:tc>
        <w:tc>
          <w:tcPr>
            <w:tcW w:w="1265" w:type="dxa"/>
            <w:vAlign w:val="center"/>
          </w:tcPr>
          <w:p w14:paraId="3E47721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del Corral et al. (2023), Spain</w:t>
            </w:r>
          </w:p>
          <w:p w14:paraId="55F1736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[45]</w:t>
            </w:r>
          </w:p>
        </w:tc>
        <w:tc>
          <w:tcPr>
            <w:tcW w:w="0" w:type="auto"/>
            <w:vAlign w:val="center"/>
          </w:tcPr>
          <w:p w14:paraId="2AE4874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C26F20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D20EA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2D36A3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39F440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002B92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385245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5D0196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B6AC78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A745FD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D8E0CA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D894AE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vAlign w:val="center"/>
          </w:tcPr>
          <w:p w14:paraId="770C262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High</w:t>
            </w:r>
          </w:p>
        </w:tc>
      </w:tr>
      <w:tr w:rsidR="0068602E" w:rsidRPr="00EF545D" w14:paraId="37AEDDB9" w14:textId="77777777" w:rsidTr="00D17C32">
        <w:tc>
          <w:tcPr>
            <w:tcW w:w="0" w:type="auto"/>
            <w:vAlign w:val="center"/>
          </w:tcPr>
          <w:p w14:paraId="0F18A61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28</w:t>
            </w:r>
          </w:p>
        </w:tc>
        <w:tc>
          <w:tcPr>
            <w:tcW w:w="1265" w:type="dxa"/>
            <w:vAlign w:val="center"/>
          </w:tcPr>
          <w:p w14:paraId="3FA7F54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Amin et al. (2024), Saudi Arabia</w:t>
            </w:r>
          </w:p>
          <w:p w14:paraId="29797E7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[46]</w:t>
            </w:r>
          </w:p>
        </w:tc>
        <w:tc>
          <w:tcPr>
            <w:tcW w:w="0" w:type="auto"/>
            <w:vAlign w:val="center"/>
          </w:tcPr>
          <w:p w14:paraId="34F61EC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107C04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168A45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676303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F24A32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B94914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D9570F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91CCAE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0A068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4C8FD3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DA6ADF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E6C248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65C0FCC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Moderate</w:t>
            </w:r>
          </w:p>
        </w:tc>
      </w:tr>
      <w:tr w:rsidR="0068602E" w:rsidRPr="00EF545D" w14:paraId="3D361985" w14:textId="77777777" w:rsidTr="00D17C32">
        <w:tc>
          <w:tcPr>
            <w:tcW w:w="0" w:type="auto"/>
            <w:vAlign w:val="center"/>
          </w:tcPr>
          <w:p w14:paraId="4A7CE43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29</w:t>
            </w:r>
          </w:p>
        </w:tc>
        <w:tc>
          <w:tcPr>
            <w:tcW w:w="1265" w:type="dxa"/>
            <w:vAlign w:val="center"/>
          </w:tcPr>
          <w:p w14:paraId="344BDB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Harisuddin et al. (2023), Indonesia</w:t>
            </w:r>
          </w:p>
          <w:p w14:paraId="5D41446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[47]</w:t>
            </w:r>
          </w:p>
        </w:tc>
        <w:tc>
          <w:tcPr>
            <w:tcW w:w="0" w:type="auto"/>
            <w:vAlign w:val="center"/>
          </w:tcPr>
          <w:p w14:paraId="2BE90DF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6C87BB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43EF8E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EE0164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5C28F2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3FADFA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A63CA2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614E75E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A0E335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DD4D70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9498DB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5CDA5F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6/10</w:t>
            </w:r>
          </w:p>
        </w:tc>
        <w:tc>
          <w:tcPr>
            <w:tcW w:w="1181" w:type="dxa"/>
            <w:vAlign w:val="center"/>
          </w:tcPr>
          <w:p w14:paraId="6D6455A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Moderate</w:t>
            </w:r>
          </w:p>
        </w:tc>
      </w:tr>
      <w:tr w:rsidR="0068602E" w:rsidRPr="00EF545D" w14:paraId="1F22F75E" w14:textId="77777777" w:rsidTr="00D17C32">
        <w:tc>
          <w:tcPr>
            <w:tcW w:w="0" w:type="auto"/>
            <w:vAlign w:val="center"/>
          </w:tcPr>
          <w:p w14:paraId="5F7DCBE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30</w:t>
            </w:r>
          </w:p>
        </w:tc>
        <w:tc>
          <w:tcPr>
            <w:tcW w:w="1265" w:type="dxa"/>
            <w:vAlign w:val="center"/>
          </w:tcPr>
          <w:p w14:paraId="7804F6F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Omarova et al. (2023), Kazakhstan</w:t>
            </w:r>
          </w:p>
          <w:p w14:paraId="7182966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[48]</w:t>
            </w:r>
          </w:p>
        </w:tc>
        <w:tc>
          <w:tcPr>
            <w:tcW w:w="0" w:type="auto"/>
            <w:vAlign w:val="center"/>
          </w:tcPr>
          <w:p w14:paraId="39D1BED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E92556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EE4405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58437B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C5A74F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5453F5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C9C5EE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5F26DE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06F45E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7D8B87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02933C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7B31F1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7/10</w:t>
            </w:r>
          </w:p>
        </w:tc>
        <w:tc>
          <w:tcPr>
            <w:tcW w:w="1181" w:type="dxa"/>
            <w:vAlign w:val="center"/>
          </w:tcPr>
          <w:p w14:paraId="0DBCCD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Moderate</w:t>
            </w:r>
          </w:p>
        </w:tc>
      </w:tr>
      <w:tr w:rsidR="0068602E" w:rsidRPr="00EF545D" w14:paraId="1DC9A542" w14:textId="77777777" w:rsidTr="00D17C32">
        <w:tc>
          <w:tcPr>
            <w:tcW w:w="0" w:type="auto"/>
            <w:vAlign w:val="center"/>
          </w:tcPr>
          <w:p w14:paraId="1B78A04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31</w:t>
            </w:r>
          </w:p>
        </w:tc>
        <w:tc>
          <w:tcPr>
            <w:tcW w:w="1265" w:type="dxa"/>
            <w:vAlign w:val="center"/>
          </w:tcPr>
          <w:p w14:paraId="7DA9701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 Araújo Furtado et al. (2023), Brazil</w:t>
            </w:r>
          </w:p>
          <w:p w14:paraId="683D702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[49]</w:t>
            </w:r>
          </w:p>
        </w:tc>
        <w:tc>
          <w:tcPr>
            <w:tcW w:w="0" w:type="auto"/>
            <w:vAlign w:val="center"/>
          </w:tcPr>
          <w:p w14:paraId="18046DB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CF1243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A07816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CFB955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A9D3DC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D57582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ADDA2D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3BBECE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B7BACD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72A1741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6EE751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50F913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5/10</w:t>
            </w:r>
          </w:p>
        </w:tc>
        <w:tc>
          <w:tcPr>
            <w:tcW w:w="1181" w:type="dxa"/>
            <w:vAlign w:val="center"/>
          </w:tcPr>
          <w:p w14:paraId="7142768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High </w:t>
            </w:r>
          </w:p>
        </w:tc>
      </w:tr>
      <w:tr w:rsidR="0068602E" w:rsidRPr="00EF545D" w14:paraId="755832D9" w14:textId="77777777" w:rsidTr="00D17C32">
        <w:tc>
          <w:tcPr>
            <w:tcW w:w="0" w:type="auto"/>
            <w:vAlign w:val="center"/>
          </w:tcPr>
          <w:p w14:paraId="5BD59FD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32</w:t>
            </w:r>
          </w:p>
        </w:tc>
        <w:tc>
          <w:tcPr>
            <w:tcW w:w="1265" w:type="dxa"/>
            <w:vAlign w:val="center"/>
          </w:tcPr>
          <w:p w14:paraId="2D61737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del Corral et al. (2023), Spain</w:t>
            </w:r>
          </w:p>
          <w:p w14:paraId="0E9761D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[50]</w:t>
            </w:r>
          </w:p>
        </w:tc>
        <w:tc>
          <w:tcPr>
            <w:tcW w:w="0" w:type="auto"/>
            <w:vAlign w:val="center"/>
          </w:tcPr>
          <w:p w14:paraId="6091452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4015DC8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21BA033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819CBC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0AAEAE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803864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A4409A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F32D85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CA2031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E5DEE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495D64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34AB5C3"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9/10</w:t>
            </w:r>
          </w:p>
        </w:tc>
        <w:tc>
          <w:tcPr>
            <w:tcW w:w="1181" w:type="dxa"/>
            <w:vAlign w:val="center"/>
          </w:tcPr>
          <w:p w14:paraId="142BF4B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 xml:space="preserve">Low </w:t>
            </w:r>
          </w:p>
        </w:tc>
      </w:tr>
      <w:tr w:rsidR="0068602E" w:rsidRPr="00EF545D" w14:paraId="1D55279A" w14:textId="77777777" w:rsidTr="00D17C32">
        <w:tc>
          <w:tcPr>
            <w:tcW w:w="0" w:type="auto"/>
            <w:vAlign w:val="center"/>
          </w:tcPr>
          <w:p w14:paraId="53A3A04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33</w:t>
            </w:r>
          </w:p>
        </w:tc>
        <w:tc>
          <w:tcPr>
            <w:tcW w:w="1265" w:type="dxa"/>
            <w:vAlign w:val="center"/>
          </w:tcPr>
          <w:p w14:paraId="4748779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Bagherzadeh-Rahmani et al. (2023), Iran</w:t>
            </w:r>
          </w:p>
          <w:p w14:paraId="421FE33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[51]</w:t>
            </w:r>
          </w:p>
        </w:tc>
        <w:tc>
          <w:tcPr>
            <w:tcW w:w="0" w:type="auto"/>
            <w:vAlign w:val="center"/>
          </w:tcPr>
          <w:p w14:paraId="5C5CCA9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ED5B8C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81DCE8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4A88179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1FD9E7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59B55EA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DFCE63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A1892A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BBE5C1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00DEE4C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01FA54D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B96AE8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6/10</w:t>
            </w:r>
          </w:p>
        </w:tc>
        <w:tc>
          <w:tcPr>
            <w:tcW w:w="1181" w:type="dxa"/>
            <w:vAlign w:val="center"/>
          </w:tcPr>
          <w:p w14:paraId="5EB33DC2"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Some concerns</w:t>
            </w:r>
          </w:p>
        </w:tc>
      </w:tr>
      <w:tr w:rsidR="0068602E" w:rsidRPr="00EF545D" w14:paraId="37810EFA" w14:textId="77777777" w:rsidTr="00D17C32">
        <w:tc>
          <w:tcPr>
            <w:tcW w:w="0" w:type="auto"/>
            <w:vAlign w:val="center"/>
          </w:tcPr>
          <w:p w14:paraId="66DCF68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34</w:t>
            </w:r>
          </w:p>
        </w:tc>
        <w:tc>
          <w:tcPr>
            <w:tcW w:w="1265" w:type="dxa"/>
            <w:vAlign w:val="center"/>
          </w:tcPr>
          <w:p w14:paraId="45EB03C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de Moraes Sirydakis et al. (2024), Brazil</w:t>
            </w:r>
          </w:p>
          <w:p w14:paraId="63FD5FA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[52]</w:t>
            </w:r>
          </w:p>
        </w:tc>
        <w:tc>
          <w:tcPr>
            <w:tcW w:w="0" w:type="auto"/>
            <w:vAlign w:val="center"/>
          </w:tcPr>
          <w:p w14:paraId="0A4B92DE"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04DF22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95012D9"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No/Unclear</w:t>
            </w:r>
          </w:p>
        </w:tc>
        <w:tc>
          <w:tcPr>
            <w:tcW w:w="0" w:type="auto"/>
            <w:vAlign w:val="center"/>
          </w:tcPr>
          <w:p w14:paraId="2FEFBD4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B3D8B0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230BB93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3CDC19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7875C7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EF35968"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8B9E79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EF73D3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DF33B6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8/10</w:t>
            </w:r>
          </w:p>
        </w:tc>
        <w:tc>
          <w:tcPr>
            <w:tcW w:w="1181" w:type="dxa"/>
            <w:vAlign w:val="center"/>
          </w:tcPr>
          <w:p w14:paraId="173A6D55"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Low</w:t>
            </w:r>
          </w:p>
        </w:tc>
      </w:tr>
      <w:tr w:rsidR="0068602E" w:rsidRPr="00EF545D" w14:paraId="2F4376A5" w14:textId="77777777" w:rsidTr="00D17C32">
        <w:tc>
          <w:tcPr>
            <w:tcW w:w="0" w:type="auto"/>
            <w:vAlign w:val="center"/>
          </w:tcPr>
          <w:p w14:paraId="6D28500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35</w:t>
            </w:r>
          </w:p>
        </w:tc>
        <w:tc>
          <w:tcPr>
            <w:tcW w:w="1265" w:type="dxa"/>
            <w:vAlign w:val="center"/>
          </w:tcPr>
          <w:p w14:paraId="3E931A20"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Okan et al. (2022), Turkey</w:t>
            </w:r>
          </w:p>
          <w:p w14:paraId="2C5E0196"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[53]</w:t>
            </w:r>
          </w:p>
        </w:tc>
        <w:tc>
          <w:tcPr>
            <w:tcW w:w="0" w:type="auto"/>
            <w:vAlign w:val="center"/>
          </w:tcPr>
          <w:p w14:paraId="2D6FA7A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lastRenderedPageBreak/>
              <w:t>Yes</w:t>
            </w:r>
          </w:p>
        </w:tc>
        <w:tc>
          <w:tcPr>
            <w:tcW w:w="0" w:type="auto"/>
            <w:vAlign w:val="center"/>
          </w:tcPr>
          <w:p w14:paraId="2F800C3C"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5E622DB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No/Unclear</w:t>
            </w:r>
          </w:p>
        </w:tc>
        <w:tc>
          <w:tcPr>
            <w:tcW w:w="0" w:type="auto"/>
            <w:vAlign w:val="center"/>
          </w:tcPr>
          <w:p w14:paraId="7780B01A"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1EF0C17F"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153BD5E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w:t>
            </w:r>
          </w:p>
        </w:tc>
        <w:tc>
          <w:tcPr>
            <w:tcW w:w="0" w:type="auto"/>
            <w:vAlign w:val="center"/>
          </w:tcPr>
          <w:p w14:paraId="338A555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No/Unclear</w:t>
            </w:r>
          </w:p>
        </w:tc>
        <w:tc>
          <w:tcPr>
            <w:tcW w:w="0" w:type="auto"/>
            <w:vAlign w:val="center"/>
          </w:tcPr>
          <w:p w14:paraId="5CF9A51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703ED75D"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No/Unclear</w:t>
            </w:r>
          </w:p>
        </w:tc>
        <w:tc>
          <w:tcPr>
            <w:tcW w:w="0" w:type="auto"/>
            <w:vAlign w:val="center"/>
          </w:tcPr>
          <w:p w14:paraId="35D90897"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622B61CB"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Yes</w:t>
            </w:r>
          </w:p>
        </w:tc>
        <w:tc>
          <w:tcPr>
            <w:tcW w:w="0" w:type="auto"/>
            <w:vAlign w:val="center"/>
          </w:tcPr>
          <w:p w14:paraId="355399E4"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6/10</w:t>
            </w:r>
          </w:p>
        </w:tc>
        <w:tc>
          <w:tcPr>
            <w:tcW w:w="1181" w:type="dxa"/>
            <w:vAlign w:val="center"/>
          </w:tcPr>
          <w:p w14:paraId="63437DF1" w14:textId="77777777" w:rsidR="0068602E" w:rsidRPr="00EF545D" w:rsidRDefault="0068602E" w:rsidP="00D17C32">
            <w:pPr>
              <w:rPr>
                <w:rFonts w:ascii="Times New Roman" w:hAnsi="Times New Roman" w:cs="Times New Roman"/>
                <w:sz w:val="16"/>
                <w:szCs w:val="16"/>
              </w:rPr>
            </w:pPr>
            <w:r w:rsidRPr="00EF545D">
              <w:rPr>
                <w:rFonts w:ascii="Times New Roman" w:hAnsi="Times New Roman" w:cs="Times New Roman"/>
                <w:sz w:val="16"/>
                <w:szCs w:val="16"/>
              </w:rPr>
              <w:t>Some concerns</w:t>
            </w:r>
          </w:p>
        </w:tc>
      </w:tr>
    </w:tbl>
    <w:p w14:paraId="4A2B6797" w14:textId="77777777" w:rsidR="0068602E" w:rsidRDefault="0068602E" w:rsidP="0068602E"/>
    <w:p w14:paraId="7E31E8EA" w14:textId="77777777" w:rsidR="0068602E" w:rsidRPr="00826342" w:rsidRDefault="0068602E" w:rsidP="0068602E">
      <w:pPr>
        <w:pStyle w:val="CommentText"/>
        <w:spacing w:after="0" w:line="480" w:lineRule="auto"/>
        <w:jc w:val="both"/>
        <w:rPr>
          <w:rFonts w:ascii="Times New Roman" w:hAnsi="Times New Roman" w:cs="Times New Roman"/>
          <w:b/>
          <w:bCs/>
          <w:sz w:val="24"/>
          <w:szCs w:val="24"/>
          <w:lang w:val="en-US"/>
        </w:rPr>
      </w:pPr>
      <w:r w:rsidRPr="0082634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3</w:t>
      </w:r>
      <w:r w:rsidRPr="00826342">
        <w:rPr>
          <w:rFonts w:ascii="Times New Roman" w:hAnsi="Times New Roman" w:cs="Times New Roman"/>
          <w:b/>
          <w:bCs/>
          <w:sz w:val="24"/>
          <w:szCs w:val="24"/>
          <w:lang w:val="en-US"/>
        </w:rPr>
        <w:t>. GRADE Summary of Findings</w:t>
      </w:r>
    </w:p>
    <w:tbl>
      <w:tblPr>
        <w:tblStyle w:val="TableGrid"/>
        <w:tblW w:w="14316" w:type="dxa"/>
        <w:tblInd w:w="-635" w:type="dxa"/>
        <w:tblLook w:val="04A0" w:firstRow="1" w:lastRow="0" w:firstColumn="1" w:lastColumn="0" w:noHBand="0" w:noVBand="1"/>
      </w:tblPr>
      <w:tblGrid>
        <w:gridCol w:w="1049"/>
        <w:gridCol w:w="890"/>
        <w:gridCol w:w="1324"/>
        <w:gridCol w:w="2807"/>
        <w:gridCol w:w="1279"/>
        <w:gridCol w:w="1440"/>
        <w:gridCol w:w="1324"/>
        <w:gridCol w:w="1301"/>
        <w:gridCol w:w="1663"/>
        <w:gridCol w:w="1239"/>
      </w:tblGrid>
      <w:tr w:rsidR="0068602E" w:rsidRPr="00EF545D" w14:paraId="533EBC73" w14:textId="77777777" w:rsidTr="00D17C32">
        <w:tc>
          <w:tcPr>
            <w:tcW w:w="0" w:type="auto"/>
            <w:hideMark/>
          </w:tcPr>
          <w:p w14:paraId="5BC149C6"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Outcome</w:t>
            </w:r>
          </w:p>
        </w:tc>
        <w:tc>
          <w:tcPr>
            <w:tcW w:w="0" w:type="auto"/>
            <w:hideMark/>
          </w:tcPr>
          <w:p w14:paraId="21381902"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Studies</w:t>
            </w:r>
          </w:p>
        </w:tc>
        <w:tc>
          <w:tcPr>
            <w:tcW w:w="0" w:type="auto"/>
            <w:hideMark/>
          </w:tcPr>
          <w:p w14:paraId="002420AC"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Participants</w:t>
            </w:r>
          </w:p>
        </w:tc>
        <w:tc>
          <w:tcPr>
            <w:tcW w:w="2807" w:type="dxa"/>
            <w:hideMark/>
          </w:tcPr>
          <w:p w14:paraId="050609C8"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Effect estimate</w:t>
            </w:r>
          </w:p>
        </w:tc>
        <w:tc>
          <w:tcPr>
            <w:tcW w:w="0" w:type="auto"/>
            <w:hideMark/>
          </w:tcPr>
          <w:p w14:paraId="53B1DFF9"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Risk of bias</w:t>
            </w:r>
          </w:p>
        </w:tc>
        <w:tc>
          <w:tcPr>
            <w:tcW w:w="0" w:type="auto"/>
            <w:hideMark/>
          </w:tcPr>
          <w:p w14:paraId="69EA4302"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Inconsistency</w:t>
            </w:r>
          </w:p>
        </w:tc>
        <w:tc>
          <w:tcPr>
            <w:tcW w:w="0" w:type="auto"/>
            <w:hideMark/>
          </w:tcPr>
          <w:p w14:paraId="5B199ED5"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Indirectness</w:t>
            </w:r>
          </w:p>
        </w:tc>
        <w:tc>
          <w:tcPr>
            <w:tcW w:w="0" w:type="auto"/>
            <w:hideMark/>
          </w:tcPr>
          <w:p w14:paraId="00EF3BEE"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Imprecision</w:t>
            </w:r>
          </w:p>
        </w:tc>
        <w:tc>
          <w:tcPr>
            <w:tcW w:w="0" w:type="auto"/>
            <w:hideMark/>
          </w:tcPr>
          <w:p w14:paraId="74DAD82C"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Publication bias</w:t>
            </w:r>
          </w:p>
        </w:tc>
        <w:tc>
          <w:tcPr>
            <w:tcW w:w="1239" w:type="dxa"/>
            <w:hideMark/>
          </w:tcPr>
          <w:p w14:paraId="0AA41177" w14:textId="77777777" w:rsidR="0068602E" w:rsidRPr="00EF545D" w:rsidRDefault="0068602E" w:rsidP="00D17C32">
            <w:pPr>
              <w:pStyle w:val="CommentText"/>
              <w:jc w:val="both"/>
              <w:rPr>
                <w:rFonts w:ascii="Times New Roman" w:hAnsi="Times New Roman" w:cs="Times New Roman"/>
                <w:b/>
                <w:bCs/>
                <w:sz w:val="18"/>
                <w:szCs w:val="18"/>
                <w:lang w:val="en-US"/>
              </w:rPr>
            </w:pPr>
            <w:r w:rsidRPr="00EF545D">
              <w:rPr>
                <w:rFonts w:ascii="Times New Roman" w:hAnsi="Times New Roman" w:cs="Times New Roman"/>
                <w:b/>
                <w:bCs/>
                <w:sz w:val="18"/>
                <w:szCs w:val="18"/>
                <w:lang w:val="en-US"/>
              </w:rPr>
              <w:t>Certainty</w:t>
            </w:r>
          </w:p>
        </w:tc>
      </w:tr>
      <w:tr w:rsidR="0068602E" w:rsidRPr="00EF545D" w14:paraId="5F6B4C10" w14:textId="77777777" w:rsidTr="00D17C32">
        <w:tc>
          <w:tcPr>
            <w:tcW w:w="0" w:type="auto"/>
            <w:hideMark/>
          </w:tcPr>
          <w:p w14:paraId="28D066CA"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b/>
                <w:bCs/>
                <w:sz w:val="18"/>
                <w:szCs w:val="18"/>
                <w:lang w:val="en-US"/>
              </w:rPr>
              <w:t>6MWD</w:t>
            </w:r>
          </w:p>
        </w:tc>
        <w:tc>
          <w:tcPr>
            <w:tcW w:w="0" w:type="auto"/>
            <w:hideMark/>
          </w:tcPr>
          <w:p w14:paraId="5E041325"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9</w:t>
            </w:r>
          </w:p>
        </w:tc>
        <w:tc>
          <w:tcPr>
            <w:tcW w:w="0" w:type="auto"/>
            <w:hideMark/>
          </w:tcPr>
          <w:p w14:paraId="5D5F6262"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465</w:t>
            </w:r>
          </w:p>
        </w:tc>
        <w:tc>
          <w:tcPr>
            <w:tcW w:w="2807" w:type="dxa"/>
            <w:hideMark/>
          </w:tcPr>
          <w:p w14:paraId="2F4E31AE"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MD 66.75 m (47.60 to 85.89)</w:t>
            </w:r>
          </w:p>
        </w:tc>
        <w:tc>
          <w:tcPr>
            <w:tcW w:w="0" w:type="auto"/>
            <w:hideMark/>
          </w:tcPr>
          <w:p w14:paraId="65D49F26"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−1</w:t>
            </w:r>
          </w:p>
        </w:tc>
        <w:tc>
          <w:tcPr>
            <w:tcW w:w="0" w:type="auto"/>
            <w:hideMark/>
          </w:tcPr>
          <w:p w14:paraId="28EA64D3"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−1</w:t>
            </w:r>
          </w:p>
        </w:tc>
        <w:tc>
          <w:tcPr>
            <w:tcW w:w="0" w:type="auto"/>
            <w:hideMark/>
          </w:tcPr>
          <w:p w14:paraId="432ABB55"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0" w:type="auto"/>
            <w:hideMark/>
          </w:tcPr>
          <w:p w14:paraId="59618D0F"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0" w:type="auto"/>
            <w:hideMark/>
          </w:tcPr>
          <w:p w14:paraId="0E6D68D8"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1239" w:type="dxa"/>
            <w:hideMark/>
          </w:tcPr>
          <w:p w14:paraId="165BEBA1"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b/>
                <w:bCs/>
                <w:sz w:val="18"/>
                <w:szCs w:val="18"/>
                <w:lang w:val="en-US"/>
              </w:rPr>
              <w:t xml:space="preserve">Low </w:t>
            </w:r>
            <w:r w:rsidRPr="00EF545D">
              <w:rPr>
                <w:rFonts w:ascii="Cambria Math" w:hAnsi="Cambria Math" w:cs="Cambria Math"/>
                <w:b/>
                <w:bCs/>
                <w:sz w:val="18"/>
                <w:szCs w:val="18"/>
                <w:lang w:val="en-US"/>
              </w:rPr>
              <w:t>⊕⊕◯◯</w:t>
            </w:r>
          </w:p>
        </w:tc>
      </w:tr>
      <w:tr w:rsidR="0068602E" w:rsidRPr="00EF545D" w14:paraId="6E8D8F89" w14:textId="77777777" w:rsidTr="00D17C32">
        <w:tc>
          <w:tcPr>
            <w:tcW w:w="0" w:type="auto"/>
            <w:hideMark/>
          </w:tcPr>
          <w:p w14:paraId="3251F414"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b/>
                <w:bCs/>
                <w:sz w:val="18"/>
                <w:szCs w:val="18"/>
                <w:lang w:val="en-US"/>
              </w:rPr>
              <w:t>FEV₁</w:t>
            </w:r>
          </w:p>
        </w:tc>
        <w:tc>
          <w:tcPr>
            <w:tcW w:w="0" w:type="auto"/>
            <w:hideMark/>
          </w:tcPr>
          <w:p w14:paraId="0D0D7D2F"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6</w:t>
            </w:r>
          </w:p>
        </w:tc>
        <w:tc>
          <w:tcPr>
            <w:tcW w:w="0" w:type="auto"/>
            <w:hideMark/>
          </w:tcPr>
          <w:p w14:paraId="5988265A"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470</w:t>
            </w:r>
          </w:p>
        </w:tc>
        <w:tc>
          <w:tcPr>
            <w:tcW w:w="2807" w:type="dxa"/>
            <w:hideMark/>
          </w:tcPr>
          <w:p w14:paraId="57341FF6"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MD 0.21 L (−0.01 to 0.43)</w:t>
            </w:r>
          </w:p>
        </w:tc>
        <w:tc>
          <w:tcPr>
            <w:tcW w:w="0" w:type="auto"/>
            <w:hideMark/>
          </w:tcPr>
          <w:p w14:paraId="05BB1556"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−1</w:t>
            </w:r>
          </w:p>
        </w:tc>
        <w:tc>
          <w:tcPr>
            <w:tcW w:w="0" w:type="auto"/>
            <w:hideMark/>
          </w:tcPr>
          <w:p w14:paraId="752E261B"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−1</w:t>
            </w:r>
          </w:p>
        </w:tc>
        <w:tc>
          <w:tcPr>
            <w:tcW w:w="0" w:type="auto"/>
            <w:hideMark/>
          </w:tcPr>
          <w:p w14:paraId="0678DDE9"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0" w:type="auto"/>
            <w:hideMark/>
          </w:tcPr>
          <w:p w14:paraId="65E5F01C"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0" w:type="auto"/>
            <w:hideMark/>
          </w:tcPr>
          <w:p w14:paraId="4139526A"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1239" w:type="dxa"/>
            <w:hideMark/>
          </w:tcPr>
          <w:p w14:paraId="4F1B8A18"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b/>
                <w:bCs/>
                <w:sz w:val="18"/>
                <w:szCs w:val="18"/>
                <w:lang w:val="en-US"/>
              </w:rPr>
              <w:t xml:space="preserve">Low </w:t>
            </w:r>
            <w:r w:rsidRPr="00EF545D">
              <w:rPr>
                <w:rFonts w:ascii="Cambria Math" w:hAnsi="Cambria Math" w:cs="Cambria Math"/>
                <w:b/>
                <w:bCs/>
                <w:sz w:val="18"/>
                <w:szCs w:val="18"/>
                <w:lang w:val="en-US"/>
              </w:rPr>
              <w:t>⊕⊕◯◯</w:t>
            </w:r>
          </w:p>
        </w:tc>
      </w:tr>
      <w:tr w:rsidR="0068602E" w:rsidRPr="00EF545D" w14:paraId="426180F9" w14:textId="77777777" w:rsidTr="00D17C32">
        <w:tc>
          <w:tcPr>
            <w:tcW w:w="0" w:type="auto"/>
            <w:hideMark/>
          </w:tcPr>
          <w:p w14:paraId="47C86C49"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b/>
                <w:bCs/>
                <w:sz w:val="18"/>
                <w:szCs w:val="18"/>
                <w:lang w:val="en-US"/>
              </w:rPr>
              <w:t>FVC</w:t>
            </w:r>
          </w:p>
        </w:tc>
        <w:tc>
          <w:tcPr>
            <w:tcW w:w="0" w:type="auto"/>
            <w:hideMark/>
          </w:tcPr>
          <w:p w14:paraId="6EEF0D8D"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6</w:t>
            </w:r>
          </w:p>
        </w:tc>
        <w:tc>
          <w:tcPr>
            <w:tcW w:w="0" w:type="auto"/>
            <w:hideMark/>
          </w:tcPr>
          <w:p w14:paraId="63E7BCAD"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470</w:t>
            </w:r>
          </w:p>
        </w:tc>
        <w:tc>
          <w:tcPr>
            <w:tcW w:w="2807" w:type="dxa"/>
            <w:hideMark/>
          </w:tcPr>
          <w:p w14:paraId="4C3E2CC3"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MD 0.28 L (−0.02 to 0.57)</w:t>
            </w:r>
          </w:p>
        </w:tc>
        <w:tc>
          <w:tcPr>
            <w:tcW w:w="0" w:type="auto"/>
            <w:hideMark/>
          </w:tcPr>
          <w:p w14:paraId="08480E9C"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−1</w:t>
            </w:r>
          </w:p>
        </w:tc>
        <w:tc>
          <w:tcPr>
            <w:tcW w:w="0" w:type="auto"/>
            <w:hideMark/>
          </w:tcPr>
          <w:p w14:paraId="4F651B03"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−1</w:t>
            </w:r>
          </w:p>
        </w:tc>
        <w:tc>
          <w:tcPr>
            <w:tcW w:w="0" w:type="auto"/>
            <w:hideMark/>
          </w:tcPr>
          <w:p w14:paraId="74CA1F99"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0" w:type="auto"/>
            <w:hideMark/>
          </w:tcPr>
          <w:p w14:paraId="092B24CD"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−1</w:t>
            </w:r>
          </w:p>
        </w:tc>
        <w:tc>
          <w:tcPr>
            <w:tcW w:w="0" w:type="auto"/>
            <w:hideMark/>
          </w:tcPr>
          <w:p w14:paraId="572F7575"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sz w:val="18"/>
                <w:szCs w:val="18"/>
                <w:lang w:val="en-US"/>
              </w:rPr>
              <w:t>0*</w:t>
            </w:r>
          </w:p>
        </w:tc>
        <w:tc>
          <w:tcPr>
            <w:tcW w:w="1239" w:type="dxa"/>
            <w:hideMark/>
          </w:tcPr>
          <w:p w14:paraId="52B9F10E" w14:textId="77777777" w:rsidR="0068602E" w:rsidRPr="00EF545D" w:rsidRDefault="0068602E" w:rsidP="00D17C32">
            <w:pPr>
              <w:pStyle w:val="CommentText"/>
              <w:jc w:val="both"/>
              <w:rPr>
                <w:rFonts w:ascii="Times New Roman" w:hAnsi="Times New Roman" w:cs="Times New Roman"/>
                <w:sz w:val="18"/>
                <w:szCs w:val="18"/>
                <w:lang w:val="en-US"/>
              </w:rPr>
            </w:pPr>
            <w:r w:rsidRPr="00EF545D">
              <w:rPr>
                <w:rFonts w:ascii="Times New Roman" w:hAnsi="Times New Roman" w:cs="Times New Roman"/>
                <w:b/>
                <w:bCs/>
                <w:sz w:val="18"/>
                <w:szCs w:val="18"/>
                <w:lang w:val="en-US"/>
              </w:rPr>
              <w:t xml:space="preserve">Very low </w:t>
            </w:r>
            <w:r w:rsidRPr="00EF545D">
              <w:rPr>
                <w:rFonts w:ascii="Cambria Math" w:hAnsi="Cambria Math" w:cs="Cambria Math"/>
                <w:b/>
                <w:bCs/>
                <w:sz w:val="18"/>
                <w:szCs w:val="18"/>
                <w:lang w:val="en-US"/>
              </w:rPr>
              <w:t>⊕◯◯◯</w:t>
            </w:r>
          </w:p>
        </w:tc>
      </w:tr>
    </w:tbl>
    <w:p w14:paraId="319DB6F6" w14:textId="77777777" w:rsidR="0068602E" w:rsidRDefault="0068602E" w:rsidP="0068602E">
      <w:pPr>
        <w:pStyle w:val="CommentText"/>
        <w:spacing w:after="0" w:line="480" w:lineRule="auto"/>
        <w:jc w:val="both"/>
        <w:rPr>
          <w:rFonts w:ascii="Times New Roman" w:hAnsi="Times New Roman" w:cs="Times New Roman"/>
          <w:b/>
          <w:bCs/>
        </w:rPr>
      </w:pPr>
      <w:r w:rsidRPr="00826342">
        <w:rPr>
          <w:rFonts w:ascii="Times New Roman" w:hAnsi="Times New Roman" w:cs="Times New Roman"/>
          <w:sz w:val="24"/>
          <w:szCs w:val="24"/>
          <w:lang w:val="en-US"/>
        </w:rPr>
        <w:t>* Publication bias was not formally assessed because fewer than 10 studies contributed to each meta-analysis; therefore, no downgrade was applied.</w:t>
      </w:r>
    </w:p>
    <w:p w14:paraId="0C402695" w14:textId="77777777" w:rsidR="00A91650" w:rsidRDefault="00A91650"/>
    <w:sectPr w:rsidR="00A91650" w:rsidSect="0068602E">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4F0"/>
    <w:multiLevelType w:val="multilevel"/>
    <w:tmpl w:val="28A2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B047B"/>
    <w:multiLevelType w:val="hybridMultilevel"/>
    <w:tmpl w:val="746E2436"/>
    <w:lvl w:ilvl="0" w:tplc="15444A78">
      <w:numFmt w:val="bullet"/>
      <w:lvlText w:val=""/>
      <w:lvlJc w:val="left"/>
      <w:pPr>
        <w:ind w:left="730" w:hanging="37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95B48"/>
    <w:multiLevelType w:val="hybridMultilevel"/>
    <w:tmpl w:val="7CAAF0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B55F8D"/>
    <w:multiLevelType w:val="multilevel"/>
    <w:tmpl w:val="0204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A4357"/>
    <w:multiLevelType w:val="hybridMultilevel"/>
    <w:tmpl w:val="9D2AFA54"/>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65C09EB"/>
    <w:multiLevelType w:val="hybridMultilevel"/>
    <w:tmpl w:val="E3DC2B4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13D5F83"/>
    <w:multiLevelType w:val="multilevel"/>
    <w:tmpl w:val="F75A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87294"/>
    <w:multiLevelType w:val="hybridMultilevel"/>
    <w:tmpl w:val="ADD65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24C30"/>
    <w:multiLevelType w:val="hybridMultilevel"/>
    <w:tmpl w:val="B3766DF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C66A26"/>
    <w:multiLevelType w:val="hybridMultilevel"/>
    <w:tmpl w:val="E3DC2B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2C2D3D"/>
    <w:multiLevelType w:val="hybridMultilevel"/>
    <w:tmpl w:val="5B1802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C6642C"/>
    <w:multiLevelType w:val="multilevel"/>
    <w:tmpl w:val="7972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B20D0"/>
    <w:multiLevelType w:val="hybridMultilevel"/>
    <w:tmpl w:val="EF809E22"/>
    <w:lvl w:ilvl="0" w:tplc="15444A78">
      <w:numFmt w:val="bullet"/>
      <w:lvlText w:val=""/>
      <w:lvlJc w:val="left"/>
      <w:pPr>
        <w:ind w:left="1090" w:hanging="37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B3B7A76"/>
    <w:multiLevelType w:val="hybridMultilevel"/>
    <w:tmpl w:val="A3F6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21220"/>
    <w:multiLevelType w:val="multilevel"/>
    <w:tmpl w:val="013A5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2C0E4C"/>
    <w:multiLevelType w:val="hybridMultilevel"/>
    <w:tmpl w:val="7072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57097">
    <w:abstractNumId w:val="3"/>
  </w:num>
  <w:num w:numId="2" w16cid:durableId="2143956965">
    <w:abstractNumId w:val="0"/>
  </w:num>
  <w:num w:numId="3" w16cid:durableId="1241017143">
    <w:abstractNumId w:val="14"/>
  </w:num>
  <w:num w:numId="4" w16cid:durableId="295569912">
    <w:abstractNumId w:val="11"/>
  </w:num>
  <w:num w:numId="5" w16cid:durableId="1904025880">
    <w:abstractNumId w:val="6"/>
  </w:num>
  <w:num w:numId="6" w16cid:durableId="1359893683">
    <w:abstractNumId w:val="7"/>
  </w:num>
  <w:num w:numId="7" w16cid:durableId="550532512">
    <w:abstractNumId w:val="2"/>
  </w:num>
  <w:num w:numId="8" w16cid:durableId="1719473099">
    <w:abstractNumId w:val="15"/>
  </w:num>
  <w:num w:numId="9" w16cid:durableId="960719805">
    <w:abstractNumId w:val="1"/>
  </w:num>
  <w:num w:numId="10" w16cid:durableId="1482310212">
    <w:abstractNumId w:val="12"/>
  </w:num>
  <w:num w:numId="11" w16cid:durableId="11958251">
    <w:abstractNumId w:val="10"/>
  </w:num>
  <w:num w:numId="12" w16cid:durableId="452943801">
    <w:abstractNumId w:val="4"/>
  </w:num>
  <w:num w:numId="13" w16cid:durableId="388768777">
    <w:abstractNumId w:val="9"/>
  </w:num>
  <w:num w:numId="14" w16cid:durableId="928000322">
    <w:abstractNumId w:val="5"/>
  </w:num>
  <w:num w:numId="15" w16cid:durableId="320156254">
    <w:abstractNumId w:val="13"/>
  </w:num>
  <w:num w:numId="16" w16cid:durableId="20875362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02E"/>
    <w:rsid w:val="000E2EDD"/>
    <w:rsid w:val="0068602E"/>
    <w:rsid w:val="00821F13"/>
    <w:rsid w:val="00A91650"/>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4A35"/>
  <w15:chartTrackingRefBased/>
  <w15:docId w15:val="{A528EDAB-0E03-4098-93E8-B05D98639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2E"/>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686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02E"/>
    <w:rPr>
      <w:rFonts w:eastAsiaTheme="majorEastAsia" w:cstheme="majorBidi"/>
      <w:color w:val="272727" w:themeColor="text1" w:themeTint="D8"/>
    </w:rPr>
  </w:style>
  <w:style w:type="paragraph" w:styleId="Title">
    <w:name w:val="Title"/>
    <w:basedOn w:val="Normal"/>
    <w:next w:val="Normal"/>
    <w:link w:val="TitleChar"/>
    <w:uiPriority w:val="10"/>
    <w:qFormat/>
    <w:rsid w:val="00686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02E"/>
    <w:pPr>
      <w:spacing w:before="160"/>
      <w:jc w:val="center"/>
    </w:pPr>
    <w:rPr>
      <w:i/>
      <w:iCs/>
      <w:color w:val="404040" w:themeColor="text1" w:themeTint="BF"/>
    </w:rPr>
  </w:style>
  <w:style w:type="character" w:customStyle="1" w:styleId="QuoteChar">
    <w:name w:val="Quote Char"/>
    <w:basedOn w:val="DefaultParagraphFont"/>
    <w:link w:val="Quote"/>
    <w:uiPriority w:val="29"/>
    <w:rsid w:val="0068602E"/>
    <w:rPr>
      <w:i/>
      <w:iCs/>
      <w:color w:val="404040" w:themeColor="text1" w:themeTint="BF"/>
    </w:rPr>
  </w:style>
  <w:style w:type="paragraph" w:styleId="ListParagraph">
    <w:name w:val="List Paragraph"/>
    <w:basedOn w:val="Normal"/>
    <w:uiPriority w:val="34"/>
    <w:qFormat/>
    <w:rsid w:val="0068602E"/>
    <w:pPr>
      <w:ind w:left="720"/>
      <w:contextualSpacing/>
    </w:pPr>
  </w:style>
  <w:style w:type="character" w:styleId="IntenseEmphasis">
    <w:name w:val="Intense Emphasis"/>
    <w:basedOn w:val="DefaultParagraphFont"/>
    <w:uiPriority w:val="21"/>
    <w:qFormat/>
    <w:rsid w:val="0068602E"/>
    <w:rPr>
      <w:i/>
      <w:iCs/>
      <w:color w:val="0F4761" w:themeColor="accent1" w:themeShade="BF"/>
    </w:rPr>
  </w:style>
  <w:style w:type="paragraph" w:styleId="IntenseQuote">
    <w:name w:val="Intense Quote"/>
    <w:basedOn w:val="Normal"/>
    <w:next w:val="Normal"/>
    <w:link w:val="IntenseQuoteChar"/>
    <w:uiPriority w:val="30"/>
    <w:qFormat/>
    <w:rsid w:val="00686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02E"/>
    <w:rPr>
      <w:i/>
      <w:iCs/>
      <w:color w:val="0F4761" w:themeColor="accent1" w:themeShade="BF"/>
    </w:rPr>
  </w:style>
  <w:style w:type="character" w:styleId="IntenseReference">
    <w:name w:val="Intense Reference"/>
    <w:basedOn w:val="DefaultParagraphFont"/>
    <w:uiPriority w:val="32"/>
    <w:qFormat/>
    <w:rsid w:val="0068602E"/>
    <w:rPr>
      <w:b/>
      <w:bCs/>
      <w:smallCaps/>
      <w:color w:val="0F4761" w:themeColor="accent1" w:themeShade="BF"/>
      <w:spacing w:val="5"/>
    </w:rPr>
  </w:style>
  <w:style w:type="character" w:styleId="Strong">
    <w:name w:val="Strong"/>
    <w:basedOn w:val="DefaultParagraphFont"/>
    <w:uiPriority w:val="22"/>
    <w:qFormat/>
    <w:rsid w:val="0068602E"/>
    <w:rPr>
      <w:b/>
      <w:bCs/>
    </w:rPr>
  </w:style>
  <w:style w:type="paragraph" w:styleId="CommentText">
    <w:name w:val="annotation text"/>
    <w:basedOn w:val="Normal"/>
    <w:link w:val="CommentTextChar"/>
    <w:uiPriority w:val="99"/>
    <w:unhideWhenUsed/>
    <w:rsid w:val="0068602E"/>
    <w:pPr>
      <w:spacing w:line="240" w:lineRule="auto"/>
    </w:pPr>
    <w:rPr>
      <w:rFonts w:eastAsiaTheme="minorEastAsia"/>
      <w:sz w:val="20"/>
      <w:szCs w:val="20"/>
      <w:lang w:val="en-AU" w:eastAsia="zh-CN"/>
    </w:rPr>
  </w:style>
  <w:style w:type="character" w:customStyle="1" w:styleId="CommentTextChar">
    <w:name w:val="Comment Text Char"/>
    <w:basedOn w:val="DefaultParagraphFont"/>
    <w:link w:val="CommentText"/>
    <w:uiPriority w:val="99"/>
    <w:rsid w:val="0068602E"/>
    <w:rPr>
      <w:rFonts w:eastAsiaTheme="minorEastAsia"/>
      <w:kern w:val="0"/>
      <w:sz w:val="20"/>
      <w:szCs w:val="20"/>
      <w:lang w:val="en-AU" w:eastAsia="zh-CN"/>
      <w14:ligatures w14:val="none"/>
    </w:rPr>
  </w:style>
  <w:style w:type="paragraph" w:customStyle="1" w:styleId="Default">
    <w:name w:val="Default"/>
    <w:rsid w:val="0068602E"/>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character" w:styleId="Hyperlink">
    <w:name w:val="Hyperlink"/>
    <w:basedOn w:val="DefaultParagraphFont"/>
    <w:uiPriority w:val="99"/>
    <w:unhideWhenUsed/>
    <w:rsid w:val="0068602E"/>
    <w:rPr>
      <w:color w:val="467886" w:themeColor="hyperlink"/>
      <w:u w:val="single"/>
    </w:rPr>
  </w:style>
  <w:style w:type="character" w:styleId="UnresolvedMention">
    <w:name w:val="Unresolved Mention"/>
    <w:basedOn w:val="DefaultParagraphFont"/>
    <w:uiPriority w:val="99"/>
    <w:semiHidden/>
    <w:unhideWhenUsed/>
    <w:rsid w:val="0068602E"/>
    <w:rPr>
      <w:color w:val="605E5C"/>
      <w:shd w:val="clear" w:color="auto" w:fill="E1DFDD"/>
    </w:rPr>
  </w:style>
  <w:style w:type="character" w:styleId="Emphasis">
    <w:name w:val="Emphasis"/>
    <w:basedOn w:val="DefaultParagraphFont"/>
    <w:uiPriority w:val="20"/>
    <w:qFormat/>
    <w:rsid w:val="0068602E"/>
    <w:rPr>
      <w:i/>
      <w:iCs/>
    </w:rPr>
  </w:style>
  <w:style w:type="table" w:styleId="TableGrid">
    <w:name w:val="Table Grid"/>
    <w:basedOn w:val="TableNormal"/>
    <w:uiPriority w:val="39"/>
    <w:rsid w:val="006860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11592</Words>
  <Characters>66075</Characters>
  <Application>Microsoft Office Word</Application>
  <DocSecurity>0</DocSecurity>
  <Lines>550</Lines>
  <Paragraphs>155</Paragraphs>
  <ScaleCrop>false</ScaleCrop>
  <Company/>
  <LinksUpToDate>false</LinksUpToDate>
  <CharactersWithSpaces>77512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2026-09-07T17:51:00Z</dcterms:created>
  <dcterms:modified xsi:type="dcterms:W3CDTF">2026-09-07T17:51:00Z</dcterms:modified>
</cp:coreProperties>
</file>