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EBAE1">
      <w:pPr>
        <w:jc w:val="center"/>
      </w:pPr>
    </w:p>
    <w:p w14:paraId="788BCA36">
      <w:pPr>
        <w:jc w:val="center"/>
      </w:pPr>
    </w:p>
    <w:p w14:paraId="06B96F3B">
      <w:pPr>
        <w:jc w:val="center"/>
      </w:pPr>
    </w:p>
    <w:p w14:paraId="24AFDCBB">
      <w:pPr>
        <w:rPr>
          <w:rFonts w:hint="default" w:ascii="Times New Roman" w:hAnsi="Times New Roman" w:cs="Times New Roman"/>
        </w:rPr>
      </w:pPr>
      <w:r>
        <w:rPr>
          <w:rFonts w:hint="default" w:ascii="Times New Roman" w:hAnsi="Times New Roman" w:cs="Times New Roman"/>
          <w:b/>
          <w:bCs/>
        </w:rPr>
        <w:t>Figure S1.</w:t>
      </w:r>
      <w:r>
        <w:rPr>
          <w:rFonts w:hint="default" w:ascii="Times New Roman" w:hAnsi="Times New Roman" w:cs="Times New Roman"/>
        </w:rPr>
        <w:t xml:space="preserve"> Flowchart of participant selection for the analysis of incident cardiometabolic diseases in the ELSA, HRS, and SHARE cohorts.</w:t>
      </w:r>
    </w:p>
    <w:p w14:paraId="287E39D5">
      <w:pPr>
        <w:jc w:val="center"/>
      </w:pPr>
    </w:p>
    <w:p w14:paraId="1AAB84BA">
      <w:r>
        <w:rPr>
          <w:rFonts w:hint="default" w:ascii="Times New Roman" w:hAnsi="Times New Roman" w:cs="Times New Roman"/>
          <w:b/>
          <w:bCs/>
          <w:lang w:val="en-US" w:eastAsia="zh-CN"/>
        </w:rPr>
        <w:t xml:space="preserve">Figure S2. </w:t>
      </w:r>
      <w:r>
        <w:rPr>
          <w:rFonts w:hint="default" w:ascii="Times New Roman" w:hAnsi="Times New Roman" w:cs="Times New Roman"/>
          <w:lang w:val="en-US" w:eastAsia="zh-CN"/>
        </w:rPr>
        <w:t>Associations of dual sensory impairment with incident cardiometabolic disease, heart disease, diabetes, and stroke in the ELSA, HRS, and SHARE cohorts.</w:t>
      </w:r>
    </w:p>
    <w:p w14:paraId="794454DA">
      <w:pPr>
        <w:jc w:val="both"/>
      </w:pPr>
    </w:p>
    <w:p w14:paraId="6CE7C1BC">
      <w:pPr>
        <w:rPr>
          <w:rFonts w:hint="default" w:ascii="Times New Roman" w:hAnsi="Times New Roman" w:cs="Times New Roman"/>
          <w:lang w:val="en-US" w:eastAsia="zh-CN"/>
        </w:rPr>
      </w:pPr>
      <w:r>
        <w:rPr>
          <w:rFonts w:hint="default" w:ascii="Times New Roman" w:hAnsi="Times New Roman" w:cs="Times New Roman"/>
          <w:b/>
          <w:bCs/>
        </w:rPr>
        <w:t>Figure S</w:t>
      </w:r>
      <w:r>
        <w:rPr>
          <w:rFonts w:hint="default" w:ascii="Times New Roman" w:hAnsi="Times New Roman" w:cs="Times New Roman"/>
          <w:b/>
          <w:bCs/>
          <w:lang w:val="en-US" w:eastAsia="zh-CN"/>
        </w:rPr>
        <w:t>3</w:t>
      </w:r>
      <w:r>
        <w:rPr>
          <w:rFonts w:hint="default" w:ascii="Times New Roman" w:hAnsi="Times New Roman" w:cs="Times New Roman"/>
          <w:b/>
          <w:bCs/>
        </w:rPr>
        <w:t>.</w:t>
      </w:r>
      <w:r>
        <w:rPr>
          <w:rFonts w:hint="default" w:ascii="Times New Roman" w:hAnsi="Times New Roman" w:cs="Times New Roman"/>
        </w:rPr>
        <w:t xml:space="preserve"> </w:t>
      </w:r>
      <w:r>
        <w:rPr>
          <w:rFonts w:hint="default" w:ascii="Times New Roman" w:hAnsi="Times New Roman" w:cs="Times New Roman"/>
          <w:lang w:val="en-US" w:eastAsia="zh-CN"/>
        </w:rPr>
        <w:t>Forest plot of associations between cumulative average sensory impairment and incident cardiometabolic disease outcomes in the primary analysis.</w:t>
      </w:r>
    </w:p>
    <w:p w14:paraId="75B39478">
      <w:pPr>
        <w:jc w:val="center"/>
      </w:pPr>
    </w:p>
    <w:p w14:paraId="344987F9">
      <w:r>
        <w:rPr>
          <w:rFonts w:hint="default" w:ascii="Times New Roman" w:hAnsi="Times New Roman" w:cs="Times New Roman"/>
          <w:b/>
          <w:bCs/>
        </w:rPr>
        <w:t>Figure S</w:t>
      </w:r>
      <w:r>
        <w:rPr>
          <w:rFonts w:hint="eastAsia" w:ascii="Times New Roman" w:hAnsi="Times New Roman" w:cs="Times New Roman"/>
          <w:b/>
          <w:bCs/>
          <w:lang w:val="en-US" w:eastAsia="zh-CN"/>
        </w:rPr>
        <w:t>4</w:t>
      </w:r>
      <w:r>
        <w:rPr>
          <w:rFonts w:hint="default" w:ascii="Times New Roman" w:hAnsi="Times New Roman" w:cs="Times New Roman"/>
          <w:b/>
          <w:bCs/>
        </w:rPr>
        <w:t xml:space="preserve">. </w:t>
      </w:r>
      <w:r>
        <w:rPr>
          <w:rFonts w:hint="default" w:ascii="Times New Roman" w:hAnsi="Times New Roman" w:cs="Times New Roman"/>
          <w:lang w:val="en-US" w:eastAsia="zh-CN"/>
        </w:rPr>
        <w:t>Subgroup analyses of the association between cumulative average dual sensory impairment and incident cardiometabolic disease in the ELSA cohort.</w:t>
      </w:r>
    </w:p>
    <w:p w14:paraId="733BA25C">
      <w:pPr>
        <w:jc w:val="center"/>
      </w:pPr>
    </w:p>
    <w:p w14:paraId="1CF1D3E4">
      <w:r>
        <w:rPr>
          <w:rFonts w:hint="default" w:ascii="Times New Roman" w:hAnsi="Times New Roman" w:cs="Times New Roman"/>
          <w:b/>
          <w:bCs/>
          <w:lang w:val="en-US" w:eastAsia="zh-CN"/>
        </w:rPr>
        <w:t>Figure S</w:t>
      </w:r>
      <w:r>
        <w:rPr>
          <w:rFonts w:hint="eastAsia" w:ascii="Times New Roman" w:hAnsi="Times New Roman" w:cs="Times New Roman"/>
          <w:b/>
          <w:bCs/>
          <w:lang w:val="en-US" w:eastAsia="zh-CN"/>
        </w:rPr>
        <w:t>5</w:t>
      </w:r>
      <w:r>
        <w:rPr>
          <w:rFonts w:hint="default" w:ascii="Times New Roman" w:hAnsi="Times New Roman" w:cs="Times New Roman"/>
          <w:b/>
          <w:bCs/>
          <w:lang w:val="en-US" w:eastAsia="zh-CN"/>
        </w:rPr>
        <w:t xml:space="preserve">. </w:t>
      </w:r>
      <w:r>
        <w:rPr>
          <w:rFonts w:hint="default" w:ascii="Times New Roman" w:hAnsi="Times New Roman" w:cs="Times New Roman"/>
          <w:lang w:val="en-US" w:eastAsia="zh-CN"/>
        </w:rPr>
        <w:t>Subgroup analyses of the association between cumulative average dual sensory impairment and incident cardiometabolic disease in the HRS cohort.</w:t>
      </w:r>
    </w:p>
    <w:p w14:paraId="3FFB5861">
      <w:pPr>
        <w:jc w:val="center"/>
      </w:pPr>
    </w:p>
    <w:p w14:paraId="4543BE70">
      <w:pPr>
        <w:rPr>
          <w:rFonts w:hint="default" w:ascii="Times New Roman" w:hAnsi="Times New Roman" w:cs="Times New Roman"/>
          <w:lang w:val="en-US" w:eastAsia="zh-CN"/>
        </w:rPr>
      </w:pPr>
      <w:r>
        <w:rPr>
          <w:rFonts w:hint="default" w:ascii="Times New Roman" w:hAnsi="Times New Roman" w:cs="Times New Roman"/>
          <w:b/>
          <w:bCs/>
          <w:lang w:val="en-US" w:eastAsia="zh-CN"/>
        </w:rPr>
        <w:t>Figure S</w:t>
      </w:r>
      <w:r>
        <w:rPr>
          <w:rFonts w:hint="eastAsia" w:ascii="Times New Roman" w:hAnsi="Times New Roman" w:cs="Times New Roman"/>
          <w:b/>
          <w:bCs/>
          <w:lang w:val="en-US" w:eastAsia="zh-CN"/>
        </w:rPr>
        <w:t>6</w:t>
      </w:r>
      <w:r>
        <w:rPr>
          <w:rFonts w:hint="default" w:ascii="Times New Roman" w:hAnsi="Times New Roman" w:cs="Times New Roman"/>
          <w:b/>
          <w:bCs/>
          <w:lang w:val="en-US" w:eastAsia="zh-CN"/>
        </w:rPr>
        <w:t xml:space="preserve">. </w:t>
      </w:r>
      <w:r>
        <w:rPr>
          <w:rFonts w:hint="default" w:ascii="Times New Roman" w:hAnsi="Times New Roman" w:cs="Times New Roman"/>
          <w:lang w:val="en-US" w:eastAsia="zh-CN"/>
        </w:rPr>
        <w:t>Subgroup analyses of the association between cumulative average dual sensory impairment and incident cardiometabolic disease in the SHARE cohort.</w:t>
      </w:r>
    </w:p>
    <w:p w14:paraId="38FA1D44">
      <w:pPr>
        <w:rPr>
          <w:rFonts w:hint="default" w:ascii="Times New Roman" w:hAnsi="Times New Roman" w:cs="Times New Roman"/>
          <w:b/>
          <w:bCs/>
        </w:rPr>
      </w:pPr>
    </w:p>
    <w:p w14:paraId="496D650A">
      <w:pPr>
        <w:rPr>
          <w:rFonts w:hint="default" w:ascii="Times New Roman" w:hAnsi="Times New Roman" w:cs="Times New Roman"/>
          <w:lang w:val="en-US" w:eastAsia="zh-CN"/>
        </w:rPr>
      </w:pPr>
      <w:r>
        <w:rPr>
          <w:rFonts w:hint="default" w:ascii="Times New Roman" w:hAnsi="Times New Roman" w:cs="Times New Roman"/>
          <w:b/>
          <w:bCs/>
        </w:rPr>
        <w:t>Figure S</w:t>
      </w:r>
      <w:r>
        <w:rPr>
          <w:rFonts w:hint="eastAsia" w:ascii="Times New Roman" w:hAnsi="Times New Roman" w:cs="Times New Roman"/>
          <w:b/>
          <w:bCs/>
          <w:lang w:val="en-US" w:eastAsia="zh-CN"/>
        </w:rPr>
        <w:t>7</w:t>
      </w:r>
      <w:r>
        <w:rPr>
          <w:rFonts w:hint="default" w:ascii="Times New Roman" w:hAnsi="Times New Roman" w:cs="Times New Roman"/>
          <w:b/>
          <w:bCs/>
        </w:rPr>
        <w:t>.</w:t>
      </w:r>
      <w:r>
        <w:rPr>
          <w:rFonts w:hint="default" w:ascii="Times New Roman" w:hAnsi="Times New Roman" w:cs="Times New Roman"/>
        </w:rPr>
        <w:t xml:space="preserve"> </w:t>
      </w:r>
      <w:r>
        <w:rPr>
          <w:rFonts w:hint="default" w:ascii="Times New Roman" w:hAnsi="Times New Roman" w:cs="Times New Roman"/>
          <w:lang w:val="en-US" w:eastAsia="zh-CN"/>
        </w:rPr>
        <w:t>Forest plot of associations between cumulative average sensory impairment and incident cardiometabolic disease outcomes after excluding events occurring during the first 2 years of follow-up.</w:t>
      </w:r>
    </w:p>
    <w:p w14:paraId="149FB90C">
      <w:pPr>
        <w:jc w:val="center"/>
      </w:pPr>
    </w:p>
    <w:p w14:paraId="62696515">
      <w:pPr>
        <w:rPr>
          <w:rFonts w:hint="default" w:ascii="Times New Roman" w:hAnsi="Times New Roman" w:cs="Times New Roman" w:eastAsiaTheme="minorEastAsia"/>
          <w:lang w:val="en-US" w:eastAsia="zh-CN"/>
        </w:rPr>
      </w:pPr>
      <w:r>
        <w:rPr>
          <w:rFonts w:hint="default" w:ascii="Times New Roman" w:hAnsi="Times New Roman" w:cs="Times New Roman"/>
          <w:b/>
          <w:bCs/>
        </w:rPr>
        <w:t>Figure S</w:t>
      </w:r>
      <w:r>
        <w:rPr>
          <w:rFonts w:hint="eastAsia" w:ascii="Times New Roman" w:hAnsi="Times New Roman" w:cs="Times New Roman"/>
          <w:b/>
          <w:bCs/>
          <w:lang w:val="en-US" w:eastAsia="zh-CN"/>
        </w:rPr>
        <w:t>8</w:t>
      </w:r>
      <w:r>
        <w:rPr>
          <w:rFonts w:hint="default" w:ascii="Times New Roman" w:hAnsi="Times New Roman" w:cs="Times New Roman"/>
          <w:b/>
          <w:bCs/>
        </w:rPr>
        <w:t>.</w:t>
      </w:r>
      <w:r>
        <w:rPr>
          <w:rFonts w:hint="eastAsia" w:ascii="Times New Roman" w:hAnsi="Times New Roman" w:cs="Times New Roman"/>
          <w:b/>
          <w:bCs/>
          <w:lang w:val="en-US" w:eastAsia="zh-CN"/>
        </w:rPr>
        <w:t xml:space="preserve"> </w:t>
      </w:r>
      <w:r>
        <w:rPr>
          <w:rFonts w:hint="default" w:ascii="Times New Roman" w:hAnsi="Times New Roman" w:cs="Times New Roman"/>
          <w:lang w:val="en-US" w:eastAsia="zh-CN"/>
        </w:rPr>
        <w:t>Random-effects meta-analysis of associations between cumulative average sensory impairment and incident cardiometaboli</w:t>
      </w:r>
      <w:bookmarkStart w:id="0" w:name="_GoBack"/>
      <w:bookmarkEnd w:id="0"/>
      <w:r>
        <w:rPr>
          <w:rFonts w:hint="default" w:ascii="Times New Roman" w:hAnsi="Times New Roman" w:cs="Times New Roman"/>
          <w:lang w:val="en-US" w:eastAsia="zh-CN"/>
        </w:rPr>
        <w:t>c disease outcomes in sensitivity analyses.</w:t>
      </w:r>
    </w:p>
    <w:p w14:paraId="4CA87876">
      <w:pPr>
        <w:jc w:val="center"/>
      </w:pPr>
    </w:p>
    <w:p w14:paraId="015FD406">
      <w:pPr>
        <w:jc w:val="center"/>
      </w:pPr>
    </w:p>
    <w:p w14:paraId="71112201">
      <w:pPr>
        <w:jc w:val="center"/>
      </w:pPr>
    </w:p>
    <w:p w14:paraId="6D4EF782">
      <w:pPr>
        <w:jc w:val="center"/>
      </w:pPr>
    </w:p>
    <w:p w14:paraId="66647002">
      <w:pPr>
        <w:jc w:val="center"/>
      </w:pPr>
    </w:p>
    <w:p w14:paraId="4CF6784A">
      <w:pPr>
        <w:jc w:val="center"/>
      </w:pPr>
    </w:p>
    <w:p w14:paraId="16C24D03">
      <w:pPr>
        <w:jc w:val="center"/>
      </w:pPr>
    </w:p>
    <w:p w14:paraId="6FC807A1">
      <w:pPr>
        <w:jc w:val="center"/>
      </w:pPr>
    </w:p>
    <w:p w14:paraId="3F5A46A0">
      <w:pPr>
        <w:jc w:val="center"/>
      </w:pPr>
    </w:p>
    <w:p w14:paraId="1E395A6D">
      <w:pPr>
        <w:jc w:val="both"/>
      </w:pPr>
      <w:r>
        <w:drawing>
          <wp:inline distT="0" distB="0" distL="114300" distR="114300">
            <wp:extent cx="5256530" cy="2947670"/>
            <wp:effectExtent l="0" t="0" r="1270" b="1143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4"/>
                    <a:stretch>
                      <a:fillRect/>
                    </a:stretch>
                  </pic:blipFill>
                  <pic:spPr>
                    <a:xfrm>
                      <a:off x="0" y="0"/>
                      <a:ext cx="5256530" cy="2947670"/>
                    </a:xfrm>
                    <a:prstGeom prst="rect">
                      <a:avLst/>
                    </a:prstGeom>
                    <a:noFill/>
                    <a:ln>
                      <a:noFill/>
                    </a:ln>
                  </pic:spPr>
                </pic:pic>
              </a:graphicData>
            </a:graphic>
          </wp:inline>
        </w:drawing>
      </w:r>
    </w:p>
    <w:p w14:paraId="1D427BC9">
      <w:pPr>
        <w:rPr>
          <w:rFonts w:hint="default" w:ascii="Times New Roman" w:hAnsi="Times New Roman" w:cs="Times New Roman"/>
        </w:rPr>
      </w:pPr>
      <w:r>
        <w:rPr>
          <w:rFonts w:hint="default" w:ascii="Times New Roman" w:hAnsi="Times New Roman" w:cs="Times New Roman"/>
          <w:b/>
          <w:bCs/>
        </w:rPr>
        <w:t>Figure S1.</w:t>
      </w:r>
      <w:r>
        <w:rPr>
          <w:rFonts w:hint="default" w:ascii="Times New Roman" w:hAnsi="Times New Roman" w:cs="Times New Roman"/>
        </w:rPr>
        <w:t xml:space="preserve"> Flowchart of participant selection for the analysis of incident cardiometabolic diseases in the ELSA, HRS, and SHARE cohorts.</w:t>
      </w:r>
    </w:p>
    <w:p w14:paraId="10B746F9">
      <w:pPr>
        <w:rPr>
          <w:rFonts w:hint="eastAsia"/>
        </w:rPr>
      </w:pPr>
      <w:r>
        <w:rPr>
          <w:rFonts w:hint="eastAsia" w:ascii="Times New Roman" w:hAnsi="Times New Roman" w:cs="Times New Roman"/>
          <w:b/>
          <w:bCs/>
          <w:lang w:val="en-US" w:eastAsia="zh-CN"/>
        </w:rPr>
        <w:t>Note:</w:t>
      </w:r>
      <w:r>
        <w:rPr>
          <w:rFonts w:hint="default" w:ascii="Times New Roman" w:hAnsi="Times New Roman" w:cs="Times New Roman"/>
        </w:rPr>
        <w:t>CMD, cardiometabolic diseases; ELSA, English Longitudinal Study of Ageing; HRS, Health and Retirement Study; SHARE, Survey of Health, Ageing and Retirement in Europe. Participants with prevalent CMD at baseline were excluded to assess incident CMD during follow-up. Participants were required to contribute data at baseline and at least one eligible follow-up wave. No HRS participants were excluded because of fewer than two eligible study waves.</w:t>
      </w:r>
    </w:p>
    <w:p w14:paraId="4BD9E546">
      <w:pPr>
        <w:rPr>
          <w:rFonts w:hint="eastAsia"/>
        </w:rPr>
        <w:sectPr>
          <w:pgSz w:w="11906" w:h="16838"/>
          <w:pgMar w:top="1440" w:right="1800" w:bottom="1440" w:left="1800" w:header="851" w:footer="992" w:gutter="0"/>
          <w:cols w:space="425" w:num="1"/>
          <w:docGrid w:type="lines" w:linePitch="312" w:charSpace="0"/>
        </w:sectPr>
      </w:pPr>
    </w:p>
    <w:p w14:paraId="7A46746C">
      <w:pPr>
        <w:jc w:val="center"/>
        <w:rPr>
          <w:rFonts w:hint="default"/>
          <w:lang w:val="en-US" w:eastAsia="zh-CN"/>
        </w:rPr>
      </w:pPr>
      <w:r>
        <w:rPr>
          <w:rFonts w:hint="default"/>
          <w:lang w:val="en-US" w:eastAsia="zh-CN"/>
        </w:rPr>
        <w:drawing>
          <wp:inline distT="0" distB="0" distL="114300" distR="114300">
            <wp:extent cx="5252085" cy="3820795"/>
            <wp:effectExtent l="0" t="0" r="5715" b="1905"/>
            <wp:docPr id="4" name="图片 4" descr="dose_response_avg_sens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ose_response_avg_sensory"/>
                    <pic:cNvPicPr>
                      <a:picLocks noChangeAspect="1"/>
                    </pic:cNvPicPr>
                  </pic:nvPicPr>
                  <pic:blipFill>
                    <a:blip r:embed="rId5"/>
                    <a:stretch>
                      <a:fillRect/>
                    </a:stretch>
                  </pic:blipFill>
                  <pic:spPr>
                    <a:xfrm>
                      <a:off x="0" y="0"/>
                      <a:ext cx="5252085" cy="3820795"/>
                    </a:xfrm>
                    <a:prstGeom prst="rect">
                      <a:avLst/>
                    </a:prstGeom>
                  </pic:spPr>
                </pic:pic>
              </a:graphicData>
            </a:graphic>
          </wp:inline>
        </w:drawing>
      </w:r>
    </w:p>
    <w:p w14:paraId="769952F6">
      <w:pPr>
        <w:rPr>
          <w:rFonts w:hint="default" w:ascii="Times New Roman" w:hAnsi="Times New Roman" w:cs="Times New Roman" w:eastAsiaTheme="minorEastAsia"/>
          <w:lang w:val="en-US" w:eastAsia="zh-CN"/>
        </w:rPr>
      </w:pPr>
      <w:r>
        <w:rPr>
          <w:rFonts w:hint="default" w:ascii="Times New Roman" w:hAnsi="Times New Roman" w:cs="Times New Roman"/>
          <w:b/>
          <w:bCs/>
          <w:lang w:val="en-US" w:eastAsia="zh-CN"/>
        </w:rPr>
        <w:t xml:space="preserve">Figure S2. </w:t>
      </w:r>
      <w:r>
        <w:rPr>
          <w:rFonts w:hint="default" w:ascii="Times New Roman" w:hAnsi="Times New Roman" w:cs="Times New Roman"/>
          <w:lang w:val="en-US" w:eastAsia="zh-CN"/>
        </w:rPr>
        <w:t>Associations of dual sensory impairment with incident cardiometabolic disease, heart disease, diabetes, and stroke in the ELSA, HRS, and SHARE cohorts.</w:t>
      </w:r>
    </w:p>
    <w:p w14:paraId="0A17F4EE">
      <w:pPr>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cs="Times New Roman"/>
          <w:b/>
          <w:bCs/>
          <w:lang w:val="en-US" w:eastAsia="zh-CN"/>
        </w:rPr>
        <w:t>Note:</w:t>
      </w:r>
      <w:r>
        <w:rPr>
          <w:rFonts w:hint="default" w:ascii="Times New Roman" w:hAnsi="Times New Roman" w:cs="Times New Roman"/>
          <w:lang w:val="en-US" w:eastAsia="zh-CN"/>
        </w:rPr>
        <w:t>Hazard ratios (HRs) and 95% confidence intervals (CIs) were estimated using fully adjusted Cox proportional hazards models. Dual sensory impairment (DSI) was expressed as the cumulative average score per 1-standard deviation increase. Cardiometabolic disease (CMD) was defined as incident heart disease, diabetes, or stroke. Participants with the corresponding disease at baseline were excluded. The dashed line indicates an HR of 1.00</w:t>
      </w:r>
      <w:r>
        <w:rPr>
          <w:rFonts w:hint="default"/>
          <w:lang w:val="en-US" w:eastAsia="zh-CN"/>
        </w:rPr>
        <w:t>.</w:t>
      </w:r>
    </w:p>
    <w:p w14:paraId="0A69379C">
      <w:pPr>
        <w:jc w:val="center"/>
        <w:rPr>
          <w:rFonts w:hint="default"/>
          <w:lang w:val="en-US" w:eastAsia="zh-CN"/>
        </w:rPr>
      </w:pPr>
      <w:r>
        <w:rPr>
          <w:rFonts w:hint="default"/>
          <w:lang w:val="en-US" w:eastAsia="zh-CN"/>
        </w:rPr>
        <w:drawing>
          <wp:inline distT="0" distB="0" distL="114300" distR="114300">
            <wp:extent cx="5104765" cy="3403600"/>
            <wp:effectExtent l="0" t="0" r="635" b="0"/>
            <wp:docPr id="5" name="图片 5" descr="forest_avg_sensory_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orest_avg_sensory_z"/>
                    <pic:cNvPicPr>
                      <a:picLocks noChangeAspect="1"/>
                    </pic:cNvPicPr>
                  </pic:nvPicPr>
                  <pic:blipFill>
                    <a:blip r:embed="rId6"/>
                    <a:stretch>
                      <a:fillRect/>
                    </a:stretch>
                  </pic:blipFill>
                  <pic:spPr>
                    <a:xfrm>
                      <a:off x="0" y="0"/>
                      <a:ext cx="5104765" cy="3403600"/>
                    </a:xfrm>
                    <a:prstGeom prst="rect">
                      <a:avLst/>
                    </a:prstGeom>
                  </pic:spPr>
                </pic:pic>
              </a:graphicData>
            </a:graphic>
          </wp:inline>
        </w:drawing>
      </w:r>
    </w:p>
    <w:p w14:paraId="2B17289E">
      <w:pPr>
        <w:rPr>
          <w:rFonts w:hint="default" w:ascii="Times New Roman" w:hAnsi="Times New Roman" w:cs="Times New Roman"/>
          <w:lang w:val="en-US" w:eastAsia="zh-CN"/>
        </w:rPr>
      </w:pPr>
      <w:r>
        <w:rPr>
          <w:rFonts w:hint="default" w:ascii="Times New Roman" w:hAnsi="Times New Roman" w:cs="Times New Roman"/>
          <w:b/>
          <w:bCs/>
        </w:rPr>
        <w:t>Figure S</w:t>
      </w:r>
      <w:r>
        <w:rPr>
          <w:rFonts w:hint="default" w:ascii="Times New Roman" w:hAnsi="Times New Roman" w:cs="Times New Roman"/>
          <w:b/>
          <w:bCs/>
          <w:lang w:val="en-US" w:eastAsia="zh-CN"/>
        </w:rPr>
        <w:t>3</w:t>
      </w:r>
      <w:r>
        <w:rPr>
          <w:rFonts w:hint="default" w:ascii="Times New Roman" w:hAnsi="Times New Roman" w:cs="Times New Roman"/>
          <w:b/>
          <w:bCs/>
        </w:rPr>
        <w:t>.</w:t>
      </w:r>
      <w:r>
        <w:rPr>
          <w:rFonts w:hint="default" w:ascii="Times New Roman" w:hAnsi="Times New Roman" w:cs="Times New Roman"/>
        </w:rPr>
        <w:t xml:space="preserve"> </w:t>
      </w:r>
      <w:r>
        <w:rPr>
          <w:rFonts w:hint="default" w:ascii="Times New Roman" w:hAnsi="Times New Roman" w:cs="Times New Roman"/>
          <w:lang w:val="en-US" w:eastAsia="zh-CN"/>
        </w:rPr>
        <w:t>Forest plot of associations between cumulative average sensory impairment and incident cardiometabolic disease outcomes in the primary analysis.</w:t>
      </w:r>
    </w:p>
    <w:p w14:paraId="59D3005E">
      <w:pPr>
        <w:rPr>
          <w:rFonts w:hint="default"/>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b/>
          <w:bCs/>
          <w:lang w:val="en-US" w:eastAsia="zh-CN"/>
        </w:rPr>
        <w:t>Notes:</w:t>
      </w:r>
      <w:r>
        <w:rPr>
          <w:rFonts w:hint="default" w:ascii="Times New Roman" w:hAnsi="Times New Roman" w:cs="Times New Roman"/>
          <w:lang w:val="en-US" w:eastAsia="zh-CN"/>
        </w:rPr>
        <w:t xml:space="preserve"> Estimates are hazard ratios with 95% confidence intervals from fully adjusted Cox proportional hazards regression models. Associations are shown for cumulative average visual impairment, hearing impairment, and dual sensory impairment with incident cardiometabolic disease, heart disease, diabetes, and stroke. Sensory impairment measures were standardized within each cohort, and estimates are presented per 1-standard deviation increase. The vertical dashed line indicates a hazard ratio of 1.00. DSI, dual sensory impairment; CMD, cardiometabolic disease; HR, hazard ratio; CI, confidence interval</w:t>
      </w:r>
      <w:r>
        <w:rPr>
          <w:rFonts w:hint="default"/>
          <w:lang w:val="en-US" w:eastAsia="zh-CN"/>
        </w:rPr>
        <w:t>.</w:t>
      </w:r>
    </w:p>
    <w:p w14:paraId="4A37A065">
      <w:pPr>
        <w:jc w:val="center"/>
        <w:rPr>
          <w:rFonts w:hint="default"/>
          <w:lang w:val="en-US" w:eastAsia="zh-CN"/>
        </w:rPr>
      </w:pPr>
      <w:r>
        <w:rPr>
          <w:rFonts w:hint="default"/>
          <w:lang w:val="en-US" w:eastAsia="zh-CN"/>
        </w:rPr>
        <w:drawing>
          <wp:inline distT="0" distB="0" distL="114300" distR="114300">
            <wp:extent cx="5147945" cy="3276600"/>
            <wp:effectExtent l="0" t="0" r="8255" b="0"/>
            <wp:docPr id="8" name="图片 8" descr="subgroup_average_sensory_EL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bgroup_average_sensory_ELSA"/>
                    <pic:cNvPicPr>
                      <a:picLocks noChangeAspect="1"/>
                    </pic:cNvPicPr>
                  </pic:nvPicPr>
                  <pic:blipFill>
                    <a:blip r:embed="rId7"/>
                    <a:stretch>
                      <a:fillRect/>
                    </a:stretch>
                  </pic:blipFill>
                  <pic:spPr>
                    <a:xfrm>
                      <a:off x="0" y="0"/>
                      <a:ext cx="5147945" cy="3276600"/>
                    </a:xfrm>
                    <a:prstGeom prst="rect">
                      <a:avLst/>
                    </a:prstGeom>
                  </pic:spPr>
                </pic:pic>
              </a:graphicData>
            </a:graphic>
          </wp:inline>
        </w:drawing>
      </w:r>
    </w:p>
    <w:p w14:paraId="6BB39EDD">
      <w:pPr>
        <w:rPr>
          <w:rFonts w:hint="default" w:ascii="Times New Roman" w:hAnsi="Times New Roman" w:cs="Times New Roman" w:eastAsiaTheme="minorEastAsia"/>
          <w:lang w:val="en-US" w:eastAsia="zh-CN"/>
        </w:rPr>
      </w:pPr>
      <w:r>
        <w:rPr>
          <w:rFonts w:hint="default" w:ascii="Times New Roman" w:hAnsi="Times New Roman" w:cs="Times New Roman"/>
          <w:b/>
          <w:bCs/>
        </w:rPr>
        <w:t>Figure S</w:t>
      </w:r>
      <w:r>
        <w:rPr>
          <w:rFonts w:hint="eastAsia" w:ascii="Times New Roman" w:hAnsi="Times New Roman" w:cs="Times New Roman"/>
          <w:b/>
          <w:bCs/>
          <w:lang w:val="en-US" w:eastAsia="zh-CN"/>
        </w:rPr>
        <w:t>4</w:t>
      </w:r>
      <w:r>
        <w:rPr>
          <w:rFonts w:hint="default" w:ascii="Times New Roman" w:hAnsi="Times New Roman" w:cs="Times New Roman"/>
          <w:b/>
          <w:bCs/>
        </w:rPr>
        <w:t xml:space="preserve">. </w:t>
      </w:r>
      <w:r>
        <w:rPr>
          <w:rFonts w:hint="default" w:ascii="Times New Roman" w:hAnsi="Times New Roman" w:cs="Times New Roman"/>
          <w:lang w:val="en-US" w:eastAsia="zh-CN"/>
        </w:rPr>
        <w:t>Subgroup analyses of the association between cumulative average dual sensory impairment and incident cardiometabolic disease in the ELSA cohort.</w:t>
      </w:r>
    </w:p>
    <w:p w14:paraId="71324755">
      <w:pPr>
        <w:rPr>
          <w:rFonts w:hint="default"/>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b/>
          <w:bCs/>
          <w:lang w:val="en-US" w:eastAsia="zh-CN"/>
        </w:rPr>
        <w:t>Notes:</w:t>
      </w:r>
      <w:r>
        <w:rPr>
          <w:rFonts w:hint="default" w:ascii="Times New Roman" w:hAnsi="Times New Roman" w:cs="Times New Roman"/>
          <w:lang w:val="en-US" w:eastAsia="zh-CN"/>
        </w:rPr>
        <w:t xml:space="preserve"> Hazard ratios and 95% confidence intervals were estimated using fully adjusted Cox proportional hazards regression models. Subgroup analyses were conducted by age group, sex, marital status, educational attainment, household wealth, smoking status, alcohol consumption, physical activity, and selected health conditions, where applicable. P values for interaction were calculated by including the cross-product term between dual sensory impairment and each subgroup variable in the model. DSI, dual sensory impairment; CMD, cardiometabolic disease; HR, hazard ratio; CI, confidence interval</w:t>
      </w:r>
      <w:r>
        <w:rPr>
          <w:rFonts w:hint="default"/>
          <w:lang w:val="en-US" w:eastAsia="zh-CN"/>
        </w:rPr>
        <w:t>.</w:t>
      </w:r>
    </w:p>
    <w:p w14:paraId="3F0AE148">
      <w:pPr>
        <w:jc w:val="center"/>
        <w:rPr>
          <w:rFonts w:hint="default"/>
          <w:lang w:val="en-US" w:eastAsia="zh-CN"/>
        </w:rPr>
      </w:pPr>
      <w:r>
        <w:rPr>
          <w:rFonts w:hint="default"/>
          <w:lang w:val="en-US" w:eastAsia="zh-CN"/>
        </w:rPr>
        <w:drawing>
          <wp:inline distT="0" distB="0" distL="114300" distR="114300">
            <wp:extent cx="5407025" cy="3441065"/>
            <wp:effectExtent l="0" t="0" r="3175" b="635"/>
            <wp:docPr id="9" name="图片 9" descr="subgroup_average_sensory_H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bgroup_average_sensory_HRS"/>
                    <pic:cNvPicPr>
                      <a:picLocks noChangeAspect="1"/>
                    </pic:cNvPicPr>
                  </pic:nvPicPr>
                  <pic:blipFill>
                    <a:blip r:embed="rId8"/>
                    <a:stretch>
                      <a:fillRect/>
                    </a:stretch>
                  </pic:blipFill>
                  <pic:spPr>
                    <a:xfrm>
                      <a:off x="0" y="0"/>
                      <a:ext cx="5407025" cy="3441065"/>
                    </a:xfrm>
                    <a:prstGeom prst="rect">
                      <a:avLst/>
                    </a:prstGeom>
                  </pic:spPr>
                </pic:pic>
              </a:graphicData>
            </a:graphic>
          </wp:inline>
        </w:drawing>
      </w:r>
    </w:p>
    <w:p w14:paraId="266F2FA3">
      <w:pPr>
        <w:rPr>
          <w:rFonts w:hint="default" w:ascii="Times New Roman" w:hAnsi="Times New Roman" w:cs="Times New Roman"/>
          <w:lang w:val="en-US" w:eastAsia="zh-CN"/>
        </w:rPr>
      </w:pPr>
      <w:r>
        <w:rPr>
          <w:rFonts w:hint="default" w:ascii="Times New Roman" w:hAnsi="Times New Roman" w:cs="Times New Roman"/>
          <w:b/>
          <w:bCs/>
          <w:lang w:val="en-US" w:eastAsia="zh-CN"/>
        </w:rPr>
        <w:t>Figure S</w:t>
      </w:r>
      <w:r>
        <w:rPr>
          <w:rFonts w:hint="eastAsia" w:ascii="Times New Roman" w:hAnsi="Times New Roman" w:cs="Times New Roman"/>
          <w:b/>
          <w:bCs/>
          <w:lang w:val="en-US" w:eastAsia="zh-CN"/>
        </w:rPr>
        <w:t>5</w:t>
      </w:r>
      <w:r>
        <w:rPr>
          <w:rFonts w:hint="default" w:ascii="Times New Roman" w:hAnsi="Times New Roman" w:cs="Times New Roman"/>
          <w:b/>
          <w:bCs/>
          <w:lang w:val="en-US" w:eastAsia="zh-CN"/>
        </w:rPr>
        <w:t xml:space="preserve">. </w:t>
      </w:r>
      <w:r>
        <w:rPr>
          <w:rFonts w:hint="default" w:ascii="Times New Roman" w:hAnsi="Times New Roman" w:cs="Times New Roman"/>
          <w:lang w:val="en-US" w:eastAsia="zh-CN"/>
        </w:rPr>
        <w:t>Subgroup analyses of the association between cumulative average dual sensory impairment and incident cardiometabolic disease in the HRS cohort.</w:t>
      </w:r>
    </w:p>
    <w:p w14:paraId="436FCBC3">
      <w:pPr>
        <w:rPr>
          <w:rFonts w:hint="default" w:ascii="Times New Roman" w:hAnsi="Times New Roman" w:cs="Times New Roman"/>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b/>
          <w:bCs/>
          <w:lang w:val="en-US" w:eastAsia="zh-CN"/>
        </w:rPr>
        <w:t>Notes:</w:t>
      </w:r>
      <w:r>
        <w:rPr>
          <w:rFonts w:hint="default" w:ascii="Times New Roman" w:hAnsi="Times New Roman" w:cs="Times New Roman"/>
          <w:lang w:val="en-US" w:eastAsia="zh-CN"/>
        </w:rPr>
        <w:t xml:space="preserve"> Hazard ratios and 95% confidence intervals were estimated using fully adjusted Cox proportional hazards regression models. Subgroup analyses were conducted by age group, sex, marital status, educational attainment, household wealth, smoking status, alcohol consumption, physical activity, and selected health conditions, where applicable. P values for interaction were calculated by including the cross-product term between dual sensory impairment and each subgroup variable in the model. DSI, dual sensory impairment; CMD, cardiometabolic disease; HR, hazard ratio; CI, confidence interval.</w:t>
      </w:r>
    </w:p>
    <w:p w14:paraId="5116ADA8">
      <w:pPr>
        <w:jc w:val="center"/>
        <w:rPr>
          <w:rFonts w:hint="default"/>
          <w:lang w:val="en-US" w:eastAsia="zh-CN"/>
        </w:rPr>
      </w:pPr>
      <w:r>
        <w:rPr>
          <w:rFonts w:hint="default"/>
          <w:lang w:val="en-US" w:eastAsia="zh-CN"/>
        </w:rPr>
        <w:drawing>
          <wp:inline distT="0" distB="0" distL="114300" distR="114300">
            <wp:extent cx="5193665" cy="3305810"/>
            <wp:effectExtent l="0" t="0" r="635" b="8890"/>
            <wp:docPr id="10" name="图片 10" descr="subgroup_average_sensory_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ubgroup_average_sensory_SHARE"/>
                    <pic:cNvPicPr>
                      <a:picLocks noChangeAspect="1"/>
                    </pic:cNvPicPr>
                  </pic:nvPicPr>
                  <pic:blipFill>
                    <a:blip r:embed="rId9"/>
                    <a:stretch>
                      <a:fillRect/>
                    </a:stretch>
                  </pic:blipFill>
                  <pic:spPr>
                    <a:xfrm>
                      <a:off x="0" y="0"/>
                      <a:ext cx="5193665" cy="3305810"/>
                    </a:xfrm>
                    <a:prstGeom prst="rect">
                      <a:avLst/>
                    </a:prstGeom>
                  </pic:spPr>
                </pic:pic>
              </a:graphicData>
            </a:graphic>
          </wp:inline>
        </w:drawing>
      </w:r>
    </w:p>
    <w:p w14:paraId="415509BF">
      <w:pPr>
        <w:rPr>
          <w:rFonts w:hint="default" w:ascii="Times New Roman" w:hAnsi="Times New Roman" w:cs="Times New Roman"/>
          <w:lang w:val="en-US" w:eastAsia="zh-CN"/>
        </w:rPr>
      </w:pPr>
      <w:r>
        <w:rPr>
          <w:rFonts w:hint="default" w:ascii="Times New Roman" w:hAnsi="Times New Roman" w:cs="Times New Roman"/>
          <w:b/>
          <w:bCs/>
          <w:lang w:val="en-US" w:eastAsia="zh-CN"/>
        </w:rPr>
        <w:t>Figure S</w:t>
      </w:r>
      <w:r>
        <w:rPr>
          <w:rFonts w:hint="eastAsia" w:ascii="Times New Roman" w:hAnsi="Times New Roman" w:cs="Times New Roman"/>
          <w:b/>
          <w:bCs/>
          <w:lang w:val="en-US" w:eastAsia="zh-CN"/>
        </w:rPr>
        <w:t>6</w:t>
      </w:r>
      <w:r>
        <w:rPr>
          <w:rFonts w:hint="default" w:ascii="Times New Roman" w:hAnsi="Times New Roman" w:cs="Times New Roman"/>
          <w:b/>
          <w:bCs/>
          <w:lang w:val="en-US" w:eastAsia="zh-CN"/>
        </w:rPr>
        <w:t xml:space="preserve">. </w:t>
      </w:r>
      <w:r>
        <w:rPr>
          <w:rFonts w:hint="default" w:ascii="Times New Roman" w:hAnsi="Times New Roman" w:cs="Times New Roman"/>
          <w:lang w:val="en-US" w:eastAsia="zh-CN"/>
        </w:rPr>
        <w:t>Subgroup analyses of the association between cumulative average dual sensory impairment and incident cardiometabolic disease in the SHARE cohort.</w:t>
      </w:r>
    </w:p>
    <w:p w14:paraId="44CFAB2C">
      <w:pPr>
        <w:rPr>
          <w:rFonts w:hint="default"/>
          <w:lang w:val="en-US" w:eastAsia="zh-CN"/>
        </w:rPr>
      </w:pPr>
      <w:r>
        <w:rPr>
          <w:rFonts w:hint="default" w:ascii="Times New Roman" w:hAnsi="Times New Roman" w:cs="Times New Roman"/>
          <w:b/>
          <w:bCs/>
          <w:lang w:val="en-US" w:eastAsia="zh-CN"/>
        </w:rPr>
        <w:t>Notes:</w:t>
      </w:r>
      <w:r>
        <w:rPr>
          <w:rFonts w:hint="default" w:ascii="Times New Roman" w:hAnsi="Times New Roman" w:cs="Times New Roman"/>
          <w:lang w:val="en-US" w:eastAsia="zh-CN"/>
        </w:rPr>
        <w:t xml:space="preserve"> Hazard ratios and 95% confidence intervals were estimated using fully adjusted Cox proportional hazards regression models. Subgroup analyses were conducted by age group, sex, marital status, educational attainment, household wealth, smoking status, alcohol consumption, physical activity, and selected health conditions, where applicable. P values for interaction were calculated by including the cross-product term between dual sensory impairment and each subgroup variable in the model. DSI, dual sensory impairment; CMD, cardiometabolic disease; HR, hazard ratio; CI, confidence interval</w:t>
      </w:r>
    </w:p>
    <w:p w14:paraId="6F7375C7">
      <w:pPr>
        <w:bidi w:val="0"/>
        <w:jc w:val="left"/>
        <w:rPr>
          <w:rFonts w:hint="default" w:asciiTheme="minorHAnsi" w:hAnsiTheme="minorHAnsi" w:eastAsiaTheme="minorEastAsia" w:cstheme="minorBidi"/>
          <w:kern w:val="2"/>
          <w:sz w:val="21"/>
          <w:szCs w:val="24"/>
          <w:lang w:val="en-US" w:eastAsia="zh-CN" w:bidi="ar-SA"/>
        </w:rPr>
      </w:pPr>
    </w:p>
    <w:p w14:paraId="74071696">
      <w:pPr>
        <w:bidi w:val="0"/>
        <w:jc w:val="left"/>
        <w:rPr>
          <w:rFonts w:hint="default" w:asciiTheme="minorHAnsi" w:hAnsiTheme="minorHAnsi" w:eastAsiaTheme="minorEastAsia" w:cstheme="minorBidi"/>
          <w:kern w:val="2"/>
          <w:sz w:val="21"/>
          <w:szCs w:val="24"/>
          <w:lang w:val="en-US" w:eastAsia="zh-CN" w:bidi="ar-SA"/>
        </w:rPr>
      </w:pPr>
    </w:p>
    <w:p w14:paraId="409E9EC3">
      <w:pPr>
        <w:bidi w:val="0"/>
        <w:jc w:val="left"/>
        <w:rPr>
          <w:rFonts w:hint="default" w:asciiTheme="minorHAnsi" w:hAnsiTheme="minorHAnsi" w:eastAsiaTheme="minorEastAsia" w:cstheme="minorBidi"/>
          <w:kern w:val="2"/>
          <w:sz w:val="21"/>
          <w:szCs w:val="24"/>
          <w:lang w:val="en-US" w:eastAsia="zh-CN" w:bidi="ar-SA"/>
        </w:rPr>
      </w:pPr>
    </w:p>
    <w:p w14:paraId="70A3694D">
      <w:pPr>
        <w:bidi w:val="0"/>
        <w:jc w:val="left"/>
        <w:rPr>
          <w:rFonts w:hint="default" w:asciiTheme="minorHAnsi" w:hAnsiTheme="minorHAnsi" w:eastAsiaTheme="minorEastAsia" w:cstheme="minorBidi"/>
          <w:kern w:val="2"/>
          <w:sz w:val="21"/>
          <w:szCs w:val="24"/>
          <w:lang w:val="en-US" w:eastAsia="zh-CN" w:bidi="ar-SA"/>
        </w:rPr>
      </w:pPr>
    </w:p>
    <w:p w14:paraId="13199933">
      <w:pPr>
        <w:bidi w:val="0"/>
        <w:jc w:val="left"/>
        <w:rPr>
          <w:rFonts w:hint="default" w:asciiTheme="minorHAnsi" w:hAnsiTheme="minorHAnsi" w:eastAsiaTheme="minorEastAsia" w:cstheme="minorBidi"/>
          <w:kern w:val="2"/>
          <w:sz w:val="21"/>
          <w:szCs w:val="24"/>
          <w:lang w:val="en-US" w:eastAsia="zh-CN" w:bidi="ar-SA"/>
        </w:rPr>
      </w:pPr>
    </w:p>
    <w:p w14:paraId="31C3E6B8">
      <w:pPr>
        <w:bidi w:val="0"/>
        <w:jc w:val="left"/>
        <w:rPr>
          <w:rFonts w:hint="default" w:asciiTheme="minorHAnsi" w:hAnsiTheme="minorHAnsi" w:eastAsiaTheme="minorEastAsia" w:cstheme="minorBidi"/>
          <w:kern w:val="2"/>
          <w:sz w:val="21"/>
          <w:szCs w:val="24"/>
          <w:lang w:val="en-US" w:eastAsia="zh-CN" w:bidi="ar-SA"/>
        </w:rPr>
      </w:pPr>
    </w:p>
    <w:p w14:paraId="6E6D6B47">
      <w:pPr>
        <w:bidi w:val="0"/>
        <w:jc w:val="left"/>
        <w:rPr>
          <w:rFonts w:hint="default" w:asciiTheme="minorHAnsi" w:hAnsiTheme="minorHAnsi" w:eastAsiaTheme="minorEastAsia" w:cstheme="minorBidi"/>
          <w:kern w:val="2"/>
          <w:sz w:val="21"/>
          <w:szCs w:val="24"/>
          <w:lang w:val="en-US" w:eastAsia="zh-CN" w:bidi="ar-SA"/>
        </w:rPr>
      </w:pPr>
    </w:p>
    <w:p w14:paraId="2CEA2309">
      <w:pPr>
        <w:bidi w:val="0"/>
        <w:jc w:val="left"/>
        <w:rPr>
          <w:rFonts w:hint="default" w:asciiTheme="minorHAnsi" w:hAnsiTheme="minorHAnsi" w:eastAsiaTheme="minorEastAsia" w:cstheme="minorBidi"/>
          <w:kern w:val="2"/>
          <w:sz w:val="21"/>
          <w:szCs w:val="24"/>
          <w:lang w:val="en-US" w:eastAsia="zh-CN" w:bidi="ar-SA"/>
        </w:rPr>
      </w:pPr>
    </w:p>
    <w:p w14:paraId="700DFB6E">
      <w:pPr>
        <w:bidi w:val="0"/>
        <w:jc w:val="left"/>
        <w:rPr>
          <w:rFonts w:hint="default" w:asciiTheme="minorHAnsi" w:hAnsiTheme="minorHAnsi" w:eastAsiaTheme="minorEastAsia" w:cstheme="minorBidi"/>
          <w:kern w:val="2"/>
          <w:sz w:val="21"/>
          <w:szCs w:val="24"/>
          <w:lang w:val="en-US" w:eastAsia="zh-CN" w:bidi="ar-SA"/>
        </w:rPr>
      </w:pPr>
    </w:p>
    <w:p w14:paraId="6828E64F">
      <w:pPr>
        <w:bidi w:val="0"/>
        <w:jc w:val="left"/>
        <w:rPr>
          <w:rFonts w:hint="default" w:asciiTheme="minorHAnsi" w:hAnsiTheme="minorHAnsi" w:eastAsiaTheme="minorEastAsia" w:cstheme="minorBidi"/>
          <w:kern w:val="2"/>
          <w:sz w:val="21"/>
          <w:szCs w:val="24"/>
          <w:lang w:val="en-US" w:eastAsia="zh-CN" w:bidi="ar-SA"/>
        </w:rPr>
      </w:pPr>
    </w:p>
    <w:p w14:paraId="3116DD73">
      <w:pPr>
        <w:bidi w:val="0"/>
        <w:jc w:val="left"/>
        <w:rPr>
          <w:rFonts w:hint="default" w:asciiTheme="minorHAnsi" w:hAnsiTheme="minorHAnsi" w:eastAsiaTheme="minorEastAsia" w:cstheme="minorBidi"/>
          <w:kern w:val="2"/>
          <w:sz w:val="21"/>
          <w:szCs w:val="24"/>
          <w:lang w:val="en-US" w:eastAsia="zh-CN" w:bidi="ar-SA"/>
        </w:rPr>
      </w:pPr>
    </w:p>
    <w:p w14:paraId="5241D404">
      <w:pPr>
        <w:bidi w:val="0"/>
        <w:jc w:val="left"/>
        <w:rPr>
          <w:rFonts w:hint="default" w:asciiTheme="minorHAnsi" w:hAnsiTheme="minorHAnsi" w:eastAsiaTheme="minorEastAsia" w:cstheme="minorBidi"/>
          <w:kern w:val="2"/>
          <w:sz w:val="21"/>
          <w:szCs w:val="24"/>
          <w:lang w:val="en-US" w:eastAsia="zh-CN" w:bidi="ar-SA"/>
        </w:rPr>
      </w:pPr>
    </w:p>
    <w:p w14:paraId="170106DC">
      <w:pPr>
        <w:bidi w:val="0"/>
        <w:jc w:val="left"/>
        <w:rPr>
          <w:rFonts w:hint="default" w:asciiTheme="minorHAnsi" w:hAnsiTheme="minorHAnsi" w:eastAsiaTheme="minorEastAsia" w:cstheme="minorBidi"/>
          <w:kern w:val="2"/>
          <w:sz w:val="21"/>
          <w:szCs w:val="24"/>
          <w:lang w:val="en-US" w:eastAsia="zh-CN" w:bidi="ar-SA"/>
        </w:rPr>
      </w:pPr>
    </w:p>
    <w:p w14:paraId="13ACE648">
      <w:pPr>
        <w:bidi w:val="0"/>
        <w:jc w:val="left"/>
        <w:rPr>
          <w:rFonts w:hint="default" w:asciiTheme="minorHAnsi" w:hAnsiTheme="minorHAnsi" w:eastAsiaTheme="minorEastAsia" w:cstheme="minorBidi"/>
          <w:kern w:val="2"/>
          <w:sz w:val="21"/>
          <w:szCs w:val="24"/>
          <w:lang w:val="en-US" w:eastAsia="zh-CN" w:bidi="ar-SA"/>
        </w:rPr>
      </w:pPr>
    </w:p>
    <w:p w14:paraId="72680FB8">
      <w:pPr>
        <w:bidi w:val="0"/>
        <w:jc w:val="left"/>
        <w:rPr>
          <w:rFonts w:hint="default" w:asciiTheme="minorHAnsi" w:hAnsiTheme="minorHAnsi" w:eastAsiaTheme="minorEastAsia" w:cstheme="minorBidi"/>
          <w:kern w:val="2"/>
          <w:sz w:val="21"/>
          <w:szCs w:val="24"/>
          <w:lang w:val="en-US" w:eastAsia="zh-CN" w:bidi="ar-SA"/>
        </w:rPr>
      </w:pPr>
    </w:p>
    <w:p w14:paraId="5DAA591E">
      <w:pPr>
        <w:bidi w:val="0"/>
        <w:jc w:val="left"/>
        <w:rPr>
          <w:rFonts w:hint="default" w:asciiTheme="minorHAnsi" w:hAnsiTheme="minorHAnsi" w:eastAsiaTheme="minorEastAsia" w:cstheme="minorBidi"/>
          <w:kern w:val="2"/>
          <w:sz w:val="21"/>
          <w:szCs w:val="24"/>
          <w:lang w:val="en-US" w:eastAsia="zh-CN" w:bidi="ar-SA"/>
        </w:rPr>
      </w:pPr>
    </w:p>
    <w:p w14:paraId="323FF356">
      <w:pPr>
        <w:bidi w:val="0"/>
        <w:jc w:val="left"/>
        <w:rPr>
          <w:rFonts w:hint="default" w:asciiTheme="minorHAnsi" w:hAnsiTheme="minorHAnsi" w:eastAsiaTheme="minorEastAsia" w:cstheme="minorBidi"/>
          <w:kern w:val="2"/>
          <w:sz w:val="21"/>
          <w:szCs w:val="24"/>
          <w:lang w:val="en-US" w:eastAsia="zh-CN" w:bidi="ar-SA"/>
        </w:rPr>
      </w:pPr>
    </w:p>
    <w:p w14:paraId="68C5ABB2">
      <w:pPr>
        <w:bidi w:val="0"/>
        <w:jc w:val="left"/>
        <w:rPr>
          <w:rFonts w:hint="default" w:asciiTheme="minorHAnsi" w:hAnsiTheme="minorHAnsi" w:eastAsiaTheme="minorEastAsia" w:cstheme="minorBidi"/>
          <w:kern w:val="2"/>
          <w:sz w:val="21"/>
          <w:szCs w:val="24"/>
          <w:lang w:val="en-US" w:eastAsia="zh-CN" w:bidi="ar-SA"/>
        </w:rPr>
      </w:pPr>
    </w:p>
    <w:p w14:paraId="398519D5">
      <w:pPr>
        <w:bidi w:val="0"/>
        <w:jc w:val="left"/>
        <w:rPr>
          <w:rFonts w:hint="default" w:asciiTheme="minorHAnsi" w:hAnsiTheme="minorHAnsi" w:eastAsiaTheme="minorEastAsia" w:cstheme="minorBidi"/>
          <w:kern w:val="2"/>
          <w:sz w:val="21"/>
          <w:szCs w:val="24"/>
          <w:lang w:val="en-US" w:eastAsia="zh-CN" w:bidi="ar-SA"/>
        </w:rPr>
      </w:pPr>
    </w:p>
    <w:p w14:paraId="3598ED70">
      <w:pPr>
        <w:jc w:val="center"/>
        <w:rPr>
          <w:rFonts w:hint="default"/>
          <w:lang w:val="en-US" w:eastAsia="zh-CN"/>
        </w:rPr>
      </w:pPr>
      <w:r>
        <w:rPr>
          <w:rFonts w:hint="default"/>
          <w:lang w:val="en-US" w:eastAsia="zh-CN"/>
        </w:rPr>
        <w:drawing>
          <wp:inline distT="0" distB="0" distL="114300" distR="114300">
            <wp:extent cx="4977765" cy="3319145"/>
            <wp:effectExtent l="0" t="0" r="635" b="8255"/>
            <wp:docPr id="6" name="图片 6" descr="robustness_early_event_forest_avg_sensory_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robustness_early_event_forest_avg_sensory_z"/>
                    <pic:cNvPicPr>
                      <a:picLocks noChangeAspect="1"/>
                    </pic:cNvPicPr>
                  </pic:nvPicPr>
                  <pic:blipFill>
                    <a:blip r:embed="rId10"/>
                    <a:stretch>
                      <a:fillRect/>
                    </a:stretch>
                  </pic:blipFill>
                  <pic:spPr>
                    <a:xfrm>
                      <a:off x="0" y="0"/>
                      <a:ext cx="4977765" cy="3319145"/>
                    </a:xfrm>
                    <a:prstGeom prst="rect">
                      <a:avLst/>
                    </a:prstGeom>
                  </pic:spPr>
                </pic:pic>
              </a:graphicData>
            </a:graphic>
          </wp:inline>
        </w:drawing>
      </w:r>
    </w:p>
    <w:p w14:paraId="7DBAC48E">
      <w:pPr>
        <w:rPr>
          <w:rFonts w:hint="default" w:ascii="Times New Roman" w:hAnsi="Times New Roman" w:cs="Times New Roman" w:eastAsiaTheme="minorEastAsia"/>
          <w:lang w:val="en-US" w:eastAsia="zh-CN"/>
        </w:rPr>
      </w:pPr>
      <w:r>
        <w:rPr>
          <w:rFonts w:hint="default" w:ascii="Times New Roman" w:hAnsi="Times New Roman" w:cs="Times New Roman"/>
          <w:b/>
          <w:bCs/>
        </w:rPr>
        <w:t>Figure S</w:t>
      </w:r>
      <w:r>
        <w:rPr>
          <w:rFonts w:hint="eastAsia" w:ascii="Times New Roman" w:hAnsi="Times New Roman" w:cs="Times New Roman"/>
          <w:b/>
          <w:bCs/>
          <w:lang w:val="en-US" w:eastAsia="zh-CN"/>
        </w:rPr>
        <w:t>7</w:t>
      </w:r>
      <w:r>
        <w:rPr>
          <w:rFonts w:hint="default" w:ascii="Times New Roman" w:hAnsi="Times New Roman" w:cs="Times New Roman"/>
          <w:b/>
          <w:bCs/>
        </w:rPr>
        <w:t>.</w:t>
      </w:r>
      <w:r>
        <w:rPr>
          <w:rFonts w:hint="default" w:ascii="Times New Roman" w:hAnsi="Times New Roman" w:cs="Times New Roman"/>
        </w:rPr>
        <w:t xml:space="preserve"> </w:t>
      </w:r>
      <w:r>
        <w:rPr>
          <w:rFonts w:hint="default" w:ascii="Times New Roman" w:hAnsi="Times New Roman" w:cs="Times New Roman"/>
          <w:lang w:val="en-US" w:eastAsia="zh-CN"/>
        </w:rPr>
        <w:t>Forest plot of associations between cumulative average sensory impairment and incident cardiometabolic disease outcomes after excluding events occurring during the first 2 years of follow-up.</w:t>
      </w:r>
    </w:p>
    <w:p w14:paraId="527D6808">
      <w:pPr>
        <w:rPr>
          <w:rFonts w:hint="default"/>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b/>
          <w:bCs/>
          <w:lang w:val="en-US" w:eastAsia="zh-CN"/>
        </w:rPr>
        <w:t xml:space="preserve">Notes: </w:t>
      </w:r>
      <w:r>
        <w:rPr>
          <w:rFonts w:hint="default" w:ascii="Times New Roman" w:hAnsi="Times New Roman" w:cs="Times New Roman"/>
          <w:lang w:val="en-US" w:eastAsia="zh-CN"/>
        </w:rPr>
        <w:t>This sensitivity analysis excluded participants who developed the corresponding outcome within the first 2 years of follow-up to reduce the potential influence of undiagnosed or subclinical cardiometabolic disease at baseline and minimize reverse causation. Estimates are hazard ratios with 95% confidence intervals from fully adjusted Cox proportional hazards regression models. The vertical dashed line indicates a hazard ratio of 1.00. DSI, dual sensory impairment; CMD, cardiometabolic disease; HR, hazard ratio; CI, confidence interval</w:t>
      </w:r>
      <w:r>
        <w:rPr>
          <w:rFonts w:hint="default"/>
          <w:lang w:val="en-US" w:eastAsia="zh-CN"/>
        </w:rPr>
        <w:t>.</w:t>
      </w:r>
    </w:p>
    <w:p w14:paraId="46049A42">
      <w:r>
        <w:drawing>
          <wp:inline distT="0" distB="0" distL="114300" distR="114300">
            <wp:extent cx="5770880" cy="2491740"/>
            <wp:effectExtent l="0" t="0" r="7620" b="1016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1"/>
                    <a:stretch>
                      <a:fillRect/>
                    </a:stretch>
                  </pic:blipFill>
                  <pic:spPr>
                    <a:xfrm>
                      <a:off x="0" y="0"/>
                      <a:ext cx="5770880" cy="2491740"/>
                    </a:xfrm>
                    <a:prstGeom prst="rect">
                      <a:avLst/>
                    </a:prstGeom>
                    <a:noFill/>
                    <a:ln>
                      <a:noFill/>
                    </a:ln>
                  </pic:spPr>
                </pic:pic>
              </a:graphicData>
            </a:graphic>
          </wp:inline>
        </w:drawing>
      </w:r>
    </w:p>
    <w:p w14:paraId="248B811A">
      <w:pPr>
        <w:rPr>
          <w:rFonts w:hint="default" w:ascii="Times New Roman" w:hAnsi="Times New Roman" w:cs="Times New Roman" w:eastAsiaTheme="minorEastAsia"/>
          <w:lang w:val="en-US" w:eastAsia="zh-CN"/>
        </w:rPr>
      </w:pPr>
      <w:r>
        <w:rPr>
          <w:rFonts w:hint="default" w:ascii="Times New Roman" w:hAnsi="Times New Roman" w:cs="Times New Roman"/>
          <w:b/>
          <w:bCs/>
        </w:rPr>
        <w:t>Figure S</w:t>
      </w:r>
      <w:r>
        <w:rPr>
          <w:rFonts w:hint="eastAsia" w:ascii="Times New Roman" w:hAnsi="Times New Roman" w:cs="Times New Roman"/>
          <w:b/>
          <w:bCs/>
          <w:lang w:val="en-US" w:eastAsia="zh-CN"/>
        </w:rPr>
        <w:t>8</w:t>
      </w:r>
      <w:r>
        <w:rPr>
          <w:rFonts w:hint="default" w:ascii="Times New Roman" w:hAnsi="Times New Roman" w:cs="Times New Roman"/>
          <w:b/>
          <w:bCs/>
        </w:rPr>
        <w:t>.</w:t>
      </w:r>
      <w:r>
        <w:rPr>
          <w:rFonts w:hint="eastAsia" w:ascii="Times New Roman" w:hAnsi="Times New Roman" w:cs="Times New Roman"/>
          <w:b/>
          <w:bCs/>
          <w:lang w:val="en-US" w:eastAsia="zh-CN"/>
        </w:rPr>
        <w:t xml:space="preserve"> </w:t>
      </w:r>
      <w:r>
        <w:rPr>
          <w:rFonts w:hint="default" w:ascii="Times New Roman" w:hAnsi="Times New Roman" w:cs="Times New Roman"/>
          <w:lang w:val="en-US" w:eastAsia="zh-CN"/>
        </w:rPr>
        <w:t>Random-effects meta-analysis of associations between cumulative average sensory impairment and incident cardiometabolic disease outcomes in sensitivity analyses.</w:t>
      </w:r>
    </w:p>
    <w:p w14:paraId="2A077031">
      <w:pPr>
        <w:rPr>
          <w:rFonts w:hint="default" w:asciiTheme="minorHAnsi" w:hAnsiTheme="minorHAnsi" w:eastAsiaTheme="minorEastAsia" w:cstheme="minorBidi"/>
          <w:kern w:val="2"/>
          <w:sz w:val="21"/>
          <w:szCs w:val="24"/>
          <w:lang w:val="en-US" w:eastAsia="zh-CN" w:bidi="ar-SA"/>
        </w:rPr>
      </w:pPr>
      <w:r>
        <w:rPr>
          <w:rFonts w:hint="default" w:ascii="Times New Roman" w:hAnsi="Times New Roman" w:cs="Times New Roman"/>
          <w:b/>
          <w:bCs/>
        </w:rPr>
        <w:t>Notes:</w:t>
      </w:r>
      <w:r>
        <w:rPr>
          <w:rFonts w:hint="default" w:ascii="Times New Roman" w:hAnsi="Times New Roman" w:cs="Times New Roman"/>
        </w:rPr>
        <w:t xml:space="preserve"> Cohort-specific hazard ratios were pooled using random-effects meta-analysis. Sensitivity analyses excluded events occurring during the first 2 years of follow-up. Squares represent cohort-specific estimates, with square sizes proportional to the inverse variance of the estimates; horizontal lines indicate 95% confidence intervals; diamonds represent pooled estimates. DSI, dual sensory impairment; CMD, cardiometabolic disease; HR, hazard ratio; CI, confidence interval.</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XLJ_CSL_STYLE" w:val="469"/>
  </w:docVars>
  <w:rsids>
    <w:rsidRoot w:val="6E0218A1"/>
    <w:rsid w:val="0A065192"/>
    <w:rsid w:val="0BB06CD5"/>
    <w:rsid w:val="0D722483"/>
    <w:rsid w:val="12B46BBF"/>
    <w:rsid w:val="24936E8E"/>
    <w:rsid w:val="284303FE"/>
    <w:rsid w:val="2C881338"/>
    <w:rsid w:val="2D493B59"/>
    <w:rsid w:val="31FD7E39"/>
    <w:rsid w:val="50A373DC"/>
    <w:rsid w:val="604016C3"/>
    <w:rsid w:val="67184FB0"/>
    <w:rsid w:val="683F2971"/>
    <w:rsid w:val="6C97174C"/>
    <w:rsid w:val="6D0E5786"/>
    <w:rsid w:val="6E0218A1"/>
    <w:rsid w:val="6FC22F83"/>
    <w:rsid w:val="72C40D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744</Words>
  <Characters>4887</Characters>
  <Lines>0</Lines>
  <Paragraphs>0</Paragraphs>
  <TotalTime>1</TotalTime>
  <ScaleCrop>false</ScaleCrop>
  <LinksUpToDate>false</LinksUpToDate>
  <CharactersWithSpaces>5615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2026-08-08T11:48:00Z</dcterms:created>
  <dc:creator>渭城朝雨浥轻尘</dc:creator>
  <cp:lastModifiedBy>渭城朝雨浥轻尘</cp:lastModifiedBy>
  <dcterms:modified xsi:type="dcterms:W3CDTF">2026-08-22T15:04:22Z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AE4010342EAD4562A75D649DF96B7F55_11</vt:lpwstr>
  </property>
  <property fmtid="{D5CDD505-2E9C-101B-9397-08002B2CF9AE}" pid="4" name="KSOTemplateDocerSaveRecord">
    <vt:lpwstr>eyJoZGlkIjoiN2YzNjBkOTgyNWQ1YTMxYzM3MzMwNWFiODNmOWIzYWMiLCJ1c2VySWQiOiI3ODAxNjM4NjUifQ==</vt:lpwstr>
  </property>
</Properties>
</file>