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4A46F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7BC50D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Geographic coverage of the ELSA, HRS, and SHARE cohorts.</w:t>
      </w:r>
    </w:p>
    <w:p w14:paraId="60B03FFE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6D7CBB2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Analytic waves and harmonized data resources and documentation used for the ELSA, HRS, and SHARE cohorts.</w:t>
      </w:r>
    </w:p>
    <w:p w14:paraId="4C8927B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5740D67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Waves and calendar years included in the analyses in the ELSA, HRS, and SHARE cohorts.</w:t>
      </w:r>
    </w:p>
    <w:p w14:paraId="05F7E1B4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5E4B11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4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Harmonized definitions and measurements of exposure and outcome variables across the ELSA, HRS, and SHARE cohorts.</w:t>
      </w:r>
    </w:p>
    <w:p w14:paraId="3C456FA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4BA66CA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S5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Harmonized definitions and coding of sociodemographic characteristics and covariates across the ELSA, HRS, and SHARE cohorts.</w:t>
      </w:r>
    </w:p>
    <w:p w14:paraId="1FC7B66E">
      <w:pPr>
        <w:ind w:firstLine="964" w:firstLineChars="40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D5B8023">
      <w:pPr>
        <w:widowControl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>Table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 xml:space="preserve">6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>Random-effects meta-analysis of associations between time-updated cumulative mean dual sensory impairment and incident cardiometabolic outcomes.</w:t>
      </w:r>
    </w:p>
    <w:p w14:paraId="0DA9A134">
      <w:pPr>
        <w:ind w:firstLine="964" w:firstLineChars="40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42DB403">
      <w:pPr>
        <w:widowControl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 xml:space="preserve">Table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 xml:space="preserve">7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 xml:space="preserve">Subgroup-specific associations between time-updated cumulative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average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 xml:space="preserve"> dual sensory impairment and incident cardiometabolic disease.</w:t>
      </w:r>
    </w:p>
    <w:p w14:paraId="438BF0BC">
      <w:pPr>
        <w:ind w:firstLine="964" w:firstLineChars="40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488ED27">
      <w:pPr>
        <w:widowControl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 xml:space="preserve">Table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 xml:space="preserve"> Sensitivity analyses of associations between time-updated cumulative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average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 xml:space="preserve"> sensory impairments and incident cardiometabolic disease using a 2-year lag period.</w:t>
      </w:r>
    </w:p>
    <w:p w14:paraId="64C75DC2">
      <w:pPr>
        <w:ind w:firstLine="964" w:firstLineChars="40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16A843D">
      <w:pPr>
        <w:widowControl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 xml:space="preserve">Table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>Random-effects meta-analysis of average dual sensory impairment and incident outcomes: robustness analysis.</w:t>
      </w:r>
    </w:p>
    <w:p w14:paraId="797C0871">
      <w:pPr>
        <w:ind w:firstLine="964" w:firstLineChars="40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3506ED1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589E169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B36D487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36DDC23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6485DF0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4F0D745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23D0CA9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1F1A17F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5623E0F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B5B5256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E4F8D48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F383FF6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4BE87A7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3AD18BC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3385605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FA7BBD0">
      <w:pPr>
        <w:ind w:firstLine="843" w:firstLineChars="400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0916CF9">
      <w:pPr>
        <w:ind w:firstLine="843" w:firstLineChars="4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S1</w:t>
      </w:r>
      <w:r>
        <w:rPr>
          <w:rFonts w:hint="default" w:ascii="Times New Roman" w:hAnsi="Times New Roman" w:cs="Times New Roman"/>
          <w:lang w:val="en-US" w:eastAsia="zh-CN"/>
        </w:rPr>
        <w:t>. Geographic coverage of the ELSA, HRS, and SHARE cohorts.</w:t>
      </w:r>
    </w:p>
    <w:tbl>
      <w:tblPr>
        <w:tblStyle w:val="2"/>
        <w:tblW w:w="3950" w:type="pct"/>
        <w:tblInd w:w="832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1666"/>
        <w:gridCol w:w="2034"/>
        <w:gridCol w:w="2933"/>
      </w:tblGrid>
      <w:tr w14:paraId="5AA4A0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B698F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Study</w:t>
            </w: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45B38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Regions</w:t>
            </w: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E6AC4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Country</w:t>
            </w:r>
          </w:p>
        </w:tc>
      </w:tr>
      <w:tr w14:paraId="44C567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F3E9CD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ELSA </w:t>
            </w: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F9A55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Western Europe</w:t>
            </w:r>
          </w:p>
          <w:p w14:paraId="3FDFA2A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E31F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England</w:t>
            </w:r>
          </w:p>
          <w:p w14:paraId="7C8D786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661B4A9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8EB55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HRS </w:t>
            </w:r>
          </w:p>
          <w:p w14:paraId="0B771681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0A209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North America </w:t>
            </w:r>
          </w:p>
          <w:p w14:paraId="69A59259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CEE94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United States </w:t>
            </w:r>
          </w:p>
          <w:p w14:paraId="44A8162F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429900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452" w:hRule="atLeast"/>
        </w:trPr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84F0CA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SHARE</w:t>
            </w: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92DC5B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North Europe</w:t>
            </w: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A8077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Denmark</w:t>
            </w:r>
          </w:p>
        </w:tc>
      </w:tr>
      <w:tr w14:paraId="021AD7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1A00B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736E3BC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06C739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Sweden</w:t>
            </w:r>
          </w:p>
        </w:tc>
      </w:tr>
      <w:tr w14:paraId="5013D8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A88871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DBA2C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Western Europe </w:t>
            </w: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383CF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Austria </w:t>
            </w:r>
          </w:p>
        </w:tc>
      </w:tr>
      <w:tr w14:paraId="0F8E56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E2FE6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818FE4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CBF8C2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Belgium </w:t>
            </w:r>
          </w:p>
        </w:tc>
      </w:tr>
      <w:tr w14:paraId="6A4571B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75DDCB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6A55DEC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22E627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France </w:t>
            </w:r>
          </w:p>
        </w:tc>
      </w:tr>
      <w:tr w14:paraId="666D974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BA7CA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8A983B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73D936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Germany </w:t>
            </w:r>
          </w:p>
        </w:tc>
      </w:tr>
      <w:tr w14:paraId="49463FC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62F72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3A4538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F9F3E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Netherlands </w:t>
            </w:r>
          </w:p>
        </w:tc>
      </w:tr>
      <w:tr w14:paraId="3883E90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7D435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19DDE29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98302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Switzerland</w:t>
            </w:r>
          </w:p>
        </w:tc>
      </w:tr>
      <w:tr w14:paraId="6FE569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B5617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9565A3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Southern Europe </w:t>
            </w: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A019A0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Greece </w:t>
            </w:r>
          </w:p>
        </w:tc>
      </w:tr>
      <w:tr w14:paraId="5763E56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4B45E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EBAD7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33C4F2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Italy </w:t>
            </w:r>
          </w:p>
        </w:tc>
      </w:tr>
      <w:tr w14:paraId="48A2CF9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166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F349F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259A9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33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AA43B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Spain</w:t>
            </w:r>
          </w:p>
        </w:tc>
      </w:tr>
    </w:tbl>
    <w:p w14:paraId="3E3577D9">
      <w:pPr>
        <w:rPr>
          <w:rFonts w:hint="default"/>
          <w:lang w:val="en-US" w:eastAsia="zh-CN"/>
        </w:rPr>
      </w:pPr>
    </w:p>
    <w:p w14:paraId="20840AE9">
      <w:pPr>
        <w:rPr>
          <w:rFonts w:hint="default"/>
          <w:lang w:val="en-US" w:eastAsia="zh-CN"/>
        </w:rPr>
      </w:pPr>
    </w:p>
    <w:p w14:paraId="6A82B1AA">
      <w:pPr>
        <w:rPr>
          <w:rFonts w:hint="default"/>
          <w:lang w:val="en-US" w:eastAsia="zh-CN"/>
        </w:rPr>
      </w:pPr>
    </w:p>
    <w:p w14:paraId="2B2EABFA">
      <w:pPr>
        <w:rPr>
          <w:rFonts w:hint="default"/>
          <w:lang w:val="en-US" w:eastAsia="zh-CN"/>
        </w:rPr>
      </w:pPr>
    </w:p>
    <w:p w14:paraId="0DB80DD0">
      <w:pPr>
        <w:rPr>
          <w:rFonts w:hint="default"/>
          <w:lang w:val="en-US" w:eastAsia="zh-CN"/>
        </w:rPr>
      </w:pPr>
    </w:p>
    <w:p w14:paraId="08761E45">
      <w:pPr>
        <w:rPr>
          <w:rFonts w:hint="default"/>
          <w:lang w:val="en-US" w:eastAsia="zh-CN"/>
        </w:rPr>
      </w:pPr>
    </w:p>
    <w:p w14:paraId="502A3BB0">
      <w:pPr>
        <w:rPr>
          <w:rFonts w:hint="default"/>
          <w:lang w:val="en-US" w:eastAsia="zh-CN"/>
        </w:rPr>
      </w:pPr>
    </w:p>
    <w:p w14:paraId="7BE7CAEB">
      <w:pPr>
        <w:rPr>
          <w:rFonts w:hint="default"/>
          <w:lang w:val="en-US" w:eastAsia="zh-CN"/>
        </w:rPr>
      </w:pPr>
    </w:p>
    <w:p w14:paraId="1D17147A">
      <w:pPr>
        <w:rPr>
          <w:rFonts w:hint="default"/>
          <w:lang w:val="en-US" w:eastAsia="zh-CN"/>
        </w:rPr>
      </w:pPr>
    </w:p>
    <w:p w14:paraId="43F26938">
      <w:pPr>
        <w:rPr>
          <w:rFonts w:hint="default"/>
          <w:lang w:val="en-US" w:eastAsia="zh-CN"/>
        </w:rPr>
      </w:pPr>
    </w:p>
    <w:p w14:paraId="1BE50B0A">
      <w:pPr>
        <w:rPr>
          <w:rFonts w:hint="default"/>
          <w:lang w:val="en-US" w:eastAsia="zh-CN"/>
        </w:rPr>
      </w:pPr>
    </w:p>
    <w:p w14:paraId="227783AB">
      <w:pPr>
        <w:rPr>
          <w:rFonts w:hint="default"/>
          <w:lang w:val="en-US" w:eastAsia="zh-CN"/>
        </w:rPr>
      </w:pPr>
    </w:p>
    <w:p w14:paraId="42B3A194">
      <w:pPr>
        <w:rPr>
          <w:rFonts w:hint="default"/>
          <w:lang w:val="en-US" w:eastAsia="zh-CN"/>
        </w:rPr>
      </w:pPr>
    </w:p>
    <w:p w14:paraId="6A634281">
      <w:pPr>
        <w:rPr>
          <w:rFonts w:hint="default"/>
          <w:lang w:val="en-US" w:eastAsia="zh-CN"/>
        </w:rPr>
      </w:pPr>
    </w:p>
    <w:p w14:paraId="71283D36">
      <w:pPr>
        <w:rPr>
          <w:rFonts w:hint="default"/>
          <w:lang w:val="en-US" w:eastAsia="zh-CN"/>
        </w:rPr>
      </w:pPr>
    </w:p>
    <w:p w14:paraId="314B1D5E">
      <w:pPr>
        <w:rPr>
          <w:rFonts w:hint="default"/>
          <w:lang w:val="en-US" w:eastAsia="zh-CN"/>
        </w:rPr>
      </w:pPr>
    </w:p>
    <w:p w14:paraId="2877E7C0">
      <w:pPr>
        <w:rPr>
          <w:rFonts w:hint="default"/>
          <w:lang w:val="en-US" w:eastAsia="zh-CN"/>
        </w:rPr>
      </w:pPr>
    </w:p>
    <w:p w14:paraId="49AB6D37">
      <w:pPr>
        <w:rPr>
          <w:rFonts w:hint="default"/>
          <w:lang w:val="en-US" w:eastAsia="zh-CN"/>
        </w:rPr>
      </w:pPr>
    </w:p>
    <w:p w14:paraId="03DCF5AE">
      <w:pPr>
        <w:rPr>
          <w:rFonts w:hint="default"/>
          <w:lang w:val="en-US" w:eastAsia="zh-CN"/>
        </w:rPr>
      </w:pPr>
    </w:p>
    <w:p w14:paraId="63C2D6F5">
      <w:pPr>
        <w:rPr>
          <w:rFonts w:hint="default"/>
          <w:lang w:val="en-US" w:eastAsia="zh-CN"/>
        </w:rPr>
      </w:pPr>
    </w:p>
    <w:p w14:paraId="578124C4">
      <w:pPr>
        <w:rPr>
          <w:rFonts w:hint="default"/>
          <w:lang w:val="en-US" w:eastAsia="zh-CN"/>
        </w:rPr>
      </w:pPr>
    </w:p>
    <w:p w14:paraId="6A312ECB">
      <w:pPr>
        <w:rPr>
          <w:rFonts w:hint="default"/>
          <w:lang w:val="en-US" w:eastAsia="zh-CN"/>
        </w:rPr>
      </w:pPr>
    </w:p>
    <w:p w14:paraId="276F0BD2">
      <w:pPr>
        <w:rPr>
          <w:rFonts w:hint="default"/>
          <w:lang w:val="en-US" w:eastAsia="zh-CN"/>
        </w:rPr>
      </w:pPr>
    </w:p>
    <w:p w14:paraId="33CB3574">
      <w:pPr>
        <w:rPr>
          <w:rFonts w:hint="default"/>
          <w:lang w:val="en-US" w:eastAsia="zh-CN"/>
        </w:rPr>
      </w:pPr>
    </w:p>
    <w:p w14:paraId="1C9F4E02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Analytic waves and harmonized data resources and documentation used for the ELSA, HRS, and SHARE cohorts.</w:t>
      </w:r>
    </w:p>
    <w:tbl>
      <w:tblPr>
        <w:tblStyle w:val="2"/>
        <w:tblW w:w="4761" w:type="pct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2642"/>
        <w:gridCol w:w="1783"/>
        <w:gridCol w:w="3570"/>
      </w:tblGrid>
      <w:tr w14:paraId="2376629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jc w:val="center"/>
        </w:trPr>
        <w:tc>
          <w:tcPr>
            <w:tcW w:w="1652" w:type="pct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A6852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ohorts</w:t>
            </w:r>
          </w:p>
        </w:tc>
        <w:tc>
          <w:tcPr>
            <w:tcW w:w="1115" w:type="pct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2047F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en-US"/>
              </w:rPr>
              <w:t>Analytical wave(s)</w:t>
            </w:r>
          </w:p>
        </w:tc>
        <w:tc>
          <w:tcPr>
            <w:tcW w:w="2232" w:type="pct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DB674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en-US"/>
              </w:rPr>
              <w:t>Harmonised data source and documentation</w:t>
            </w:r>
          </w:p>
        </w:tc>
      </w:tr>
      <w:tr w14:paraId="046C7F2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jc w:val="center"/>
        </w:trPr>
        <w:tc>
          <w:tcPr>
            <w:tcW w:w="1652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C613D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ELSA </w:t>
            </w:r>
          </w:p>
        </w:tc>
        <w:tc>
          <w:tcPr>
            <w:tcW w:w="1115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EAE96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wave1-wave9</w:t>
            </w:r>
          </w:p>
        </w:tc>
        <w:tc>
          <w:tcPr>
            <w:tcW w:w="2232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B04B7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Harmonized ELSA </w:t>
            </w:r>
          </w:p>
          <w:p w14:paraId="7F6559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Documentation</w:t>
            </w:r>
          </w:p>
          <w:p w14:paraId="47825C3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VERSION G.3 (2002-2019)</w:t>
            </w:r>
          </w:p>
        </w:tc>
      </w:tr>
      <w:tr w14:paraId="417F179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jc w:val="center"/>
        </w:trPr>
        <w:tc>
          <w:tcPr>
            <w:tcW w:w="1652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D0C00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HRS </w:t>
            </w:r>
          </w:p>
          <w:p w14:paraId="760D541F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15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9312C0C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wave3-wave15</w:t>
            </w:r>
          </w:p>
        </w:tc>
        <w:tc>
          <w:tcPr>
            <w:tcW w:w="2232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C942A9E"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RAND HRS Longitudinal</w:t>
            </w:r>
          </w:p>
          <w:p w14:paraId="4BDF61C1"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File 2022 (V1)</w:t>
            </w:r>
          </w:p>
          <w:p w14:paraId="2EB6BEB5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Documentation,</w:t>
            </w:r>
          </w:p>
        </w:tc>
      </w:tr>
      <w:tr w14:paraId="7CB944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452" w:hRule="atLeast"/>
          <w:jc w:val="center"/>
        </w:trPr>
        <w:tc>
          <w:tcPr>
            <w:tcW w:w="1652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34F1CB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SHARE</w:t>
            </w:r>
          </w:p>
        </w:tc>
        <w:tc>
          <w:tcPr>
            <w:tcW w:w="1115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46D2B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wave4-wave9</w:t>
            </w:r>
          </w:p>
        </w:tc>
        <w:tc>
          <w:tcPr>
            <w:tcW w:w="2232" w:type="pct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0B92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Gateway Harmonized SHARE</w:t>
            </w:r>
          </w:p>
          <w:p w14:paraId="1F9D15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Documentation</w:t>
            </w:r>
          </w:p>
          <w:p w14:paraId="3CE736E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Version G (2004-2022; using release 9.0.0)</w:t>
            </w:r>
          </w:p>
        </w:tc>
      </w:tr>
    </w:tbl>
    <w:p w14:paraId="00113ECC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FE6426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>Waves and calendar years included in the analyses in the ELSA, HRS, and SHARE cohorts.</w:t>
      </w:r>
    </w:p>
    <w:tbl>
      <w:tblPr>
        <w:tblStyle w:val="2"/>
        <w:tblW w:w="5075" w:type="pct"/>
        <w:tblInd w:w="-8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2156"/>
        <w:gridCol w:w="2122"/>
        <w:gridCol w:w="2122"/>
        <w:gridCol w:w="2122"/>
      </w:tblGrid>
      <w:tr w14:paraId="09DD55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E84776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Year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2BAEF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ELSA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AD7E5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HRS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FE0B0C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SHARE</w:t>
            </w:r>
          </w:p>
        </w:tc>
      </w:tr>
      <w:tr w14:paraId="59A007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8EB785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1996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F34C1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1A6A94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Wave3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DAC1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1B11A4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A2AD40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1997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76970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4D1E9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FFF09B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07C8814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80" w:hRule="atLeast"/>
        </w:trPr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9430C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1998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9A2A0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2F2FFE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Wave4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45E6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D7BA6A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C530C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1999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C53785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E5FB6B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436F1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89316C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50E6F5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2000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B5C8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133877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Wave5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56D5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BFCD9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E81DB6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2001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A8ED5E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CC4D2E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70CDA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54D818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98106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2002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D1EBC5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4F831A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Wave6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EEC39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75C68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6F062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2003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A0AA4A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BF315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67AD7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498797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D97EDA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2004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083228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Wave2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1D4E0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Wave7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E919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3BD09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B02973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2005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A9B0DA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20BF55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0EC0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689A22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08A6A1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2006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4CBA2B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Wave3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93F0A2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Wave8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78FF0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E03460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635F9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2007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146724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1250B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115D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F8BC62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80FFF5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2008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A0C036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Wave4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E1EE69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Wave9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CC44F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58194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EF636B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2009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457DC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34853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D1A94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44940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8F29F0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2010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5AB0F1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Wave5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A66A58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Wave10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728C1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Wave4</w:t>
            </w:r>
          </w:p>
        </w:tc>
      </w:tr>
      <w:tr w14:paraId="425EC8C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93716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2011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5AA4C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0190F4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4D80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F88F9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4F9D9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2012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DC29B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Wave6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F643A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Wave11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3A932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32809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DBBA8D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2013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DFFA5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4E7692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D59F44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Wave5</w:t>
            </w:r>
          </w:p>
        </w:tc>
      </w:tr>
      <w:tr w14:paraId="528E55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037E5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2014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770BFE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Wave7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8069B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Wave12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6BBDAE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E709A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F1D85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2015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168DDD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D17FAA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484FB3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Wave6</w:t>
            </w:r>
          </w:p>
        </w:tc>
      </w:tr>
      <w:tr w14:paraId="79C5BD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114BFE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2016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B735E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Wave8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ED7599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Wave13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443E6C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889C92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693DDB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2017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A58B7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21EC98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D1B93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Wave7</w:t>
            </w:r>
          </w:p>
        </w:tc>
      </w:tr>
      <w:tr w14:paraId="34648B7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7C9054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2018</w:t>
            </w: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40BF11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Wave9</w:t>
            </w: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8491C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Wave14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5F763D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A3C983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E8D401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2019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32472B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71CDD0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E6BCB1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Wave8</w:t>
            </w:r>
          </w:p>
        </w:tc>
      </w:tr>
      <w:tr w14:paraId="1E8C840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945584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2020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E26F64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A6711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Wave15</w:t>
            </w: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5ABA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2288D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4F5DCF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2021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F79D7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076F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vMerge w:val="restart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81CA2F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Wave9</w:t>
            </w:r>
          </w:p>
        </w:tc>
      </w:tr>
      <w:tr w14:paraId="606D20D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156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5BBC9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2022</w:t>
            </w: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A599CD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2" w:type="dxa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6DCA7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22" w:type="dxa"/>
            <w:vMerge w:val="continue"/>
            <w:shd w:val="clear" w:color="auto" w:fill="E7E6E6" w:themeFill="background2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E2E40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10FEE9BC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Abbreviations: ELSA: English Longitudinal Study of Ageing; HRS: Health and Retirement Study; SHARE: Survey of Health, Ageing and Retirement in Europe.</w:t>
      </w:r>
    </w:p>
    <w:p w14:paraId="0987631E">
      <w:pPr>
        <w:rPr>
          <w:rFonts w:hint="default" w:ascii="Times New Roman" w:hAnsi="Times New Roman" w:cs="Times New Roman"/>
          <w:lang w:val="en-US" w:eastAsia="zh-CN"/>
        </w:rPr>
      </w:pPr>
    </w:p>
    <w:p w14:paraId="19801FD1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5971240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Harmonized definitions and measurements of exposure and outcome variables across the ELSA, HRS, and SHARE cohorts.</w:t>
      </w:r>
    </w:p>
    <w:tbl>
      <w:tblPr>
        <w:tblStyle w:val="2"/>
        <w:tblpPr w:leftFromText="180" w:rightFromText="180" w:vertAnchor="text" w:horzAnchor="page" w:tblpX="1432" w:tblpY="242"/>
        <w:tblOverlap w:val="never"/>
        <w:tblW w:w="4997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2053"/>
        <w:gridCol w:w="930"/>
        <w:gridCol w:w="2668"/>
        <w:gridCol w:w="2803"/>
        <w:gridCol w:w="1744"/>
        <w:gridCol w:w="3842"/>
      </w:tblGrid>
      <w:tr w14:paraId="49309A4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12" w:hRule="atLeast"/>
        </w:trPr>
        <w:tc>
          <w:tcPr>
            <w:tcW w:w="731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B2047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1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3A51C4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cohorts</w:t>
            </w:r>
          </w:p>
        </w:tc>
        <w:tc>
          <w:tcPr>
            <w:tcW w:w="950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50C28D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9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1B53A5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619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C538885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0371AA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coding used in this study</w:t>
            </w:r>
          </w:p>
        </w:tc>
      </w:tr>
      <w:tr w14:paraId="06F78ED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12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8E86D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991E4F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5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ADD799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9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3C7180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A8FBF1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9A5644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019589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B8241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Near vision impairment</w:t>
            </w: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B3363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96370A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r1nsight-r9nsight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F5BCC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self-rated near eyesight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57B2A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1=excellent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3=good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4=fair</w:t>
            </w:r>
          </w:p>
          <w:p w14:paraId="15E7C43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5=blind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3E8CB7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Self-reported near vision was scored from 0 to 4, with higher scores indicating poorer near vision.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(participants who reported being “blind” received a score of 4 for the relevant vision item)（For HRS, the original response categories were reverse-coded so that higher values indicated poorer vision, consistent with ELSA and SHARE.）</w:t>
            </w:r>
          </w:p>
        </w:tc>
      </w:tr>
      <w:tr w14:paraId="58915C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2166400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0B60E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136F4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r3eyenr-r15eyenr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96B84C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Self-report of near eyesight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8317C7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Poor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Fair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Very good</w:t>
            </w:r>
          </w:p>
          <w:p w14:paraId="2DD7213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Excellent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5D523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E8CBB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C76BEE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4D946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8951A7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r4nsight-r9nsight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A3359D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self-rated near eyesight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CBD69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1=excellent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3=good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4=fair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5=poor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6=blind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EE03D4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D66363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BEEBA7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Distance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vision impairment</w:t>
            </w: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96DC38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C3F6F0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r1dsight-r9dsight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0E96B2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self-rated distance eyesight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BA06BC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1=excellent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3=good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4=fair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5=blind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C6BC3A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Self-reported distance vision was scored from 0 to 4, with higher scores indicating poorer distance vision.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(participants who reported being “blind” received a score of 4 for the relevant vision item)（For HRS, the original response categories were reverse-coded so that higher values indicated poorer vision, consistent with ELSA and SHARE.）</w:t>
            </w:r>
          </w:p>
        </w:tc>
      </w:tr>
      <w:tr w14:paraId="43F2DC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CC567B8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50FD9F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A01DE0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r3eyefr-r15eyefr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F0FAFD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Self-report of far eyesight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BEE5E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Poor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Fair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Excellen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t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204C4E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687B165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7D6120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CEEAC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8694BA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r4dsight-r9dsight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F7C5A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self-rated distance eyesight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7D1F8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1=excellent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3=good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4=fair</w:t>
            </w:r>
          </w:p>
          <w:p w14:paraId="0D954BD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5=poor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6=blind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4607CB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DA91E1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80" w:hRule="atLeast"/>
        </w:trPr>
        <w:tc>
          <w:tcPr>
            <w:tcW w:w="7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73EE13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Visual impairment</w:t>
            </w:r>
          </w:p>
          <w:p w14:paraId="3096D62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  <w:p w14:paraId="14D99A7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900" w:type="pct"/>
            <w:gridSpan w:val="4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D383D2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vision_score = distance vision score + near vision score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695BDC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The score ranged from 0 to 8; higher scores indicate poorer visual function.</w:t>
            </w:r>
          </w:p>
        </w:tc>
      </w:tr>
      <w:tr w14:paraId="67BC650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566F35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4B8DCB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cohorts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197848A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9ACCE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FE7D3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930FA1C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coding used in this study</w:t>
            </w:r>
          </w:p>
        </w:tc>
      </w:tr>
      <w:tr w14:paraId="49559C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FBEEC8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Hearing impairment</w:t>
            </w: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8B34C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F8A800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r1hearing-r9hearing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7844AB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self-rated hearing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B4DAE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1=excellent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3=good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4=fair</w:t>
            </w:r>
          </w:p>
          <w:p w14:paraId="47456D1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5=poor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FDB5AB9"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Self-reported hearing was scored from 0 to 4, with higher scores indicating poorer hearing.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（For HRS, the original response categories were reverse-coded so that higher values indicated poorer hearing, consistent with ELSA and SHARE.）</w:t>
            </w:r>
          </w:p>
        </w:tc>
      </w:tr>
      <w:tr w14:paraId="6A74F4B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F870C31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C4A76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B0473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r3earrt-r15earrt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56CCA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Self-report of hearing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BA27A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Poor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Fair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Very good</w:t>
            </w:r>
          </w:p>
          <w:p w14:paraId="6415D38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Excellen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t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A2724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F6B66F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28" w:hRule="atLeast"/>
        </w:trPr>
        <w:tc>
          <w:tcPr>
            <w:tcW w:w="731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24263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4F1A3C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95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AFC35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r4hearing-r9hearing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8BFCA7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self-rated hearing</w:t>
            </w:r>
          </w:p>
        </w:tc>
        <w:tc>
          <w:tcPr>
            <w:tcW w:w="61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C7EE4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1=excellent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2=very 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3=good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4=fair</w:t>
            </w:r>
          </w:p>
          <w:p w14:paraId="2C4E3B2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5=poor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03F467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4DCF0F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7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D1CC13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Dual sensory impairment (DSI)</w:t>
            </w:r>
          </w:p>
        </w:tc>
        <w:tc>
          <w:tcPr>
            <w:tcW w:w="2900" w:type="pct"/>
            <w:gridSpan w:val="4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6E4CA5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sensory_score = vision_score + hearing score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A8A056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The score ranged from 0 to 12; higher scores indicate poorer combined visual and hearing function.</w:t>
            </w:r>
          </w:p>
        </w:tc>
      </w:tr>
      <w:tr w14:paraId="028CF32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7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11100F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Cumulative average visual impairment</w:t>
            </w:r>
          </w:p>
        </w:tc>
        <w:tc>
          <w:tcPr>
            <w:tcW w:w="2900" w:type="pct"/>
            <w:gridSpan w:val="4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5CA1D6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Calculated from repeated vision_score measurements across follow-up waves.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7DD3F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Time-updated cumulative average of visual impairment scores across all available assessment waves before each risk interval. Higher values indicate a greater long-term level of visual impairment.</w:t>
            </w:r>
          </w:p>
        </w:tc>
      </w:tr>
      <w:tr w14:paraId="1A9210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7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B7BBB4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Cumulative average hearing impairment</w:t>
            </w:r>
          </w:p>
        </w:tc>
        <w:tc>
          <w:tcPr>
            <w:tcW w:w="2900" w:type="pct"/>
            <w:gridSpan w:val="4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EF647F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Calculated from repeated hearing impairment measurements across follow-up waves.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7342BC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Time-updated cumulative average of hearing impairment scores across all available assessment waves before each risk interval. Higher values indicate a greater long-term level of hearing impairment.</w:t>
            </w:r>
          </w:p>
        </w:tc>
      </w:tr>
    </w:tbl>
    <w:tbl>
      <w:tblPr>
        <w:tblStyle w:val="2"/>
        <w:tblW w:w="4998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2275"/>
        <w:gridCol w:w="1168"/>
        <w:gridCol w:w="2723"/>
        <w:gridCol w:w="67"/>
        <w:gridCol w:w="1981"/>
        <w:gridCol w:w="253"/>
        <w:gridCol w:w="1731"/>
        <w:gridCol w:w="3844"/>
      </w:tblGrid>
      <w:tr w14:paraId="00CD03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299" w:hRule="atLeast"/>
        </w:trPr>
        <w:tc>
          <w:tcPr>
            <w:tcW w:w="81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6875B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1B466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cohorts</w:t>
            </w:r>
          </w:p>
        </w:tc>
        <w:tc>
          <w:tcPr>
            <w:tcW w:w="993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F1042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70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06C33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705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C1491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59F6E98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coding used in this study</w:t>
            </w:r>
          </w:p>
        </w:tc>
      </w:tr>
      <w:tr w14:paraId="1020FC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81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79277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Cumulative average dual sensory impairment</w:t>
            </w:r>
          </w:p>
        </w:tc>
        <w:tc>
          <w:tcPr>
            <w:tcW w:w="2820" w:type="pct"/>
            <w:gridSpan w:val="6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B87AA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Calculated from repeated DSI score measurements across follow-up waves.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5B253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Time-updated cumulative average of the DSI score across all available assessment waves before each risk interval. Higher values indicate a greater long-term level of combined sensory impairment.</w:t>
            </w:r>
          </w:p>
        </w:tc>
      </w:tr>
      <w:tr w14:paraId="53B314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24" w:hRule="atLeast"/>
        </w:trPr>
        <w:tc>
          <w:tcPr>
            <w:tcW w:w="810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6DD542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Heart disease</w:t>
            </w: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5924899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19B64BA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r1hearte-r9hearte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4E612C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ever had heart problems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75D8B1A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B77D78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692D8F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24" w:hRule="atLeast"/>
        </w:trPr>
        <w:tc>
          <w:tcPr>
            <w:tcW w:w="81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1AE3591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4BC3F09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48B823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r3hearte-r15hearte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42CEEF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ever had heart problems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41A843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D651EAD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44322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24" w:hRule="atLeast"/>
        </w:trPr>
        <w:tc>
          <w:tcPr>
            <w:tcW w:w="81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A318F6D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8CCE97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40E5939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r4hearte-r9hearte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AD1B57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ever had heart problems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13785D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A7FC740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C525A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58" w:hRule="atLeast"/>
        </w:trPr>
        <w:tc>
          <w:tcPr>
            <w:tcW w:w="810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691447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Diabetes</w:t>
            </w: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5D27F99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03779FB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r1diabe-r9diabe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26BCE1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ever had diabete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D4449A4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79FD7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12104B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58" w:hRule="atLeast"/>
        </w:trPr>
        <w:tc>
          <w:tcPr>
            <w:tcW w:w="81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F4A7D8A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3C6A653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2249D27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r3diabe-r15diabe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59FFDF8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ever had diabetes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D43E653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A359892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26A22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58" w:hRule="atLeast"/>
        </w:trPr>
        <w:tc>
          <w:tcPr>
            <w:tcW w:w="81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B40BF2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14BC8C9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912E1CF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r4diabe-r9diabe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15973E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ever had diabete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6748D51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641E834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56D37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58" w:hRule="atLeast"/>
        </w:trPr>
        <w:tc>
          <w:tcPr>
            <w:tcW w:w="810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FFB61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C78A8AE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C847B65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r1stroke-r9stroke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A0A36C0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 xml:space="preserve">ever had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stroke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7A1B46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651DD7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51F5A96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58" w:hRule="atLeast"/>
        </w:trPr>
        <w:tc>
          <w:tcPr>
            <w:tcW w:w="81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3ED22E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DBA91F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7B99FC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r3stroke-r15stroke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96A8BF5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 xml:space="preserve">ever had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stroke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EA68806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9ADBA3F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41A8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258" w:hRule="atLeast"/>
        </w:trPr>
        <w:tc>
          <w:tcPr>
            <w:tcW w:w="810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6AF9A4A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6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2786AE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969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0ADE695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r4stroke-r9stroke</w:t>
            </w:r>
          </w:p>
        </w:tc>
        <w:tc>
          <w:tcPr>
            <w:tcW w:w="819" w:type="pct"/>
            <w:gridSpan w:val="3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ADA1131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 xml:space="preserve">ever had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stroke</w:t>
            </w:r>
          </w:p>
        </w:tc>
        <w:tc>
          <w:tcPr>
            <w:tcW w:w="61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313A4A7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0=No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1=Yes</w:t>
            </w:r>
          </w:p>
        </w:tc>
        <w:tc>
          <w:tcPr>
            <w:tcW w:w="136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0F1893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2C55C0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810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3B0F7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Cardiometabolic disease (CMD)</w:t>
            </w:r>
          </w:p>
        </w:tc>
        <w:tc>
          <w:tcPr>
            <w:tcW w:w="2820" w:type="pct"/>
            <w:gridSpan w:val="6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8E67DD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Derived from incident heart disease, diabetes, and stroke variables.</w:t>
            </w:r>
          </w:p>
        </w:tc>
        <w:tc>
          <w:tcPr>
            <w:tcW w:w="136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D6DFA5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Incident CMD was defined as the first occurrence of heart disease, diabetes, or stroke during follow-up. CMD was coded as 0 = no incident CMD and 1 = incident CMD.</w:t>
            </w:r>
          </w:p>
        </w:tc>
      </w:tr>
    </w:tbl>
    <w:p w14:paraId="48B798C2">
      <w:pPr>
        <w:rPr>
          <w:rFonts w:hint="default"/>
          <w:lang w:val="en-US" w:eastAsia="zh-CN"/>
        </w:rPr>
      </w:pPr>
    </w:p>
    <w:p w14:paraId="22F51FDA">
      <w:pPr>
        <w:rPr>
          <w:rFonts w:hint="eastAsia" w:ascii="Times New Roman" w:hAnsi="Times New Roman" w:eastAsia="仿宋_GB2312" w:cs="Times New Roman"/>
          <w:szCs w:val="21"/>
        </w:rPr>
      </w:pPr>
    </w:p>
    <w:p w14:paraId="5F9A3D15">
      <w:pPr>
        <w:rPr>
          <w:rFonts w:hint="eastAsia" w:ascii="Times New Roman" w:hAnsi="Times New Roman" w:eastAsia="仿宋_GB2312" w:cs="Times New Roman"/>
          <w:szCs w:val="21"/>
        </w:rPr>
      </w:pPr>
    </w:p>
    <w:p w14:paraId="082E34BA">
      <w:pPr>
        <w:rPr>
          <w:rFonts w:hint="eastAsia" w:ascii="Times New Roman" w:hAnsi="Times New Roman" w:eastAsia="仿宋_GB2312" w:cs="Times New Roman"/>
          <w:szCs w:val="21"/>
        </w:rPr>
      </w:pPr>
      <w:r>
        <w:rPr>
          <w:rFonts w:hint="eastAsia" w:ascii="Times New Roman" w:hAnsi="Times New Roman" w:eastAsia="仿宋_GB2312" w:cs="Times New Roman"/>
          <w:b/>
          <w:bCs/>
          <w:szCs w:val="21"/>
        </w:rPr>
        <w:t>Table S</w:t>
      </w:r>
      <w:r>
        <w:rPr>
          <w:rFonts w:hint="eastAsia" w:ascii="Times New Roman" w:hAnsi="Times New Roman" w:eastAsia="仿宋_GB2312" w:cs="Times New Roman"/>
          <w:b/>
          <w:bCs/>
          <w:szCs w:val="21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/>
          <w:bCs/>
          <w:szCs w:val="21"/>
        </w:rPr>
        <w:t>.</w:t>
      </w:r>
      <w:r>
        <w:rPr>
          <w:rFonts w:hint="eastAsia" w:ascii="Times New Roman" w:hAnsi="Times New Roman" w:eastAsia="仿宋_GB2312" w:cs="Times New Roman"/>
          <w:szCs w:val="21"/>
        </w:rPr>
        <w:t xml:space="preserve"> Harmonized definitions and coding of sociodemographic characteristics and covariates across the ELSA, HRS, and SHARE cohorts.</w:t>
      </w:r>
    </w:p>
    <w:tbl>
      <w:tblPr>
        <w:tblStyle w:val="2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1650"/>
        <w:gridCol w:w="942"/>
        <w:gridCol w:w="2851"/>
        <w:gridCol w:w="2620"/>
        <w:gridCol w:w="3179"/>
        <w:gridCol w:w="2804"/>
        <w:gridCol w:w="2"/>
      </w:tblGrid>
      <w:tr w14:paraId="1C24DB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312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C0A9E8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8871081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E9ECA8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A42058D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670D906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E1D7DCA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273B360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312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4A39B7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35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DF454F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14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43FDAE1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32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051264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1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AFC66C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9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A22AE09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2D15BC1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1576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E9F1BE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F3E8A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25026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r1agey-r9agey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C04676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 (years) at ivw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E456A7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F87694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 in years at each assessment wave. Age was analysed as a continuous variable in the main models and categorized as &lt;65 and ≥65 years in subgroup analyses.</w:t>
            </w:r>
          </w:p>
        </w:tc>
      </w:tr>
      <w:tr w14:paraId="6C4911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1576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6BBFD6F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143C21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8F68FB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r3agey_e-r15agey_e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CCC24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 (years) at Ivw EndMon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62D89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7C5F62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4926E0F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1576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FBE07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8D5C1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1ECB33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r4agey-r9agey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A8409E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 (years) at ivw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6DD2A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986164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B207B3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90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314C8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7F687E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0FB652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ragender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005C7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gender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F78ABD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C9077F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Sex/gender was recoded as 0 = female and 1 = male.</w:t>
            </w:r>
          </w:p>
        </w:tc>
      </w:tr>
      <w:tr w14:paraId="2DE2B7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478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66CA849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E0976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C8A6C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ragender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DF1BC1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gender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BEF07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1=Male</w:t>
            </w:r>
          </w:p>
          <w:p w14:paraId="21018B3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2=Female</w:t>
            </w:r>
          </w:p>
        </w:tc>
        <w:tc>
          <w:tcPr>
            <w:tcW w:w="99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454528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4D963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328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D06EC6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4DFFD9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33CBFC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ragender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A1B199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gender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4CC3D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697327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5A6B1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915" w:hRule="atLeast"/>
        </w:trPr>
        <w:tc>
          <w:tcPr>
            <w:tcW w:w="587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03638D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57F4F8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12A13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90578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8A7DDF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47606E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70CDDA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1888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85B530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bookmarkStart w:id="0" w:name="_GoBack" w:colFirst="0" w:colLast="0"/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Marital status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A80A80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AB545C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r1mstat-r9mstat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45757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marital status w/partners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963F9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</w:t>
            </w:r>
          </w:p>
          <w:p w14:paraId="0AACA0D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partnered</w:t>
            </w:r>
          </w:p>
          <w:p w14:paraId="7A775C3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separated</w:t>
            </w:r>
          </w:p>
          <w:p w14:paraId="1897ECE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divorced</w:t>
            </w:r>
          </w:p>
          <w:p w14:paraId="0F54F00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7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widowed</w:t>
            </w:r>
          </w:p>
          <w:p w14:paraId="0171363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8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never married</w:t>
            </w:r>
          </w:p>
        </w:tc>
        <w:tc>
          <w:tcPr>
            <w:tcW w:w="998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5ED363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Categorized as married or partnered versus other marital status. Married or partnered included participants who were married or living with a partner. Other marital status included separated, divorced, widowed, never married, and married with spouse absent.</w:t>
            </w:r>
          </w:p>
        </w:tc>
      </w:tr>
      <w:bookmarkEnd w:id="0"/>
      <w:tr w14:paraId="06D565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gridAfter w:val="1"/>
          <w:wAfter w:w="0" w:type="pct"/>
          <w:trHeight w:val="1888" w:hRule="atLeast"/>
        </w:trPr>
        <w:tc>
          <w:tcPr>
            <w:tcW w:w="587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F9EA762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E230FE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FB0913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r3mstat-r15mstat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DAA966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Marital Status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A290A5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</w:t>
            </w:r>
          </w:p>
          <w:p w14:paraId="04B26D1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Married,spouse absent</w:t>
            </w:r>
          </w:p>
          <w:p w14:paraId="0938930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Partnered</w:t>
            </w:r>
          </w:p>
          <w:p w14:paraId="75DF3EB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Separated</w:t>
            </w:r>
          </w:p>
          <w:p w14:paraId="0B4CF26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Divorced</w:t>
            </w:r>
          </w:p>
          <w:p w14:paraId="290D6AE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Separated/divorced</w:t>
            </w:r>
          </w:p>
          <w:p w14:paraId="49AF11B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7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Widowed</w:t>
            </w:r>
          </w:p>
          <w:p w14:paraId="215C92A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8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Never married</w:t>
            </w:r>
          </w:p>
        </w:tc>
        <w:tc>
          <w:tcPr>
            <w:tcW w:w="998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49925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0B901DF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88" w:hRule="atLeast"/>
        </w:trPr>
        <w:tc>
          <w:tcPr>
            <w:tcW w:w="587" w:type="pct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C78760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91E556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19C749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r4mstat-r9mstat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D2BEEE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marital status w/partners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0CCBEA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</w:t>
            </w:r>
          </w:p>
          <w:p w14:paraId="296D6B4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partnered</w:t>
            </w:r>
          </w:p>
          <w:p w14:paraId="390C9E2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separated</w:t>
            </w:r>
          </w:p>
          <w:p w14:paraId="55830A5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divorced</w:t>
            </w:r>
          </w:p>
          <w:p w14:paraId="0EC2E56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7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widowed</w:t>
            </w:r>
          </w:p>
          <w:p w14:paraId="6F7C006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8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never married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47ED5A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6A6B355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848" w:hRule="atLeast"/>
        </w:trPr>
        <w:tc>
          <w:tcPr>
            <w:tcW w:w="587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0FC4E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EBA2B2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54B3A82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2D026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0E125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7B85AA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01E78D2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675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35604C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Educational attainment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B5276A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61B880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raeducl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C2E419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harmonized education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FD6286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.less than upper secondary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upper secondaryand vocat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tertiary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D1E04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Educational attainment was harmonized as low, middle, or high using cohort-specific education variables. In ELSA, these categories corresponded to less than upper secondary, upper secondary/vocational, and tertiary education, respectively. In HRS, they corresponded to less than high school, GED/high school graduation, and some college or above, respectively. SHARE education was similarly classified using its harmonized education variable.</w:t>
            </w:r>
          </w:p>
        </w:tc>
      </w:tr>
      <w:tr w14:paraId="0A32453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12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378EC3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6CCCA7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D2CFCB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raeduc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1049E4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1C4F0F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Lt High-school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GED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High-school graduate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Some college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College and above</w:t>
            </w: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714F97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04564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848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95F68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5C0C4D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628EF3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raeducl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149015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harmonized education level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A24E96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less than upper secondary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primary education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lower secondary education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upper secondary &amp; vocatio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tertiary education</w:t>
            </w: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E78D00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139597D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879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710C1A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F98D80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8525F8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h1atotb-h9atotb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FE6698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total all assets inc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C3262D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02C964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Total household wealth. Wealth was categorized into cohort-specific quartiles for subgroup analyses, with Q1 representing the lowest and Q4 the highest household wealth category.</w:t>
            </w:r>
          </w:p>
        </w:tc>
      </w:tr>
      <w:tr w14:paraId="5BC0D4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86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B2DEAF4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9D3BC4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251C5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>h3atotb-h15atotb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874D03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Total of all Assets--Cross-wave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01EBF3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51F200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2569AE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90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56BAAE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41840E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051F6FA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h4atotb-h9atotb</w:t>
            </w:r>
          </w:p>
          <w:p w14:paraId="5F3CDFA8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3DD530D4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8619BC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total of all assets inc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395792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2C7C7D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894626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9AD52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669FE6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77BF0F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D2814E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3387B7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881A8E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62CBC3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0D809E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cyan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none"/>
                <w:lang w:eastAsia="en-US"/>
              </w:rPr>
              <w:t>Smoking status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63255F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C291A7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r1smokev-r9smokev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A9FE34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smoke ever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668642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F00C2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7686C9D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493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6BBEB5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cyan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6A70A8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EEF251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r3smokev-r15smokev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DC7479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smoke ever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36B18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F61E55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2EC28B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493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013292C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E9679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04A8D7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r4smokev-r9smokev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9F717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smoke ever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835A5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5E19ED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2A6C6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ECCBA4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cyan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none"/>
                <w:lang w:eastAsia="en-US"/>
              </w:rPr>
              <w:t>Alcohol consumption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0D39FC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754984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r1drink-r9drink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17054F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drinks any alcohol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1F1F5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504A20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72D78E3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A29C3D5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7DAC29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9F70BF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r3drink-r15drink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406FF8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drinks any alcohol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247D97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9A650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834AA3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0D9F9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cyan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43E2B7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380D1B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r4drinkev r5drinkev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1677B7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drinks any alcohol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9074B2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A5B59D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5C57D4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117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05C95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cyan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none"/>
                <w:lang w:eastAsia="en-US"/>
              </w:rPr>
              <w:t>Physical activity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AFA46F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D8F8AA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r1vgactx_e-r9vgactx_e;r1mdactx_e-r9mdactx_e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BC8666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Freq vigorous phys activ；Freq moderate phys activ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333F0D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2= &gt;1 per week</w:t>
            </w:r>
          </w:p>
          <w:p w14:paraId="1F6A3B4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3= 1 per week</w:t>
            </w:r>
          </w:p>
          <w:p w14:paraId="5D89E38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4= 1-3 per mon</w:t>
            </w:r>
          </w:p>
          <w:p w14:paraId="6AF6002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5=hardly ever or never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054DAF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Active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Regular moderate-to-vigorous physical activity, based on self-reported vigorous and moderate activity. The variable was harmonized as a binary indicator according to cohort-specific activity questions.</w:t>
            </w:r>
          </w:p>
          <w:p w14:paraId="545A55C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Inactive</w:t>
            </w:r>
          </w:p>
        </w:tc>
      </w:tr>
      <w:tr w14:paraId="311A058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117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B290E6B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B3002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7D38D9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>r7vgactx-r15vgactx；r7mdactx-r15mdactx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B75AC0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Freq vigorous phys activ;Freq moderate phys activ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2194C2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Every day</w:t>
            </w:r>
          </w:p>
          <w:p w14:paraId="0CFA4CE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2=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&gt;1 per week</w:t>
            </w:r>
          </w:p>
          <w:p w14:paraId="79B72E5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3=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 per week</w:t>
            </w:r>
          </w:p>
          <w:p w14:paraId="4C4F713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4=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1-3 per mon</w:t>
            </w:r>
          </w:p>
          <w:p w14:paraId="263EFA3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5=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Never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DAC897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9E6B7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F35D5F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240F3A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04F82C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r4vgactx-r9vgactx；</w:t>
            </w:r>
          </w:p>
          <w:p w14:paraId="4620D4B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r4mdactx -r9mdactx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C99CC0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Freq vigorous phys activ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；Freq moderate phys activ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9F583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2= &gt;1 per week</w:t>
            </w:r>
          </w:p>
          <w:p w14:paraId="1EF5073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3= 1 per week</w:t>
            </w:r>
          </w:p>
          <w:p w14:paraId="669BCF3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4= 1-3 per mon</w:t>
            </w:r>
          </w:p>
          <w:p w14:paraId="3669842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5=hardly ever or never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E388B3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512295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908" w:hRule="atLeast"/>
        </w:trPr>
        <w:tc>
          <w:tcPr>
            <w:tcW w:w="587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7E4C2B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8E219E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716E8FA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E68037B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5FEE85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B9C10C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061119A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264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0D9AA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Orientation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8583DE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E78B3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r1yr-r9yr</w:t>
            </w:r>
          </w:p>
          <w:p w14:paraId="73A996F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r1mo-r9mo</w:t>
            </w:r>
          </w:p>
          <w:p w14:paraId="694EB9A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r1dy-r9dy</w:t>
            </w:r>
          </w:p>
          <w:p w14:paraId="2EBD880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r1dw-r9dw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94792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cognition date naming-year；cognition date naming-month;cognition date naming-day of month;cognition date naming-day of week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8BEE23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4D418AD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4C01A12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Orientation was assessed using questions on year, month, day of the month, and day of the week. Higher scores indicate better orientation.</w:t>
            </w:r>
          </w:p>
          <w:p w14:paraId="31907B7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Derived from orientation items: year (yr), month (mo), date (dy), and day of the week (dw).</w:t>
            </w:r>
          </w:p>
        </w:tc>
      </w:tr>
      <w:tr w14:paraId="12989E2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966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4E4583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00F80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46FC2E1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r3yr-r15yrp</w:t>
            </w:r>
          </w:p>
          <w:p w14:paraId="4AC3A5E0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r3mo-r15mop</w:t>
            </w:r>
          </w:p>
          <w:p w14:paraId="63DF89A9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r3dy-r15dyp</w:t>
            </w:r>
          </w:p>
          <w:p w14:paraId="7C7C8462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r3dw-r15dwp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5F1DD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Cognition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Date naming-Year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；</w:t>
            </w:r>
          </w:p>
          <w:p w14:paraId="2146A378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Cognition Date naming-Month;Cognition Date naming-Day of </w:t>
            </w:r>
          </w:p>
          <w:p w14:paraId="1DFC4C9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month;Cognition Date naming-Day of week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84AD42D">
            <w:pPr>
              <w:numPr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0=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Incorrect</w:t>
            </w:r>
          </w:p>
          <w:p w14:paraId="3C9BF6D4">
            <w:pPr>
              <w:numPr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Correct</w:t>
            </w: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51420B1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47E146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264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0C289E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2AF37C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0AC9037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r4yr-r9yr</w:t>
            </w:r>
          </w:p>
          <w:p w14:paraId="33F6ADF8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r4mo-r9mo</w:t>
            </w:r>
          </w:p>
          <w:p w14:paraId="3D031465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r4dy -r9dy</w:t>
            </w:r>
          </w:p>
          <w:p w14:paraId="58C3461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r4dw-r9dw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FCD3C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cognition date naming-year；cognition date naming-month;cognition date naming-day of month;cognition date naming-day of week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654784D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0=Incorrect</w:t>
            </w:r>
          </w:p>
          <w:p w14:paraId="5D4263A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1=Correct</w:t>
            </w: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BABB8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445C0D1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554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C9D5F7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Numeracy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B83ADA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D32FB1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r7ser7-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r9ser7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C7283C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serial 7s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CF454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B2CE625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Derived from the serial 7 subtraction task (ser7).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Numeracy was assessed using the serial subtraction task. Higher scores indicate better numeracy.</w:t>
            </w:r>
          </w:p>
        </w:tc>
      </w:tr>
      <w:tr w14:paraId="726A81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809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7011B81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4FE25F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51F985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r3ser7-r15ser7p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4F50E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serial 7s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BEE713">
            <w:pPr>
              <w:numPr>
                <w:numId w:val="0"/>
              </w:num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256B6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9D7B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587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F0FBB8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E949DB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18025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r4ser7-r9ser7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13DE9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serial 7s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4DBE55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2E40A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71CD2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720" w:hRule="atLeast"/>
        </w:trPr>
        <w:tc>
          <w:tcPr>
            <w:tcW w:w="587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4DA7FF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64954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9C3EA0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AA3C219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A50EE0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C174C8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72A69E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426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E9A988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memory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3EC70C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C09162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r1imrc-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r9imrc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95820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immediate word recall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C37B63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A5284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Derived from immediate word recall (imrc).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Memory was assessed using immediate word recall. Higher scores indicate better memory performance.</w:t>
            </w:r>
          </w:p>
        </w:tc>
      </w:tr>
      <w:tr w14:paraId="21C8B3F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60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C1E722B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5423B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A38B5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r3imrc-r15imrcp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1490F6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immediate word recall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8F50EB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4797D3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558CF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404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F9738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914FA4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CB1F9B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r4imrc-r9imrc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D06AD0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immediate word recall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472AE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8" w:type="pct"/>
            <w:gridSpan w:val="2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8F5319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112A6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37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6D3D7A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Hypertension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839C4A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E855E4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r1hibpe-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r9hibpe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D58AD5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high blood pressure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B845DF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7EE12D7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BA656B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4E7234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337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0F07899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30E677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A19AC6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r3hibp-r15hibp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B96C2E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reports high BP this wv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41B931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3086F3C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D850EE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A37371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F469849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CDEA7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E052A4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r4hibpe-r9hibpe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A702E6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high blood pressure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1BBC95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7FFC164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F044F8C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34A47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A507CAB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High cholesterol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E2D5C8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1E31F5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r2hchole-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r9hchole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4AD6C7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high cholesterol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E41C8B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5A4FDFC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38B4A7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0AD2AB0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8AD82CD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DE9934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4DF86B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r3cholst- r15cholst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0A10A6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Prev Cholesterol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8BBCD1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78C7FD6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933ABA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DD67FC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A726C0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07CD4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B6498B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r4hchole-r9hchole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251DAB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high cholesterol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F53BD0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1567270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CFE383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5BB6558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B81FE6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Lung disease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DBF8A2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D0DEF6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r1lunge-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r9lunge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4A1DA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lung disease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15B50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2EE41BB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CD0C5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47D3E6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9B6F193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B553DA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CB70B3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r3lunge-r15lunge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F4268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lung disease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3F1A38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228F3FC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B663A6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360887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03E335A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C9C013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9E573B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r4lunge-r9lunge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BD34D6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lung disease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A4D962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47B2A43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D74341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924DF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253707E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Harmonised variable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BFB54D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31F521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source variable(s)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FDBA80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Cohort-specific item/variable label or question wording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4D5B60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Response options</w:t>
            </w:r>
          </w:p>
        </w:tc>
        <w:tc>
          <w:tcPr>
            <w:tcW w:w="998" w:type="pct"/>
            <w:gridSpan w:val="2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F57EA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Harmonized values used in this study</w:t>
            </w:r>
          </w:p>
        </w:tc>
      </w:tr>
      <w:tr w14:paraId="2764EC3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6611AFF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Cancer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882C57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0F86E99">
            <w:pPr>
              <w:numPr>
                <w:numId w:val="0"/>
              </w:num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r1cancre-r9cancre</w:t>
            </w:r>
          </w:p>
          <w:p w14:paraId="3EE07EF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12580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cancer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F393B0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5D49FB8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9F32A7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42DFB7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AF9FBE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F1603A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5A7207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r3cancre- r15cancre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8181C6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reports cancer this wv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75B600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49E672E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FB605D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57ED983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51C1899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59132A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31018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r4cancre-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r9cancre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0BB4A4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cancer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3B83B4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1AE4720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04E1A1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6CB3E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EDE54C6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Arthritis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A022CE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2F5B800">
            <w:pPr>
              <w:numPr>
                <w:numId w:val="0"/>
              </w:num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r1arthre- r9arthre</w:t>
            </w:r>
          </w:p>
          <w:p w14:paraId="54A45D3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28B2E7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arthritis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B1A2DC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26D8056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E978C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7449594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D91C36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E043ED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27F6D8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r3arthre- r15arthre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78716F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arthritis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F2C18F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76A93CC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C11C24E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19FF5E5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3707290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85E34D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39E7ED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r4arthre-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r9arthre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6BF4A3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arthritis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9CAE91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7C65B16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ED2D53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7B9C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587" w:type="pct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0047097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Memory-related disease</w:t>
            </w: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2D6094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ELSA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1764504">
            <w:pPr>
              <w:numPr>
                <w:numId w:val="0"/>
              </w:num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r1memrye- r9memrye;r1alzhe-r9alzhe;r1demene-r9demene</w:t>
            </w:r>
          </w:p>
          <w:p w14:paraId="3004942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3624117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memory problem;ver had alzheimer's;ever had dementia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4CF373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73ECA9F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restar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4929426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coded as 0 = no and 1 = yes</w:t>
            </w:r>
          </w:p>
        </w:tc>
      </w:tr>
      <w:tr w14:paraId="49CFBE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71F72F94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CCF10A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HRS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58300CF9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r4memrye-r9memrye；r10alzhe-r15alzhe；</w:t>
            </w:r>
          </w:p>
          <w:p w14:paraId="215A787B">
            <w:pP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r10demene-r15demene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02781E5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memory problem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；reports Alzheimer this wv；reports dementia this wv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236F7C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0DAE65A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2ECF59EA"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786B9DD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trHeight w:val="181" w:hRule="atLeast"/>
        </w:trPr>
        <w:tc>
          <w:tcPr>
            <w:tcW w:w="587" w:type="pct"/>
            <w:vMerge w:val="continue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0B0452D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6E5CA1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SHARE</w:t>
            </w:r>
          </w:p>
        </w:tc>
        <w:tc>
          <w:tcPr>
            <w:tcW w:w="1014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02490A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r4alzdeme-r9alzdeme</w:t>
            </w:r>
          </w:p>
        </w:tc>
        <w:tc>
          <w:tcPr>
            <w:tcW w:w="932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EE4D4A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ever had alzheimer’s/dementia</w:t>
            </w:r>
          </w:p>
        </w:tc>
        <w:tc>
          <w:tcPr>
            <w:tcW w:w="1131" w:type="pct"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1D1C6A2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0=No</w:t>
            </w:r>
          </w:p>
          <w:p w14:paraId="4943EEE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1=Yes</w:t>
            </w:r>
          </w:p>
        </w:tc>
        <w:tc>
          <w:tcPr>
            <w:tcW w:w="998" w:type="pct"/>
            <w:gridSpan w:val="2"/>
            <w:vMerge w:val="continue"/>
            <w:tcBorders/>
            <w:shd w:val="clear" w:color="auto" w:fill="auto"/>
            <w:tcMar>
              <w:top w:w="25" w:type="dxa"/>
              <w:left w:w="45" w:type="dxa"/>
              <w:bottom w:w="25" w:type="dxa"/>
              <w:right w:w="45" w:type="dxa"/>
            </w:tcMar>
            <w:vAlign w:val="top"/>
          </w:tcPr>
          <w:p w14:paraId="657B63B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61B71916">
      <w:pPr>
        <w:rPr>
          <w:rFonts w:hint="default"/>
          <w:lang w:val="en-US" w:eastAsia="zh-CN"/>
        </w:rPr>
      </w:pPr>
    </w:p>
    <w:p w14:paraId="400679D5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F7244F0">
      <w:pPr>
        <w:widowControl/>
        <w:jc w:val="left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>Table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 xml:space="preserve"> S6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eastAsia="en-US"/>
        </w:rPr>
        <w:t>Random-effects meta-analysis of associations between time-updated cumulative mean dual sensory impairment and incident cardiometabolic outcomes.</w:t>
      </w:r>
    </w:p>
    <w:tbl>
      <w:tblPr>
        <w:tblStyle w:val="2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1485"/>
        <w:gridCol w:w="1382"/>
        <w:gridCol w:w="1382"/>
        <w:gridCol w:w="1382"/>
        <w:gridCol w:w="1382"/>
        <w:gridCol w:w="1382"/>
      </w:tblGrid>
      <w:tr w14:paraId="5D3D3C9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84FDA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Outcome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DD1A3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Pooled HR(95%CI)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5631E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 Value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8203D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Cochran Q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404CC7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I2, %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C3F680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Tau2</w:t>
            </w:r>
          </w:p>
        </w:tc>
      </w:tr>
      <w:tr w14:paraId="21E59E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B9439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Cardiometabolic disease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978BE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1.10 (1.08-1.12)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94E0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9594B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2.10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08CD9E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4.7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A1CE8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  <w:tr w14:paraId="238AA4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B7B80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Diabetes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00B2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(1.05-1.11)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78652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C8EE2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1.68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79570E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51FD1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  <w:tr w14:paraId="452A02B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8F673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Heart disease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1F648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1.12 (1.08-1.16)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AB64F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92E73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3.40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639638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41.2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C447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  <w:tr w14:paraId="4C0E94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34F0FC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Stroke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274F9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(1.03-1.12)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18F8C3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C5B6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2.35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C9C31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14.9</w:t>
            </w:r>
          </w:p>
        </w:tc>
        <w:tc>
          <w:tcPr>
            <w:tcW w:w="214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EDC3DA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</w:tbl>
    <w:p w14:paraId="5408D2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Note:Random-effects estimates were calculated from cohort-specific log HRs using the DerSimonian-Laird method.</w:t>
      </w:r>
    </w:p>
    <w:p w14:paraId="4ED2BA8E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55E876">
      <w:pPr>
        <w:widowControl/>
        <w:jc w:val="left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eastAsia="en-US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S7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eastAsia="en-US"/>
        </w:rPr>
        <w:t xml:space="preserve"> Subgroup-specific associations between time-updated cumulative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average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eastAsia="en-US"/>
        </w:rPr>
        <w:t xml:space="preserve"> dual sensory impairment and incident cardiometabolic disease.</w:t>
      </w:r>
    </w:p>
    <w:tbl>
      <w:tblPr>
        <w:tblStyle w:val="2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1485"/>
        <w:gridCol w:w="1728"/>
        <w:gridCol w:w="1728"/>
        <w:gridCol w:w="1728"/>
        <w:gridCol w:w="1728"/>
      </w:tblGrid>
      <w:tr w14:paraId="6ED473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C383D6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Cohort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75EBA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Subgroup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05D7B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Level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B657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HR(95%CI)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62BAE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 Value</w:t>
            </w:r>
          </w:p>
        </w:tc>
      </w:tr>
      <w:tr w14:paraId="0F93FA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D6F24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47CFAA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F9E57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&lt;65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A466A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(1.04-1.31)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B8E9C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0.007</w:t>
            </w:r>
          </w:p>
        </w:tc>
      </w:tr>
      <w:tr w14:paraId="5D714A1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C13A73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74849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B2298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&gt;=65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A15C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1.19 (1.11-1.27)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973786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680846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1BF51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BF68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00E95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High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17467C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(1.01-1.35)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BBC35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0.037</w:t>
            </w:r>
          </w:p>
        </w:tc>
      </w:tr>
      <w:tr w14:paraId="1F4F60D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E4099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12E7B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5228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Low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20E32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(1.06-1.30)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810A2D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0.002</w:t>
            </w:r>
          </w:p>
        </w:tc>
      </w:tr>
      <w:tr w14:paraId="303D898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7A5DD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2B43F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5CF7E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Middle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6937D5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(1.08-1.27)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2FA9C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39DEE8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11E60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81E9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83B5B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Q1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602F2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1.23 (1.12-1.36)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815D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1B726B0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1C79B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73C67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4235D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Q2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FE92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1.06 (0.93-1.20)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3E10C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0.378</w:t>
            </w:r>
          </w:p>
        </w:tc>
      </w:tr>
      <w:tr w14:paraId="0424DCF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824DA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4A452C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7D280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Q3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D1FD9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1.14 (1.00-1.30)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319225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0.053</w:t>
            </w:r>
          </w:p>
        </w:tc>
      </w:tr>
      <w:tr w14:paraId="2CACB95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F5C78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59760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D522EA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Q4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3E31D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1.13 (0.98-1.29)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8C363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0.083</w:t>
            </w:r>
          </w:p>
        </w:tc>
      </w:tr>
      <w:tr w14:paraId="31FC95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2288AD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AB2C1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Marriage status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1A299A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 or live together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7F37F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(1.09-1.25)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08352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BA7A81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165A5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0AF2D8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Marriage status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8865A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Other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50465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1.20 (1.07-1.34)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7D8BC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0.002</w:t>
            </w:r>
          </w:p>
        </w:tc>
      </w:tr>
      <w:tr w14:paraId="1379F4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355133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19E44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AF9FD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7CA39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1.16 (1.07-1.26)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1B6A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42E6123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DDE34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ELSA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2105E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3BB115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C7302F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1.20 (1.10-1.31)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DC9F6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4A7EC9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EF66AD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08D9E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6BDCE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&lt;65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42691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1.27 (1.20-1.33)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01D4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1E2ECD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EB3E0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310EE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A832DD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&gt;=65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8A3A3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1.12 (1.09-1.16)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E71DA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3B3374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01A03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93603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791DB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High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E1FED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1.10 (1.05-1.15)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51AB3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3A302CC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ED051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EE59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F665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Low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8839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(1.11-1.24)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BAFD1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28C90EB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CA458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B957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AA33D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Middle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F6E70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(1.10-1.21)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77322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1DCD395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219DEA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6E2E7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4BDD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Q1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B66E4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(1.12-1.24)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A7B4C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0E92D65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324ED7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181285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9B4F9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Q2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74C15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1.12 (1.06-1.18)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68CD1B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07F8CD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2FAB6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87E51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4286A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Q3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C0F06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1.14 (1.08-1.21)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3C0DA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55E5327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2E3B5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2B46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4BC0AB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Q4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691CA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1.06 (1.00-1.13)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368F9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0.034</w:t>
            </w:r>
          </w:p>
        </w:tc>
      </w:tr>
      <w:tr w14:paraId="3D8CF07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1C979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4EE823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Marriage status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23AA5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 or live together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420F41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(1.11-1.18)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C1B41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0043D8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F58E3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9CDAB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Marriage status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30D55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Other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1D599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(1.12-1.24)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8F344B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42B9BF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FD809B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AFDEF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27B85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B3E8E3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1.23 (1.19-1.27)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2A64D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372B1D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D0141F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01631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AABF8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FEFC4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1.07 (1.03-1.11)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A5063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0.001</w:t>
            </w:r>
          </w:p>
        </w:tc>
      </w:tr>
      <w:tr w14:paraId="0AE8C1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EEF22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8A990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EC2C9E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&lt;65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99DD48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1.23 (1.18-1.29)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FD01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42213BE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F1975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3256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F2541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&gt;=65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54491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1.16 (1.13-1.19)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A5EDB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3A023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22849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97B01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93F25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High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8FDC92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1.20 (1.14-1.26)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F5D57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5AB803E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1B0067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7A5529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CD278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Low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4BCBF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1.14 (1.10-1.18)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7E29C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D68094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3C8E6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FC2DC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Education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EF89B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Middle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3911D5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(1.11-1.20)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FB091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55E1D0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2D67AF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67040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00C9B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Q1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9C8C43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(1.11-1.20)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44AFB4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4364762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8AD4EB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17589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C1649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Q2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9236C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1.13 (1.08-1.18)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EAC26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10FCB6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B1DE3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8769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0F7CC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Q3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19FBF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1.11 (1.06-1.17)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3651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1CF3C3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269DD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B3715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Household wealth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AB29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Q4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8C659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(1.11-1.24)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A9B91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5ED02AF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D98AA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9B98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Marriage status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FE29C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Married or live together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3F037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(1.14-1.21)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5F0F6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53C0DB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14518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15680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Marriage status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2A0B73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Other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FF37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(1.13-1.23)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E4702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45C57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E92328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C19A1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0F849F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76953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1.22 (1.18-1.26)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24DA2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1C088E3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c>
          <w:tcPr>
            <w:tcW w:w="23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88328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SHARE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A285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Sex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2F693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F9D80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1.13 (1.09-1.17)</w:t>
            </w:r>
          </w:p>
        </w:tc>
        <w:tc>
          <w:tcPr>
            <w:tcW w:w="267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92E1A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</w:tbl>
    <w:p w14:paraId="6BF7C9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Times New Roman" w:hAnsi="Times New Roman" w:eastAsia="仿宋_GB2312" w:cs="Times New Roman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Note:Subgroup models were adjusted for age and sex when the covariate varied within the subgroup. Empty or unstable subgroup models were omitted.</w:t>
      </w:r>
    </w:p>
    <w:p w14:paraId="2659CAFC">
      <w:pPr>
        <w:rPr>
          <w:rFonts w:hint="eastAsia"/>
          <w:lang w:val="en-US" w:eastAsia="zh-CN"/>
        </w:rPr>
      </w:pPr>
    </w:p>
    <w:p w14:paraId="00CE4C9B">
      <w:pPr>
        <w:rPr>
          <w:rFonts w:hint="eastAsia"/>
          <w:lang w:val="en-US" w:eastAsia="zh-CN"/>
        </w:rPr>
      </w:pPr>
    </w:p>
    <w:p w14:paraId="3AEEC662">
      <w:pPr>
        <w:rPr>
          <w:rFonts w:hint="eastAsia"/>
          <w:lang w:val="en-US" w:eastAsia="zh-CN"/>
        </w:rPr>
      </w:pPr>
    </w:p>
    <w:p w14:paraId="31B4CC3B">
      <w:pPr>
        <w:rPr>
          <w:rFonts w:hint="eastAsia"/>
          <w:lang w:val="en-US" w:eastAsia="zh-CN"/>
        </w:rPr>
      </w:pPr>
    </w:p>
    <w:p w14:paraId="6AF175ED">
      <w:pPr>
        <w:rPr>
          <w:rFonts w:hint="eastAsia"/>
          <w:lang w:val="en-US" w:eastAsia="zh-CN"/>
        </w:rPr>
      </w:pPr>
    </w:p>
    <w:p w14:paraId="53D3DFCE">
      <w:pPr>
        <w:rPr>
          <w:rFonts w:hint="eastAsia"/>
          <w:lang w:val="en-US" w:eastAsia="zh-CN"/>
        </w:rPr>
      </w:pPr>
    </w:p>
    <w:p w14:paraId="58C3DB2B">
      <w:pPr>
        <w:rPr>
          <w:rFonts w:hint="eastAsia"/>
          <w:lang w:val="en-US" w:eastAsia="zh-CN"/>
        </w:rPr>
      </w:pPr>
    </w:p>
    <w:p w14:paraId="0D91D903">
      <w:pPr>
        <w:rPr>
          <w:rFonts w:hint="eastAsia"/>
          <w:lang w:val="en-US" w:eastAsia="zh-CN"/>
        </w:rPr>
      </w:pPr>
    </w:p>
    <w:p w14:paraId="7F4EFD6E">
      <w:pPr>
        <w:rPr>
          <w:rFonts w:hint="eastAsia"/>
          <w:lang w:val="en-US" w:eastAsia="zh-CN"/>
        </w:rPr>
      </w:pPr>
    </w:p>
    <w:p w14:paraId="6146510E">
      <w:pPr>
        <w:rPr>
          <w:rFonts w:hint="eastAsia"/>
          <w:lang w:val="en-US" w:eastAsia="zh-CN"/>
        </w:rPr>
      </w:pPr>
    </w:p>
    <w:p w14:paraId="6FAB5EDF">
      <w:pPr>
        <w:rPr>
          <w:rFonts w:hint="eastAsia"/>
          <w:lang w:val="en-US" w:eastAsia="zh-CN"/>
        </w:rPr>
      </w:pPr>
    </w:p>
    <w:p w14:paraId="07897B6A">
      <w:pPr>
        <w:rPr>
          <w:rFonts w:hint="eastAsia"/>
          <w:lang w:val="en-US" w:eastAsia="zh-CN"/>
        </w:rPr>
      </w:pPr>
    </w:p>
    <w:p w14:paraId="27338D0F">
      <w:pPr>
        <w:rPr>
          <w:rFonts w:hint="eastAsia"/>
          <w:lang w:val="en-US" w:eastAsia="zh-CN"/>
        </w:rPr>
      </w:pPr>
    </w:p>
    <w:p w14:paraId="2EB298AF">
      <w:pPr>
        <w:rPr>
          <w:rFonts w:hint="eastAsia"/>
          <w:lang w:val="en-US" w:eastAsia="zh-CN"/>
        </w:rPr>
      </w:pPr>
    </w:p>
    <w:p w14:paraId="452272F0">
      <w:pPr>
        <w:rPr>
          <w:rFonts w:hint="eastAsia"/>
          <w:lang w:val="en-US" w:eastAsia="zh-CN"/>
        </w:rPr>
      </w:pPr>
    </w:p>
    <w:p w14:paraId="0AE67552">
      <w:pPr>
        <w:rPr>
          <w:rFonts w:hint="eastAsia"/>
          <w:lang w:val="en-US" w:eastAsia="zh-CN"/>
        </w:rPr>
      </w:pPr>
    </w:p>
    <w:p w14:paraId="25DE0DD1">
      <w:pPr>
        <w:rPr>
          <w:rFonts w:hint="eastAsia"/>
          <w:lang w:val="en-US" w:eastAsia="zh-CN"/>
        </w:rPr>
      </w:pPr>
    </w:p>
    <w:p w14:paraId="2DAF33FB">
      <w:pPr>
        <w:rPr>
          <w:rFonts w:hint="eastAsia"/>
          <w:lang w:val="en-US" w:eastAsia="zh-CN"/>
        </w:rPr>
      </w:pPr>
    </w:p>
    <w:p w14:paraId="46071842">
      <w:pPr>
        <w:rPr>
          <w:rFonts w:hint="eastAsia"/>
          <w:lang w:val="en-US" w:eastAsia="zh-CN"/>
        </w:rPr>
      </w:pPr>
    </w:p>
    <w:p w14:paraId="467737B3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AA1374A">
      <w:pPr>
        <w:widowControl/>
        <w:jc w:val="left"/>
        <w:rPr>
          <w:rFonts w:hint="default" w:ascii="Times New Roman" w:hAnsi="Times New Roman" w:eastAsia="宋体" w:cs="Times New Roman"/>
          <w:kern w:val="0"/>
          <w:sz w:val="25"/>
          <w:szCs w:val="25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5"/>
          <w:szCs w:val="25"/>
          <w:lang w:eastAsia="en-US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25"/>
          <w:szCs w:val="25"/>
          <w:lang w:val="en-US" w:eastAsia="zh-CN"/>
        </w:rPr>
        <w:t>S8</w:t>
      </w:r>
      <w:r>
        <w:rPr>
          <w:rFonts w:hint="default" w:ascii="Times New Roman" w:hAnsi="Times New Roman" w:eastAsia="宋体" w:cs="Times New Roman"/>
          <w:kern w:val="0"/>
          <w:sz w:val="25"/>
          <w:szCs w:val="25"/>
          <w:lang w:eastAsia="en-US"/>
        </w:rPr>
        <w:t xml:space="preserve">  Sensitivity analyses of associations between time-updated cumulative </w:t>
      </w:r>
      <w:r>
        <w:rPr>
          <w:rFonts w:hint="eastAsia" w:ascii="Times New Roman" w:hAnsi="Times New Roman" w:eastAsia="宋体" w:cs="Times New Roman"/>
          <w:kern w:val="0"/>
          <w:sz w:val="25"/>
          <w:szCs w:val="25"/>
          <w:lang w:val="en-US" w:eastAsia="zh-CN"/>
        </w:rPr>
        <w:t>average</w:t>
      </w:r>
      <w:r>
        <w:rPr>
          <w:rFonts w:hint="default" w:ascii="Times New Roman" w:hAnsi="Times New Roman" w:eastAsia="宋体" w:cs="Times New Roman"/>
          <w:kern w:val="0"/>
          <w:sz w:val="25"/>
          <w:szCs w:val="25"/>
          <w:lang w:eastAsia="en-US"/>
        </w:rPr>
        <w:t xml:space="preserve"> sensory impairments and incident cardiometabolic disease using a 2-year lag period.</w:t>
      </w:r>
    </w:p>
    <w:tbl>
      <w:tblPr>
        <w:tblStyle w:val="2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</w:tblGrid>
      <w:tr w14:paraId="4A362AA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vMerge w:val="restart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9E3BA9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Sensory impairment</w:t>
            </w:r>
          </w:p>
        </w:tc>
        <w:tc>
          <w:tcPr>
            <w:tcW w:w="3906" w:type="dxa"/>
            <w:gridSpan w:val="3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3D8E5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ELSA (1,009/46,080)</w:t>
            </w:r>
          </w:p>
        </w:tc>
        <w:tc>
          <w:tcPr>
            <w:tcW w:w="3906" w:type="dxa"/>
            <w:gridSpan w:val="3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14689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HRS (5,347/154,388)</w:t>
            </w:r>
          </w:p>
        </w:tc>
        <w:tc>
          <w:tcPr>
            <w:tcW w:w="3906" w:type="dxa"/>
            <w:gridSpan w:val="3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D468C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SHARE (7,596/244,364)</w:t>
            </w:r>
          </w:p>
        </w:tc>
      </w:tr>
      <w:tr w14:paraId="7997888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vMerge w:val="continue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6DC28A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B3F9A9">
            <w:pPr>
              <w:widowControl/>
              <w:spacing w:before="0" w:after="0"/>
              <w:jc w:val="center"/>
              <w:rPr>
                <w:rFonts w:hint="default" w:ascii="Cambria" w:hAnsi="Cambria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Cases/person-years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DAA33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HR(95%CI)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F3BD0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 Value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447808">
            <w:pPr>
              <w:widowControl/>
              <w:spacing w:before="0" w:after="0"/>
              <w:jc w:val="center"/>
              <w:rPr>
                <w:rFonts w:hint="default" w:ascii="Cambria" w:hAnsi="Cambria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Cases/person-years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407AE2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HR(95%CI)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695B6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 Value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D455E46">
            <w:pPr>
              <w:widowControl/>
              <w:spacing w:before="0" w:after="0"/>
              <w:jc w:val="center"/>
              <w:rPr>
                <w:rFonts w:hint="default" w:ascii="Cambria" w:hAnsi="Cambria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8"/>
                <w:szCs w:val="18"/>
                <w:lang w:val="en-US" w:eastAsia="zh-CN"/>
              </w:rPr>
              <w:t>Cases/person-years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48C7B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HR(95%CI)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8E4DC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 Value</w:t>
            </w:r>
          </w:p>
        </w:tc>
      </w:tr>
      <w:tr w14:paraId="7C1AA83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04492E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Average visual impairment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DDC22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C7D45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302D11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ACD85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D1DED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2948A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27C46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0AA63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80DFEF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180F912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ED42F80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332EA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120/8,398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3607C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1FBB1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3E4ECC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1,250/46,806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C2A47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E0D447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6964B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2,322/92,706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98DB1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215BE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</w:tr>
      <w:tr w14:paraId="03C50F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057638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CC31D1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240/12,779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F48EA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1.11 (0.89-1.38)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81151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0.356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EA67B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1,384/38,406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1B319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1.07 (0.99-1.16)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22345E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0.076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ABA35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1,316/44,967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B18566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1.05 (0.98-1.12)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27C87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0.202</w:t>
            </w:r>
          </w:p>
        </w:tc>
      </w:tr>
      <w:tr w14:paraId="2881E65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BD9F4B1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3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B7504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536/21,459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89F45D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1.25 (1.02-1.54)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57BD3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0.029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59AFCC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1,651/44,522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F3C1A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1.11 (1.03-1.20)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342A2E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BA323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2,198/63,459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A6ACA3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1.19 (1.12-1.26)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0E398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3B0F09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33B37CE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E8AC1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113/3,444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370A0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1.58 (1.21-2.07)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FE618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DA80AE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1,062/24,654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62AB4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1.16 (1.07-1.27)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EC72E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59165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1,760/43,232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E97B4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1.23 (1.15-1.31)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16C8A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24D98F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C37F03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Test for linear trend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460AF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61C60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(1.06-1.25)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C1B29D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D08AC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E11566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1.05 (1.02-1.08)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9E6E6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ABE9B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819D27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(1.05-1.10)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6909E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2F66441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86A26F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Per SD increment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234DF9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E4C21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(1.07-1.23)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041F3F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996BA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C4E12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1.07 (1.04-1.11)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B4575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90C6F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A7DFF6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1.10 (1.07-1.12)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3E82F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61DAFDE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C2A026A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Average auditory impairment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82ECD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AC8C4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59493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7EA270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06A82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489CD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B8262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9A8F5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6DF85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0A10B4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7B231EC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Tertile 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B91269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322/18,973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F2713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54C6B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12CBB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1,746/64,332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86C85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D7818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FECAE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2,417/99,840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1ED8A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67D4B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</w:tr>
      <w:tr w14:paraId="234449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820669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Tertile 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9FAA3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375/17,135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6E3419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1.03 (0.89-1.20)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CEEB8B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0.688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385BFB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2,172/59,306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309044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(1.01-1.15)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EC29F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0.021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EC1B95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3,314/100,575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E5BD5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1.11 (1.05-1.17)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28C3E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7E05E6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A7A34B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Tertile 3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CE73D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312/9,972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74103C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1.26 (1.07-1.49)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8FFCC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98533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1,429/30,750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0059B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(1.10-1.27)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357A2D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48DA4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1,865/43,949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F4266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(1.08-1.23)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7D166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6C52D5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BA85AE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Test for linear trend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A546CB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0A01F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1.12 (1.03-1.22)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239760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8D20B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EEB994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1.09 (1.05-1.13)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1C1CD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7CCF4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0DA37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(1.04-1.11)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1FBC0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63D84D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325E0E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Per SD increment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42376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89810C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1.12 (1.04-1.19)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9E4B0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80533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F2FA4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1.06 (1.03-1.09)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82AE06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2C79D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12BC5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1.07 (1.05-1.10)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1D4FA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12E34C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1F8F285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Average dual sensory impairment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2869B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0A15C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84ABE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F21DD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EB934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721A9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458EC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DAAF34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81CA3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</w:tr>
      <w:tr w14:paraId="28084B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243351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C8CC1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115/8,905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53A93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AE21BD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8D837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1,075/42,784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882580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1F1AA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10B0DC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1,748/76,266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825E8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Reference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5F3ABE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</w:tr>
      <w:tr w14:paraId="7A95735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51465A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B3D3F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345/17,637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C69D2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(0.95-1.45)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3E89E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0.148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751D4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953/28,672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B4A1A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1.10 (1.01-1.20)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62F910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0.029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85047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2,349/79,311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E31CD8E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1.12 (1.05-1.19)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74993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0F6B757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B40F5C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3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B2C1E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224/8,854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3DB6B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1.32 (1.05-1.65)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BCFBAEA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0.019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08126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2,173/57,190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999D7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1.15 (1.07-1.24)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0DA9D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3FF4B4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1,501/44,336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D93111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1.18 (1.10-1.27)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62600D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7274E0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23D921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Quartile 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E9671A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325/10,684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E9E276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1.57 (1.26-1.95)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D424C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DB4538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1,146/25,742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C155E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1.22 (1.11-1.33)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F0311E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7FEF33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1,998/44,451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C72FC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1.33 (1.24-1.42)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7B5E6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596310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6CC322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Test for linear trend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88538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B18508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1.16 (1.09-1.23)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86BCA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464922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0ED2E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1.07 (1.04-1.10)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D9D73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4BC01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652B8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1.09 (1.07-1.12)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22A50A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  <w:tr w14:paraId="0C51F3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BD0D93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Per SD increment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C864D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CD5F34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1.17 (1.09-1.25)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1A20E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818DD0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2D66C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(1.05-1.12)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D36BB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2EA68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389E9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1.11 (1.08-1.13)</w:t>
            </w:r>
          </w:p>
        </w:tc>
        <w:tc>
          <w:tcPr>
            <w:tcW w:w="1302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4325F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</w:tr>
    </w:tbl>
    <w:p w14:paraId="777779FA">
      <w:pPr>
        <w:numPr>
          <w:ilvl w:val="0"/>
          <w:numId w:val="0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Note:</w:t>
      </w:r>
      <w:r>
        <w:rPr>
          <w:rFonts w:hint="default" w:ascii="Times New Roman" w:hAnsi="Times New Roman" w:cs="Times New Roman"/>
        </w:rPr>
        <w:t>A 2-year lag period was applied by excluding person-time and incident events occurring during the first 2 years after analytic baseline. In SHARE, no incident events were identified during this interval on the analytic time scale; therefore, event counts remained unchanged despite reduced person-years. HR, hazard ratio; CI, confidence interval.</w:t>
      </w:r>
    </w:p>
    <w:p w14:paraId="08C866BE">
      <w:pPr>
        <w:rPr>
          <w:rFonts w:hint="eastAsia"/>
          <w:lang w:val="en-US" w:eastAsia="zh-CN"/>
        </w:rPr>
      </w:pPr>
    </w:p>
    <w:p w14:paraId="0DE28060">
      <w:pPr>
        <w:rPr>
          <w:rFonts w:hint="eastAsia"/>
          <w:lang w:val="en-US" w:eastAsia="zh-CN"/>
        </w:rPr>
      </w:pPr>
    </w:p>
    <w:p w14:paraId="5F343C7C">
      <w:pPr>
        <w:rPr>
          <w:rFonts w:hint="eastAsia"/>
          <w:lang w:val="en-US" w:eastAsia="zh-CN"/>
        </w:rPr>
      </w:pPr>
    </w:p>
    <w:p w14:paraId="34D6D9DA">
      <w:pPr>
        <w:rPr>
          <w:rFonts w:hint="eastAsia"/>
          <w:lang w:val="en-US" w:eastAsia="zh-CN"/>
        </w:rPr>
      </w:pPr>
    </w:p>
    <w:p w14:paraId="00D1496B">
      <w:pPr>
        <w:rPr>
          <w:rFonts w:hint="eastAsia"/>
          <w:lang w:val="en-US" w:eastAsia="zh-CN"/>
        </w:rPr>
      </w:pPr>
    </w:p>
    <w:p w14:paraId="3EAEE32D">
      <w:pPr>
        <w:rPr>
          <w:rFonts w:hint="eastAsia"/>
          <w:lang w:val="en-US" w:eastAsia="zh-CN"/>
        </w:rPr>
      </w:pPr>
    </w:p>
    <w:p w14:paraId="58C9BFEF">
      <w:pPr>
        <w:rPr>
          <w:rFonts w:hint="eastAsia"/>
          <w:lang w:val="en-US" w:eastAsia="zh-CN"/>
        </w:rPr>
      </w:pPr>
    </w:p>
    <w:p w14:paraId="708CEA56">
      <w:pPr>
        <w:rPr>
          <w:rFonts w:hint="eastAsia"/>
          <w:lang w:val="en-US" w:eastAsia="zh-CN"/>
        </w:rPr>
      </w:pPr>
    </w:p>
    <w:p w14:paraId="0016F65F">
      <w:pPr>
        <w:rPr>
          <w:rFonts w:hint="eastAsia"/>
          <w:lang w:val="en-US" w:eastAsia="zh-CN"/>
        </w:rPr>
      </w:pPr>
    </w:p>
    <w:p w14:paraId="7FBCE30F">
      <w:pPr>
        <w:rPr>
          <w:rFonts w:hint="eastAsia"/>
          <w:lang w:val="en-US" w:eastAsia="zh-CN"/>
        </w:rPr>
      </w:pPr>
    </w:p>
    <w:p w14:paraId="2BC6EF5A">
      <w:pPr>
        <w:rPr>
          <w:rFonts w:hint="eastAsia"/>
          <w:lang w:val="en-US" w:eastAsia="zh-CN"/>
        </w:rPr>
      </w:pPr>
    </w:p>
    <w:p w14:paraId="4B417F93">
      <w:pPr>
        <w:rPr>
          <w:rFonts w:hint="eastAsia"/>
          <w:lang w:val="en-US" w:eastAsia="zh-CN"/>
        </w:rPr>
      </w:pPr>
    </w:p>
    <w:p w14:paraId="38A1A973">
      <w:pPr>
        <w:rPr>
          <w:rFonts w:hint="eastAsia"/>
          <w:lang w:val="en-US" w:eastAsia="zh-CN"/>
        </w:rPr>
      </w:pPr>
    </w:p>
    <w:p w14:paraId="749D566B">
      <w:pPr>
        <w:rPr>
          <w:rFonts w:hint="eastAsia"/>
          <w:lang w:val="en-US" w:eastAsia="zh-CN"/>
        </w:rPr>
      </w:pPr>
    </w:p>
    <w:p w14:paraId="3A7877F6">
      <w:pPr>
        <w:rPr>
          <w:rFonts w:hint="eastAsia"/>
          <w:lang w:val="en-US" w:eastAsia="zh-CN"/>
        </w:rPr>
      </w:pPr>
    </w:p>
    <w:p w14:paraId="0C60F782">
      <w:pPr>
        <w:rPr>
          <w:rFonts w:hint="eastAsia"/>
          <w:lang w:val="en-US" w:eastAsia="zh-CN"/>
        </w:rPr>
      </w:pPr>
    </w:p>
    <w:p w14:paraId="58F27909">
      <w:pPr>
        <w:rPr>
          <w:rFonts w:hint="eastAsia"/>
          <w:lang w:val="en-US" w:eastAsia="zh-CN"/>
        </w:rPr>
      </w:pPr>
    </w:p>
    <w:p w14:paraId="5CA0290C">
      <w:pPr>
        <w:rPr>
          <w:rFonts w:hint="eastAsia"/>
          <w:lang w:val="en-US" w:eastAsia="zh-CN"/>
        </w:rPr>
      </w:pPr>
    </w:p>
    <w:p w14:paraId="7615A102">
      <w:pPr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FEF1A90">
      <w:pPr>
        <w:widowControl/>
        <w:jc w:val="left"/>
        <w:rPr>
          <w:rFonts w:ascii="Cambria" w:hAnsi="Cambria" w:eastAsia="宋体" w:cs="Times New Roman"/>
          <w:kern w:val="0"/>
          <w:sz w:val="25"/>
          <w:szCs w:val="25"/>
          <w:lang w:eastAsia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5"/>
          <w:szCs w:val="25"/>
          <w:lang w:eastAsia="en-US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25"/>
          <w:szCs w:val="25"/>
          <w:lang w:val="en-US" w:eastAsia="zh-CN"/>
        </w:rPr>
        <w:t>S9</w:t>
      </w:r>
      <w:r>
        <w:rPr>
          <w:rFonts w:hint="eastAsia" w:ascii="Times New Roman" w:hAnsi="Times New Roman" w:eastAsia="宋体" w:cs="Times New Roman"/>
          <w:b/>
          <w:bCs/>
          <w:kern w:val="0"/>
          <w:sz w:val="25"/>
          <w:szCs w:val="25"/>
          <w:lang w:eastAsia="en-US"/>
        </w:rPr>
        <w:t xml:space="preserve">  </w:t>
      </w:r>
      <w:r>
        <w:rPr>
          <w:rFonts w:ascii="Cambria" w:hAnsi="Cambria" w:eastAsia="宋体" w:cs="Times New Roman"/>
          <w:kern w:val="0"/>
          <w:sz w:val="25"/>
          <w:szCs w:val="25"/>
          <w:lang w:eastAsia="en-US"/>
        </w:rPr>
        <w:t>Random-effects meta-analysis of average dual sensory impairment and incident outcomes: robustness analysis.</w:t>
      </w:r>
    </w:p>
    <w:tbl>
      <w:tblPr>
        <w:tblStyle w:val="2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1799"/>
        <w:gridCol w:w="1275"/>
        <w:gridCol w:w="1124"/>
        <w:gridCol w:w="1124"/>
        <w:gridCol w:w="1124"/>
      </w:tblGrid>
      <w:tr w14:paraId="67BB94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A02A42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Outcome</w:t>
            </w:r>
          </w:p>
        </w:tc>
        <w:tc>
          <w:tcPr>
            <w:tcW w:w="24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BBD620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Pooled HR(95%CI)</w:t>
            </w:r>
          </w:p>
        </w:tc>
        <w:tc>
          <w:tcPr>
            <w:tcW w:w="17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11A77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P Value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F7696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Cochran Q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ABE079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I2, %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86649AC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  <w:lang w:eastAsia="en-US"/>
              </w:rPr>
              <w:t>Tau2</w:t>
            </w:r>
          </w:p>
        </w:tc>
      </w:tr>
      <w:tr w14:paraId="5F221B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19CD0E3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Cardiometabolic disease</w:t>
            </w:r>
          </w:p>
        </w:tc>
        <w:tc>
          <w:tcPr>
            <w:tcW w:w="24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40F0E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1.11 (1.08-1.14)</w:t>
            </w:r>
          </w:p>
        </w:tc>
        <w:tc>
          <w:tcPr>
            <w:tcW w:w="17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6D38E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74D0C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4.17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1B87E7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52.0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09FFCE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  <w:tr w14:paraId="12B3D6A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432E96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Diabetes</w:t>
            </w:r>
          </w:p>
        </w:tc>
        <w:tc>
          <w:tcPr>
            <w:tcW w:w="24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AEB61E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1.09 (1.05-1.13)</w:t>
            </w:r>
          </w:p>
        </w:tc>
        <w:tc>
          <w:tcPr>
            <w:tcW w:w="17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037E5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9E6DE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2.81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7F311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28.9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5F47E8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  <w:tr w14:paraId="56DFA0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F6AFCE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Heart disease</w:t>
            </w:r>
          </w:p>
        </w:tc>
        <w:tc>
          <w:tcPr>
            <w:tcW w:w="24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F053B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1.13 (1.09-1.16)</w:t>
            </w:r>
          </w:p>
        </w:tc>
        <w:tc>
          <w:tcPr>
            <w:tcW w:w="17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64E6B3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B69F2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3.04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F646FF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34.2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9716BE1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0.000</w:t>
            </w:r>
          </w:p>
        </w:tc>
      </w:tr>
      <w:tr w14:paraId="559BF3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BC5010E">
            <w:pPr>
              <w:widowControl/>
              <w:spacing w:before="0" w:after="0"/>
              <w:jc w:val="left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Stroke</w:t>
            </w:r>
          </w:p>
        </w:tc>
        <w:tc>
          <w:tcPr>
            <w:tcW w:w="24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5B7A55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1.08 (1.02-1.13)</w:t>
            </w:r>
          </w:p>
        </w:tc>
        <w:tc>
          <w:tcPr>
            <w:tcW w:w="17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4D73E4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6FCFD3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2.97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4FD1D2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32.8</w:t>
            </w:r>
          </w:p>
        </w:tc>
        <w:tc>
          <w:tcPr>
            <w:tcW w:w="150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6366FB">
            <w:pPr>
              <w:widowControl/>
              <w:spacing w:before="0" w:after="0"/>
              <w:jc w:val="center"/>
              <w:rPr>
                <w:rFonts w:ascii="Cambria" w:hAnsi="Cambria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0.001</w:t>
            </w:r>
          </w:p>
        </w:tc>
      </w:tr>
    </w:tbl>
    <w:p w14:paraId="6A65B208">
      <w:pPr>
        <w:numPr>
          <w:ilvl w:val="0"/>
          <w:numId w:val="0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Note:</w:t>
      </w:r>
      <w:r>
        <w:rPr>
          <w:rFonts w:hint="default" w:ascii="Times New Roman" w:hAnsi="Times New Roman" w:cs="Times New Roman"/>
        </w:rPr>
        <w:t>Random-effects estimates were calculated from cohort-specific log HRs using the DerSimonian-Laird method after excluding baseline disease and events within the first 2 follow-up years.</w:t>
      </w:r>
    </w:p>
    <w:p w14:paraId="67695F89">
      <w:pPr>
        <w:rPr>
          <w:rFonts w:hint="default"/>
          <w:lang w:val="en-US" w:eastAsia="zh-CN"/>
        </w:rPr>
      </w:pPr>
    </w:p>
    <w:p w14:paraId="668858C1">
      <w:pPr>
        <w:rPr>
          <w:rFonts w:hint="default"/>
          <w:lang w:val="en-US" w:eastAsia="zh-CN"/>
        </w:rPr>
      </w:pPr>
    </w:p>
    <w:p w14:paraId="004E9268">
      <w:pPr>
        <w:rPr>
          <w:rFonts w:hint="default"/>
          <w:lang w:val="en-US" w:eastAsia="zh-CN"/>
        </w:rPr>
      </w:pPr>
    </w:p>
    <w:p w14:paraId="64E25D0B">
      <w:pPr>
        <w:rPr>
          <w:rFonts w:hint="default"/>
          <w:lang w:val="en-US" w:eastAsia="zh-CN"/>
        </w:rPr>
      </w:pPr>
    </w:p>
    <w:p w14:paraId="0059DC66">
      <w:pPr>
        <w:rPr>
          <w:rFonts w:hint="default"/>
          <w:lang w:val="en-US" w:eastAsia="zh-CN"/>
        </w:rPr>
      </w:pPr>
    </w:p>
    <w:p w14:paraId="2AB4C46A">
      <w:pPr>
        <w:rPr>
          <w:rFonts w:hint="eastAsia"/>
          <w:lang w:val="en-US" w:eastAsia="zh-CN"/>
        </w:rPr>
      </w:pPr>
    </w:p>
    <w:p w14:paraId="1E23C7A9">
      <w:pPr>
        <w:rPr>
          <w:rFonts w:hint="eastAsia"/>
          <w:lang w:val="en-US" w:eastAsia="zh-CN"/>
        </w:rPr>
      </w:pPr>
    </w:p>
    <w:p w14:paraId="34601C0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imbusMonL-Regu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XLJ_CSL_STYLE" w:val="469"/>
  </w:docVars>
  <w:rsids>
    <w:rsidRoot w:val="7AC70197"/>
    <w:rsid w:val="02881B88"/>
    <w:rsid w:val="04066FA8"/>
    <w:rsid w:val="062A31D9"/>
    <w:rsid w:val="0BCA5242"/>
    <w:rsid w:val="0D933D59"/>
    <w:rsid w:val="16685D83"/>
    <w:rsid w:val="16921052"/>
    <w:rsid w:val="17740758"/>
    <w:rsid w:val="1A2B378E"/>
    <w:rsid w:val="1DE71C83"/>
    <w:rsid w:val="27421CD9"/>
    <w:rsid w:val="2CE20317"/>
    <w:rsid w:val="30BE5FC5"/>
    <w:rsid w:val="33BB3534"/>
    <w:rsid w:val="37074CED"/>
    <w:rsid w:val="39445D84"/>
    <w:rsid w:val="39D867E5"/>
    <w:rsid w:val="3A4F6FC5"/>
    <w:rsid w:val="3FF616FF"/>
    <w:rsid w:val="445F7F16"/>
    <w:rsid w:val="479C6D7C"/>
    <w:rsid w:val="47C20D7A"/>
    <w:rsid w:val="4CBC1308"/>
    <w:rsid w:val="4F071203"/>
    <w:rsid w:val="53F00B8B"/>
    <w:rsid w:val="5C401F83"/>
    <w:rsid w:val="5CBF559E"/>
    <w:rsid w:val="5F6D7533"/>
    <w:rsid w:val="6085494C"/>
    <w:rsid w:val="740D2C3B"/>
    <w:rsid w:val="7492790D"/>
    <w:rsid w:val="7AC70197"/>
    <w:rsid w:val="7D41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977</Words>
  <Characters>5791</Characters>
  <Lines>0</Lines>
  <Paragraphs>0</Paragraphs>
  <TotalTime>5</TotalTime>
  <ScaleCrop>false</ScaleCrop>
  <LinksUpToDate>false</LinksUpToDate>
  <CharactersWithSpaces>6557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2026-08-08T08:13:00Z</dcterms:created>
  <dc:creator>渭城朝雨浥轻尘</dc:creator>
  <cp:lastModifiedBy>渭城朝雨浥轻尘</cp:lastModifiedBy>
  <dcterms:modified xsi:type="dcterms:W3CDTF">2026-09-04T03:41:27Z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A3BAF225209C499CA19E3ED1302C3D13_13</vt:lpwstr>
  </property>
  <property fmtid="{D5CDD505-2E9C-101B-9397-08002B2CF9AE}" pid="4" name="KSOTemplateDocerSaveRecord">
    <vt:lpwstr>eyJoZGlkIjoiN2YzNjBkOTgyNWQ1YTMxYzM3MzMwNWFiODNmOWIzYWMiLCJ1c2VySWQiOiI3ODAxNjM4NjUifQ==</vt:lpwstr>
  </property>
</Properties>
</file>