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imes New Roman" w:cs="Times New Roman" w:eastAsia="Times New Roman" w:hAnsi="Times New Roman"/>
          <w:b/>
          <w:bCs/>
          <w:sz w:val="30"/>
          <w:szCs w:val="30"/>
        </w:rPr>
        <w:t xml:space="preserve">Supplementary Information</w:t>
      </w:r>
    </w:p>
    <w:p>
      <w:pPr>
        <w:spacing w:after="320" w:line="360"/>
        <w:jc w:val="center"/>
      </w:pPr>
      <w:r>
        <w:rPr>
          <w:rFonts w:ascii="Times New Roman" w:cs="Times New Roman" w:eastAsia="Times New Roman" w:hAnsi="Times New Roman"/>
          <w:sz w:val="22"/>
          <w:szCs w:val="22"/>
        </w:rPr>
        <w:t xml:space="preserve">Attractor strength identifies classifier label geometry as construct-irrelevant variance in machine-scored developmental drawing assessment</w:t>
      </w:r>
    </w:p>
    <w:p>
      <w:pPr>
        <w:pStyle w:val="Heading1"/>
        <w:spacing w:after="140" w:before="280"/>
      </w:pPr>
      <w:r>
        <w:rPr>
          <w:rFonts w:ascii="Times New Roman" w:cs="Times New Roman" w:eastAsia="Times New Roman" w:hAnsi="Times New Roman"/>
          <w:b/>
          <w:bCs/>
          <w:color w:val="000000"/>
          <w:sz w:val="28"/>
          <w:szCs w:val="28"/>
        </w:rPr>
        <w:t xml:space="preserve">Supplementary Figure</w:t>
      </w:r>
    </w:p>
    <w:p>
      <w:pPr>
        <w:spacing w:after="80" w:before="200"/>
        <w:jc w:val="center"/>
      </w:pPr>
      <w:r>
        <w:drawing>
          <wp:inline distT="0" distB="0" distL="0" distR="0">
            <wp:extent cx="447675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76750" cy="2486025"/>
                    </a:xfrm>
                    <a:prstGeom prst="rect">
                      <a:avLst/>
                    </a:prstGeom>
                  </pic:spPr>
                </pic:pic>
              </a:graphicData>
            </a:graphic>
          </wp:inline>
        </w:drawing>
      </w:r>
    </w:p>
    <w:p>
      <w:pPr>
        <w:keepNext/>
        <w:spacing w:after="100" w:before="200"/>
      </w:pPr>
      <w:r>
        <w:rPr>
          <w:rFonts w:ascii="Times New Roman" w:cs="Times New Roman" w:eastAsia="Times New Roman" w:hAnsi="Times New Roman"/>
          <w:b/>
          <w:bCs/>
          <w:sz w:val="20"/>
          <w:szCs w:val="20"/>
        </w:rPr>
        <w:t xml:space="preserve">Fig. S1 </w:t>
      </w:r>
      <w:r>
        <w:rPr>
          <w:rFonts w:ascii="Times New Roman" w:cs="Times New Roman" w:eastAsia="Times New Roman" w:hAnsi="Times New Roman"/>
          <w:sz w:val="20"/>
          <w:szCs w:val="20"/>
        </w:rPr>
        <w:t xml:space="preserve">Validation of the restricted maximum likelihood implementation. Estimates recovered from six independently simulated datasets with known parameter values; red bars mark true values, points are estimates.</w:t>
      </w:r>
    </w:p>
    <w:p>
      <w:pPr>
        <w:spacing w:after="140" w:line="360"/>
        <w:jc w:val="both"/>
      </w:pPr>
      <w:r>
        <w:rPr>
          <w:rFonts w:ascii="Times New Roman" w:cs="Times New Roman" w:eastAsia="Times New Roman" w:hAnsi="Times New Roman"/>
          <w:sz w:val="22"/>
          <w:szCs w:val="22"/>
        </w:rPr>
        <w:t xml:space="preserve">Across the six datasets the estimator recovered the child variance component (mean 0.519 against a true value of 0.50), the category variance component (0.840 against 0.80), the residual variance (1.189 against 1.20), and the age slope (0.699 against 0.70). The wider spread of the category component reflects the sampling variability expected when a variance component is estimated from 40 units.</w:t>
      </w:r>
    </w:p>
    <w:p>
      <w:pPr>
        <w:pStyle w:val="Heading1"/>
        <w:spacing w:after="140" w:before="280"/>
      </w:pPr>
      <w:r>
        <w:rPr>
          <w:rFonts w:ascii="Times New Roman" w:cs="Times New Roman" w:eastAsia="Times New Roman" w:hAnsi="Times New Roman"/>
          <w:b/>
          <w:bCs/>
          <w:color w:val="000000"/>
          <w:sz w:val="28"/>
          <w:szCs w:val="28"/>
        </w:rPr>
        <w:t xml:space="preserve">Supplementary Tables</w:t>
      </w:r>
    </w:p>
    <w:p>
      <w:pPr>
        <w:keepNext/>
        <w:spacing w:after="100" w:before="200"/>
      </w:pPr>
      <w:r>
        <w:rPr>
          <w:rFonts w:ascii="Times New Roman" w:cs="Times New Roman" w:eastAsia="Times New Roman" w:hAnsi="Times New Roman"/>
          <w:b/>
          <w:bCs/>
          <w:sz w:val="20"/>
          <w:szCs w:val="20"/>
        </w:rPr>
        <w:t xml:space="preserve">Table S1. </w:t>
      </w:r>
      <w:r>
        <w:rPr>
          <w:rFonts w:ascii="Times New Roman" w:cs="Times New Roman" w:eastAsia="Times New Roman" w:hAnsi="Times New Roman"/>
          <w:sz w:val="20"/>
          <w:szCs w:val="20"/>
        </w:rPr>
        <w:t xml:space="preserve">Covariate-adjusted fixed effects (M4).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500"/>
        <w:gridCol w:w="800"/>
        <w:gridCol w:w="830"/>
        <w:gridCol w:w="1500"/>
        <w:gridCol w:w="800"/>
        <w:gridCol w:w="1430"/>
      </w:tblGrid>
      <w:tr>
        <w:trPr>
          <w:cantSplit/>
          <w:tblHeader/>
        </w:trPr>
        <w:tc>
          <w:tcPr>
            <w:tcW w:type="dxa" w:w="2500"/>
            <w:shd w:fill="E8E8E8" w:val="clear"/>
            <w:tcMar>
              <w:top w:type="dxa" w:w="60"/>
              <w:left w:type="dxa" w:w="90"/>
              <w:bottom w:type="dxa" w:w="60"/>
              <w:right w:type="dxa" w:w="90"/>
            </w:tcMar>
          </w:tcPr>
          <w:p>
            <w:pPr>
              <w:spacing w:after="0" w:line="240"/>
              <w:jc w:val="left"/>
            </w:pPr>
            <w:r>
              <w:rPr>
                <w:rFonts w:ascii="Times New Roman" w:cs="Times New Roman" w:eastAsia="Times New Roman" w:hAnsi="Times New Roman"/>
                <w:b/>
                <w:bCs/>
                <w:sz w:val="18"/>
                <w:szCs w:val="18"/>
              </w:rPr>
              <w:t xml:space="preserve">Predictor</w:t>
            </w:r>
          </w:p>
        </w:tc>
        <w:tc>
          <w:tcPr>
            <w:tcW w:type="dxa" w:w="15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b (SE)</w:t>
            </w:r>
          </w:p>
        </w:tc>
        <w:tc>
          <w:tcPr>
            <w:tcW w:type="dxa" w:w="8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z</w:t>
            </w:r>
          </w:p>
        </w:tc>
        <w:tc>
          <w:tcPr>
            <w:tcW w:type="dxa" w:w="83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p</w:t>
            </w:r>
          </w:p>
        </w:tc>
        <w:tc>
          <w:tcPr>
            <w:tcW w:type="dxa" w:w="15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b (SE)</w:t>
            </w:r>
          </w:p>
        </w:tc>
        <w:tc>
          <w:tcPr>
            <w:tcW w:type="dxa" w:w="8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z</w:t>
            </w:r>
          </w:p>
        </w:tc>
        <w:tc>
          <w:tcPr>
            <w:tcW w:type="dxa" w:w="143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p</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Intercept</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-2.5163 (0.1614)</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-15.59</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-2.1431 (0.1158)</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-18.50</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Age (centred at 6 years)</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0.1521 (0.0069)</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22.04</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0.1106 (0.0066)</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16.75</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Shape-tracing score (z)</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0.2617 (0.0153)</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17.09</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0.2794 (0.0148)</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18.91</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Number of strokes (z)</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0.0399 (0.0108)</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3.69</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0.0005 (0.0117)</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0.04</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0.964</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Drawing duration (z)</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0.1978 (0.0132)</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14.94</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0.0738 (0.0143)</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5.14</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Ink intensity (z)</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0.0648 (0.0128)</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5.06</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&lt; 0.001</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-0.0172 (0.0140)</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-1.23</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0.219</w:t>
            </w:r>
          </w:p>
        </w:tc>
      </w:tr>
      <w:tr>
        <w:trPr>
          <w:cantSplit/>
        </w:trPr>
        <w:tc>
          <w:tcPr>
            <w:tcW w:type="dxa" w:w="25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Category drawing frequency (z)</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0.0889 (0.1557)</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0.57</w:t>
            </w:r>
          </w:p>
        </w:tc>
        <w:tc>
          <w:tcPr>
            <w:tcW w:type="dxa" w:w="8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0.568</w:t>
            </w:r>
          </w:p>
        </w:tc>
        <w:tc>
          <w:tcPr>
            <w:tcW w:type="dxa" w:w="15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0.0234 (0.1126)</w:t>
            </w:r>
          </w:p>
        </w:tc>
        <w:tc>
          <w:tcPr>
            <w:tcW w:type="dxa" w:w="8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0.21</w:t>
            </w:r>
          </w:p>
        </w:tc>
        <w:tc>
          <w:tcPr>
            <w:tcW w:type="dxa" w:w="143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0.836</w:t>
            </w:r>
          </w:p>
        </w:tc>
      </w:tr>
    </w:tbl>
    <w:p>
      <w:pPr>
        <w:spacing w:after="220" w:before="60"/>
      </w:pPr>
      <w:r>
        <w:rPr>
          <w:rFonts w:ascii="Times New Roman" w:cs="Times New Roman" w:eastAsia="Times New Roman" w:hAnsi="Times New Roman"/>
          <w:i/>
          <w:iCs/>
          <w:sz w:val="18"/>
          <w:szCs w:val="18"/>
        </w:rPr>
        <w:t xml:space="preserve">Note. </w:t>
      </w:r>
      <w:r>
        <w:rPr>
          <w:rFonts w:ascii="Times New Roman" w:cs="Times New Roman" w:eastAsia="Times New Roman" w:hAnsi="Times New Roman"/>
          <w:sz w:val="18"/>
          <w:szCs w:val="18"/>
        </w:rPr>
        <w:t xml:space="preserve">All predictors standardised. Tests are two-tailed. CLIP n = 35,807 drawings; VGG n = 20,980 drawings.</w:t>
      </w:r>
    </w:p>
    <w:p>
      <w:pPr>
        <w:keepNext/>
        <w:spacing w:after="100" w:before="200"/>
      </w:pPr>
      <w:r>
        <w:rPr>
          <w:rFonts w:ascii="Times New Roman" w:cs="Times New Roman" w:eastAsia="Times New Roman" w:hAnsi="Times New Roman"/>
          <w:b/>
          <w:bCs/>
          <w:sz w:val="20"/>
          <w:szCs w:val="20"/>
        </w:rPr>
        <w:t xml:space="preserve">Table S2. </w:t>
      </w:r>
      <w:r>
        <w:rPr>
          <w:rFonts w:ascii="Times New Roman" w:cs="Times New Roman" w:eastAsia="Times New Roman" w:hAnsi="Times New Roman"/>
          <w:sz w:val="20"/>
          <w:szCs w:val="20"/>
        </w:rPr>
        <w:t xml:space="preserve">Short-battery age recovery under raw versus category-standardised scoring.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1000"/>
        <w:gridCol w:w="1150"/>
        <w:gridCol w:w="1980"/>
        <w:gridCol w:w="1000"/>
        <w:gridCol w:w="1150"/>
        <w:gridCol w:w="2180"/>
      </w:tblGrid>
      <w:tr>
        <w:trPr>
          <w:cantSplit/>
          <w:tblHeader/>
        </w:trPr>
        <w:tc>
          <w:tcPr>
            <w:tcW w:type="dxa" w:w="900"/>
            <w:shd w:fill="E8E8E8" w:val="clear"/>
            <w:tcMar>
              <w:top w:type="dxa" w:w="60"/>
              <w:left w:type="dxa" w:w="90"/>
              <w:bottom w:type="dxa" w:w="60"/>
              <w:right w:type="dxa" w:w="90"/>
            </w:tcMar>
          </w:tcPr>
          <w:p>
            <w:pPr>
              <w:spacing w:after="0" w:line="240"/>
              <w:jc w:val="left"/>
            </w:pPr>
            <w:r>
              <w:rPr>
                <w:rFonts w:ascii="Times New Roman" w:cs="Times New Roman" w:eastAsia="Times New Roman" w:hAnsi="Times New Roman"/>
                <w:b/>
                <w:bCs/>
                <w:sz w:val="18"/>
                <w:szCs w:val="18"/>
              </w:rPr>
              <w:t xml:space="preserve">Prompts</w:t>
            </w:r>
          </w:p>
        </w:tc>
        <w:tc>
          <w:tcPr>
            <w:tcW w:type="dxa" w:w="10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raw</w:t>
            </w:r>
          </w:p>
        </w:tc>
        <w:tc>
          <w:tcPr>
            <w:tcW w:type="dxa" w:w="115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normed</w:t>
            </w:r>
          </w:p>
        </w:tc>
        <w:tc>
          <w:tcPr>
            <w:tcW w:type="dxa" w:w="198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CLIP gain [95% CI]</w:t>
            </w:r>
          </w:p>
        </w:tc>
        <w:tc>
          <w:tcPr>
            <w:tcW w:type="dxa" w:w="100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raw</w:t>
            </w:r>
          </w:p>
        </w:tc>
        <w:tc>
          <w:tcPr>
            <w:tcW w:type="dxa" w:w="115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normed</w:t>
            </w:r>
          </w:p>
        </w:tc>
        <w:tc>
          <w:tcPr>
            <w:tcW w:type="dxa" w:w="2180"/>
            <w:shd w:fill="E8E8E8" w:val="clear"/>
            <w:tcMar>
              <w:top w:type="dxa" w:w="60"/>
              <w:left w:type="dxa" w:w="90"/>
              <w:bottom w:type="dxa" w:w="60"/>
              <w:right w:type="dxa" w:w="90"/>
            </w:tcMar>
          </w:tcPr>
          <w:p>
            <w:pPr>
              <w:spacing w:after="0" w:line="240"/>
              <w:jc w:val="center"/>
            </w:pPr>
            <w:r>
              <w:rPr>
                <w:rFonts w:ascii="Times New Roman" w:cs="Times New Roman" w:eastAsia="Times New Roman" w:hAnsi="Times New Roman"/>
                <w:b/>
                <w:bCs/>
                <w:sz w:val="18"/>
                <w:szCs w:val="18"/>
              </w:rPr>
              <w:t xml:space="preserve">VGG gain [95% CI]</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1</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1.835</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1.822</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0.013 [0.006, 0.020]</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1.830</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1.819</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0.011 [0.005, 0.018]</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2</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1.775</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1.758</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0.017 [0.008, 0.026]</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1.778</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1.763</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0.015 [0.007, 0.022]</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3</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1.716</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1.701</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0.015 [0.007, 0.024]</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1.727</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1.711</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0.016 [0.006, 0.025]</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4</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1.689</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1.673</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0.015 [0.005, 0.024]</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1.704</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1.682</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0.022 [0.012, 0.033]</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6</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1.618</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1.609</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0.010 [-0.000, 0.019]</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1.677</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1.662</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0.015 [-0.003, 0.031]</w:t>
            </w:r>
          </w:p>
        </w:tc>
      </w:tr>
      <w:tr>
        <w:trPr>
          <w:cantSplit/>
        </w:trPr>
        <w:tc>
          <w:tcPr>
            <w:tcW w:type="dxa" w:w="900"/>
            <w:tcMar>
              <w:top w:type="dxa" w:w="60"/>
              <w:left w:type="dxa" w:w="90"/>
              <w:bottom w:type="dxa" w:w="60"/>
              <w:right w:type="dxa" w:w="90"/>
            </w:tcMar>
          </w:tcPr>
          <w:p>
            <w:pPr>
              <w:spacing w:after="0" w:line="240"/>
              <w:jc w:val="left"/>
            </w:pPr>
            <w:r>
              <w:rPr>
                <w:rFonts w:ascii="Times New Roman" w:cs="Times New Roman" w:eastAsia="Times New Roman" w:hAnsi="Times New Roman"/>
                <w:b w:val="false"/>
                <w:bCs w:val="false"/>
                <w:sz w:val="18"/>
                <w:szCs w:val="18"/>
              </w:rPr>
              <w:t xml:space="preserve">8</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1.546</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1.536</w:t>
            </w:r>
          </w:p>
        </w:tc>
        <w:tc>
          <w:tcPr>
            <w:tcW w:type="dxa" w:w="19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0.010 [0.001, 0.020]</w:t>
            </w:r>
          </w:p>
        </w:tc>
        <w:tc>
          <w:tcPr>
            <w:tcW w:type="dxa" w:w="100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1.534</w:t>
            </w:r>
          </w:p>
        </w:tc>
        <w:tc>
          <w:tcPr>
            <w:tcW w:type="dxa" w:w="115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1.516</w:t>
            </w:r>
          </w:p>
        </w:tc>
        <w:tc>
          <w:tcPr>
            <w:tcW w:type="dxa" w:w="2180"/>
            <w:tcMar>
              <w:top w:type="dxa" w:w="60"/>
              <w:left w:type="dxa" w:w="90"/>
              <w:bottom w:type="dxa" w:w="60"/>
              <w:right w:type="dxa" w:w="90"/>
            </w:tcMar>
          </w:tcPr>
          <w:p>
            <w:pPr>
              <w:spacing w:after="0" w:line="240"/>
              <w:jc w:val="center"/>
            </w:pPr>
            <w:r>
              <w:rPr>
                <w:rFonts w:ascii="Times New Roman" w:cs="Times New Roman" w:eastAsia="Times New Roman" w:hAnsi="Times New Roman"/>
                <w:b w:val="false"/>
                <w:bCs w:val="false"/>
                <w:sz w:val="18"/>
                <w:szCs w:val="18"/>
              </w:rPr>
              <w:t xml:space="preserve">0.018 [-0.047, 0.089]</w:t>
            </w:r>
          </w:p>
        </w:tc>
      </w:tr>
    </w:tbl>
    <w:p>
      <w:pPr>
        <w:spacing w:after="220" w:before="60"/>
      </w:pPr>
      <w:r>
        <w:rPr>
          <w:rFonts w:ascii="Times New Roman" w:cs="Times New Roman" w:eastAsia="Times New Roman" w:hAnsi="Times New Roman"/>
          <w:i/>
          <w:iCs/>
          <w:sz w:val="18"/>
          <w:szCs w:val="18"/>
        </w:rPr>
        <w:t xml:space="preserve">Note. </w:t>
      </w:r>
      <w:r>
        <w:rPr>
          <w:rFonts w:ascii="Times New Roman" w:cs="Times New Roman" w:eastAsia="Times New Roman" w:hAnsi="Times New Roman"/>
          <w:sz w:val="18"/>
          <w:szCs w:val="18"/>
        </w:rPr>
        <w:t xml:space="preserve">Values are mean absolute error in years, averaged over 200 resampled batteries with split-half fitting. Gain = MAE raw minus MAE normed. Intervals are percentile bootstrap intervals across resamples.</w:t>
      </w:r>
    </w:p>
    <w:p>
      <w:pPr>
        <w:pStyle w:val="Heading1"/>
        <w:spacing w:after="140" w:before="280"/>
      </w:pPr>
      <w:r>
        <w:rPr>
          <w:rFonts w:ascii="Times New Roman" w:cs="Times New Roman" w:eastAsia="Times New Roman" w:hAnsi="Times New Roman"/>
          <w:b/>
          <w:bCs/>
          <w:color w:val="000000"/>
          <w:sz w:val="28"/>
          <w:szCs w:val="28"/>
        </w:rPr>
        <w:t xml:space="preserve">Supplementary Software</w:t>
      </w:r>
    </w:p>
    <w:p>
      <w:pPr>
        <w:spacing w:after="140" w:line="360"/>
        <w:jc w:val="both"/>
      </w:pPr>
      <w:r>
        <w:rPr>
          <w:rFonts w:ascii="Times New Roman" w:cs="Times New Roman" w:eastAsia="Times New Roman" w:hAnsi="Times New Roman"/>
          <w:sz w:val="22"/>
          <w:szCs w:val="22"/>
        </w:rPr>
        <w:t xml:space="preserve">The following files reproduce every result reported in the article and are supplied as a single archive.</w:t>
      </w:r>
    </w:p>
    <w:p>
      <w:pPr>
        <w:spacing w:after="80"/>
        <w:ind w:left="360" w:hanging="360"/>
      </w:pPr>
      <w:r>
        <w:rPr>
          <w:rFonts w:ascii="Times New Roman" w:cs="Times New Roman" w:eastAsia="Times New Roman" w:hAnsi="Times New Roman"/>
          <w:b/>
          <w:bCs/>
          <w:sz w:val="20"/>
          <w:szCs w:val="20"/>
        </w:rPr>
        <w:t xml:space="preserve">reml.py  </w:t>
      </w:r>
      <w:r>
        <w:rPr>
          <w:rFonts w:ascii="Times New Roman" w:cs="Times New Roman" w:eastAsia="Times New Roman" w:hAnsi="Times New Roman"/>
          <w:sz w:val="20"/>
          <w:szCs w:val="20"/>
        </w:rPr>
        <w:t xml:space="preserve">Exact restricted maximum likelihood estimator for cross-classified random effects.</w:t>
      </w:r>
    </w:p>
    <w:p>
      <w:pPr>
        <w:spacing w:after="80"/>
        <w:ind w:left="360" w:hanging="360"/>
      </w:pPr>
      <w:r>
        <w:rPr>
          <w:rFonts w:ascii="Times New Roman" w:cs="Times New Roman" w:eastAsia="Times New Roman" w:hAnsi="Times New Roman"/>
          <w:b/>
          <w:bCs/>
          <w:sz w:val="20"/>
          <w:szCs w:val="20"/>
        </w:rPr>
        <w:t xml:space="preserve">analysis_01_models.py  </w:t>
      </w:r>
      <w:r>
        <w:rPr>
          <w:rFonts w:ascii="Times New Roman" w:cs="Times New Roman" w:eastAsia="Times New Roman" w:hAnsi="Times New Roman"/>
          <w:sz w:val="20"/>
          <w:szCs w:val="20"/>
        </w:rPr>
        <w:t xml:space="preserve">Variance decomposition, Developmental Displacement Index, random slopes, covariate adjustment.</w:t>
      </w:r>
    </w:p>
    <w:p>
      <w:pPr>
        <w:spacing w:after="80"/>
        <w:ind w:left="360" w:hanging="360"/>
      </w:pPr>
      <w:r>
        <w:rPr>
          <w:rFonts w:ascii="Times New Roman" w:cs="Times New Roman" w:eastAsia="Times New Roman" w:hAnsi="Times New Roman"/>
          <w:b/>
          <w:bCs/>
          <w:sz w:val="20"/>
          <w:szCs w:val="20"/>
        </w:rPr>
        <w:t xml:space="preserve">analysis_02_gtheory.py  </w:t>
      </w:r>
      <w:r>
        <w:rPr>
          <w:rFonts w:ascii="Times New Roman" w:cs="Times New Roman" w:eastAsia="Times New Roman" w:hAnsi="Times New Roman"/>
          <w:sz w:val="20"/>
          <w:szCs w:val="20"/>
        </w:rPr>
        <w:t xml:space="preserve">Generalizability-theory decision study and age-recovery analysis.</w:t>
      </w:r>
    </w:p>
    <w:p>
      <w:pPr>
        <w:spacing w:after="80"/>
        <w:ind w:left="360" w:hanging="360"/>
      </w:pPr>
      <w:r>
        <w:rPr>
          <w:rFonts w:ascii="Times New Roman" w:cs="Times New Roman" w:eastAsia="Times New Roman" w:hAnsi="Times New Roman"/>
          <w:b/>
          <w:bCs/>
          <w:sz w:val="20"/>
          <w:szCs w:val="20"/>
        </w:rPr>
        <w:t xml:space="preserve">analysis_03_battery.py  </w:t>
      </w:r>
      <w:r>
        <w:rPr>
          <w:rFonts w:ascii="Times New Roman" w:cs="Times New Roman" w:eastAsia="Times New Roman" w:hAnsi="Times New Roman"/>
          <w:sz w:val="20"/>
          <w:szCs w:val="20"/>
        </w:rPr>
        <w:t xml:space="preserve">Short-battery simulation, age-order violations, cross-pipeline comparison.</w:t>
      </w:r>
    </w:p>
    <w:p>
      <w:pPr>
        <w:spacing w:after="80"/>
        <w:ind w:left="360" w:hanging="360"/>
      </w:pPr>
      <w:r>
        <w:rPr>
          <w:rFonts w:ascii="Times New Roman" w:cs="Times New Roman" w:eastAsia="Times New Roman" w:hAnsi="Times New Roman"/>
          <w:b/>
          <w:bCs/>
          <w:sz w:val="20"/>
          <w:szCs w:val="20"/>
        </w:rPr>
        <w:t xml:space="preserve">analysis_04_matched.py  </w:t>
      </w:r>
      <w:r>
        <w:rPr>
          <w:rFonts w:ascii="Times New Roman" w:cs="Times New Roman" w:eastAsia="Times New Roman" w:hAnsi="Times New Roman"/>
          <w:sz w:val="20"/>
          <w:szCs w:val="20"/>
        </w:rPr>
        <w:t xml:space="preserve">Cross-pipeline comparison on identical drawings.</w:t>
      </w:r>
    </w:p>
    <w:p>
      <w:pPr>
        <w:spacing w:after="80"/>
        <w:ind w:left="360" w:hanging="360"/>
      </w:pPr>
      <w:r>
        <w:rPr>
          <w:rFonts w:ascii="Times New Roman" w:cs="Times New Roman" w:eastAsia="Times New Roman" w:hAnsi="Times New Roman"/>
          <w:b/>
          <w:bCs/>
          <w:sz w:val="20"/>
          <w:szCs w:val="20"/>
        </w:rPr>
        <w:t xml:space="preserve">analysis_05_geometry.py  </w:t>
      </w:r>
      <w:r>
        <w:rPr>
          <w:rFonts w:ascii="Times New Roman" w:cs="Times New Roman" w:eastAsia="Times New Roman" w:hAnsi="Times New Roman"/>
          <w:sz w:val="20"/>
          <w:szCs w:val="20"/>
        </w:rPr>
        <w:t xml:space="preserve">Classifier confusion structure and attractor strength, including the circular-index version retained for transparency.</w:t>
      </w:r>
    </w:p>
    <w:p>
      <w:pPr>
        <w:spacing w:after="80"/>
        <w:ind w:left="360" w:hanging="360"/>
      </w:pPr>
      <w:r>
        <w:rPr>
          <w:rFonts w:ascii="Times New Roman" w:cs="Times New Roman" w:eastAsia="Times New Roman" w:hAnsi="Times New Roman"/>
          <w:b/>
          <w:bCs/>
          <w:sz w:val="20"/>
          <w:szCs w:val="20"/>
        </w:rPr>
        <w:t xml:space="preserve">analysis_06_geometry_clean.py  </w:t>
      </w:r>
      <w:r>
        <w:rPr>
          <w:rFonts w:ascii="Times New Roman" w:cs="Times New Roman" w:eastAsia="Times New Roman" w:hAnsi="Times New Roman"/>
          <w:sz w:val="20"/>
          <w:szCs w:val="20"/>
        </w:rPr>
        <w:t xml:space="preserve">Non-circular decomposition, split-half validation, and the unmasking test.</w:t>
      </w:r>
    </w:p>
    <w:p>
      <w:pPr>
        <w:spacing w:after="80"/>
        <w:ind w:left="360" w:hanging="360"/>
      </w:pPr>
      <w:r>
        <w:rPr>
          <w:rFonts w:ascii="Times New Roman" w:cs="Times New Roman" w:eastAsia="Times New Roman" w:hAnsi="Times New Roman"/>
          <w:b/>
          <w:bCs/>
          <w:sz w:val="20"/>
          <w:szCs w:val="20"/>
        </w:rPr>
        <w:t xml:space="preserve">make_figures.py, make_fig6.py, make_tables.py  </w:t>
      </w:r>
      <w:r>
        <w:rPr>
          <w:rFonts w:ascii="Times New Roman" w:cs="Times New Roman" w:eastAsia="Times New Roman" w:hAnsi="Times New Roman"/>
          <w:sz w:val="20"/>
          <w:szCs w:val="20"/>
        </w:rPr>
        <w:t xml:space="preserve">Figure and table generation.</w:t>
      </w:r>
    </w:p>
    <w:p>
      <w:pPr>
        <w:spacing w:after="200" w:line="360"/>
        <w:jc w:val="both"/>
      </w:pPr>
      <w:r>
        <w:rPr>
          <w:rFonts w:ascii="Times New Roman" w:cs="Times New Roman" w:eastAsia="Times New Roman" w:hAnsi="Times New Roman"/>
          <w:sz w:val="22"/>
          <w:szCs w:val="22"/>
        </w:rPr>
        <w:t xml:space="preserve">Runtime is approximately twelve minutes on four cores. The scripts expect the KidDraw corpus in the directory structure described in the Data availability statement.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cf7675ef55d61756bc153b74a2ec01d008f6556.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creator>Rafat Saleh Madani</dc:creator>
  <cp:lastModifiedBy>Un-named</cp:lastModifiedBy>
  <cp:revision>1</cp:revision>
  <dcterms:created xsi:type="dcterms:W3CDTF">2026-08-21T13:19:21.244Z</dcterms:created>
  <dcterms:modified xsi:type="dcterms:W3CDTF">2026-08-21T13:19:21.244Z</dcterms:modified>
</cp:coreProperties>
</file>

<file path=docProps/custom.xml><?xml version="1.0" encoding="utf-8"?>
<Properties xmlns="http://schemas.openxmlformats.org/officeDocument/2006/custom-properties" xmlns:vt="http://schemas.openxmlformats.org/officeDocument/2006/docPropsVTypes"/>
</file>