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1124" w:rsidRDefault="00841124">
      <w:pPr>
        <w:autoSpaceDE w:val="0"/>
        <w:autoSpaceDN w:val="0"/>
        <w:adjustRightInd w:val="0"/>
        <w:rPr>
          <w:rFonts w:cs="URWPalladioL-Bold"/>
          <w:b/>
          <w:bCs/>
          <w:kern w:val="0"/>
          <w:sz w:val="24"/>
          <w:szCs w:val="28"/>
        </w:rPr>
      </w:pPr>
      <w:r>
        <w:rPr>
          <w:rFonts w:cs="URWPalladioL-Bold" w:hint="eastAsia"/>
          <w:b/>
          <w:bCs/>
          <w:kern w:val="0"/>
          <w:sz w:val="24"/>
          <w:szCs w:val="28"/>
        </w:rPr>
        <w:t>Figure S</w:t>
      </w:r>
      <w:r w:rsidR="009B0012">
        <w:rPr>
          <w:rFonts w:cs="URWPalladioL-Bold"/>
          <w:b/>
          <w:bCs/>
          <w:kern w:val="0"/>
          <w:sz w:val="24"/>
          <w:szCs w:val="28"/>
        </w:rPr>
        <w:t>1</w:t>
      </w:r>
      <w:r>
        <w:rPr>
          <w:rFonts w:cs="URWPalladioL-Bold"/>
          <w:b/>
          <w:bCs/>
          <w:kern w:val="0"/>
          <w:sz w:val="24"/>
          <w:szCs w:val="28"/>
        </w:rPr>
        <w:t>:</w:t>
      </w:r>
      <w:r w:rsidRPr="00841124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Differential analysis of DNA methylation data of 21 pairs of </w:t>
      </w:r>
      <w:r>
        <w:rPr>
          <w:rFonts w:hint="eastAsia"/>
          <w:bCs/>
          <w:sz w:val="24"/>
          <w:szCs w:val="24"/>
        </w:rPr>
        <w:t>U</w:t>
      </w:r>
      <w:r>
        <w:rPr>
          <w:bCs/>
          <w:sz w:val="24"/>
          <w:szCs w:val="24"/>
        </w:rPr>
        <w:t xml:space="preserve">BC and </w:t>
      </w:r>
      <w:r>
        <w:rPr>
          <w:rFonts w:hint="eastAsia"/>
          <w:bCs/>
          <w:sz w:val="24"/>
          <w:szCs w:val="24"/>
        </w:rPr>
        <w:t>adjacent tissue,</w:t>
      </w:r>
      <w:r>
        <w:rPr>
          <w:bCs/>
          <w:sz w:val="24"/>
          <w:szCs w:val="24"/>
        </w:rPr>
        <w:t xml:space="preserve"> 412 </w:t>
      </w:r>
      <w:r>
        <w:rPr>
          <w:rFonts w:hint="eastAsia"/>
          <w:bCs/>
          <w:sz w:val="24"/>
          <w:szCs w:val="24"/>
        </w:rPr>
        <w:t>U</w:t>
      </w:r>
      <w:r>
        <w:rPr>
          <w:bCs/>
          <w:sz w:val="24"/>
          <w:szCs w:val="24"/>
        </w:rPr>
        <w:t>BC tissues</w:t>
      </w:r>
      <w:r>
        <w:rPr>
          <w:rFonts w:hint="eastAsia"/>
          <w:bCs/>
          <w:sz w:val="24"/>
          <w:szCs w:val="24"/>
        </w:rPr>
        <w:t xml:space="preserve"> and </w:t>
      </w:r>
      <w:r>
        <w:rPr>
          <w:bCs/>
          <w:sz w:val="24"/>
          <w:szCs w:val="24"/>
        </w:rPr>
        <w:t>656 normal blood samples</w:t>
      </w:r>
      <w:r>
        <w:rPr>
          <w:rFonts w:hint="eastAsia"/>
          <w:bCs/>
          <w:sz w:val="24"/>
          <w:szCs w:val="24"/>
        </w:rPr>
        <w:t xml:space="preserve">, </w:t>
      </w:r>
      <w:r>
        <w:rPr>
          <w:bCs/>
          <w:sz w:val="24"/>
          <w:szCs w:val="24"/>
        </w:rPr>
        <w:t xml:space="preserve">412 </w:t>
      </w:r>
      <w:r>
        <w:rPr>
          <w:rFonts w:hint="eastAsia"/>
          <w:bCs/>
          <w:sz w:val="24"/>
          <w:szCs w:val="24"/>
        </w:rPr>
        <w:t>U</w:t>
      </w:r>
      <w:r>
        <w:rPr>
          <w:bCs/>
          <w:sz w:val="24"/>
          <w:szCs w:val="24"/>
        </w:rPr>
        <w:t>BC tissues</w:t>
      </w:r>
      <w:r>
        <w:rPr>
          <w:rFonts w:hint="eastAsia"/>
          <w:bCs/>
          <w:sz w:val="24"/>
          <w:szCs w:val="24"/>
        </w:rPr>
        <w:t xml:space="preserve"> and 533 </w:t>
      </w:r>
      <w:r>
        <w:rPr>
          <w:bCs/>
          <w:sz w:val="24"/>
          <w:szCs w:val="24"/>
        </w:rPr>
        <w:t>Kidney renal clear cell carcinoma</w:t>
      </w:r>
      <w:r>
        <w:rPr>
          <w:rFonts w:hint="eastAsia"/>
          <w:bCs/>
          <w:sz w:val="24"/>
          <w:szCs w:val="24"/>
        </w:rPr>
        <w:t xml:space="preserve"> (KIRC) tissues, and </w:t>
      </w:r>
      <w:r>
        <w:rPr>
          <w:bCs/>
          <w:sz w:val="24"/>
          <w:szCs w:val="24"/>
        </w:rPr>
        <w:t xml:space="preserve">412 </w:t>
      </w:r>
      <w:r>
        <w:rPr>
          <w:rFonts w:hint="eastAsia"/>
          <w:bCs/>
          <w:sz w:val="24"/>
          <w:szCs w:val="24"/>
        </w:rPr>
        <w:t>U</w:t>
      </w:r>
      <w:r>
        <w:rPr>
          <w:bCs/>
          <w:sz w:val="24"/>
          <w:szCs w:val="24"/>
        </w:rPr>
        <w:t>BC tissues</w:t>
      </w:r>
      <w:r>
        <w:rPr>
          <w:rFonts w:hint="eastAsia"/>
          <w:bCs/>
          <w:sz w:val="24"/>
          <w:szCs w:val="24"/>
        </w:rPr>
        <w:t xml:space="preserve"> and 498 </w:t>
      </w:r>
      <w:r>
        <w:rPr>
          <w:bCs/>
          <w:sz w:val="24"/>
          <w:szCs w:val="24"/>
        </w:rPr>
        <w:t>Prostate carcinoma</w:t>
      </w:r>
      <w:r>
        <w:rPr>
          <w:rFonts w:hint="eastAsia"/>
          <w:bCs/>
          <w:sz w:val="24"/>
          <w:szCs w:val="24"/>
        </w:rPr>
        <w:t xml:space="preserve"> (PRAC) tissues</w:t>
      </w:r>
      <w:r>
        <w:rPr>
          <w:bCs/>
          <w:sz w:val="24"/>
          <w:szCs w:val="24"/>
        </w:rPr>
        <w:t xml:space="preserve"> from TCGA</w:t>
      </w:r>
      <w:r>
        <w:rPr>
          <w:rFonts w:hint="eastAsia"/>
          <w:bCs/>
          <w:sz w:val="24"/>
          <w:szCs w:val="24"/>
        </w:rPr>
        <w:t xml:space="preserve"> or GEO database</w:t>
      </w:r>
      <w:r>
        <w:rPr>
          <w:bCs/>
          <w:sz w:val="24"/>
          <w:szCs w:val="24"/>
        </w:rPr>
        <w:t>(A~D).</w:t>
      </w:r>
    </w:p>
    <w:p w:rsidR="00841124" w:rsidRDefault="00841124">
      <w:pPr>
        <w:autoSpaceDE w:val="0"/>
        <w:autoSpaceDN w:val="0"/>
        <w:adjustRightInd w:val="0"/>
        <w:rPr>
          <w:rFonts w:cs="URWPalladioL-Bold"/>
          <w:b/>
          <w:bCs/>
          <w:kern w:val="0"/>
          <w:sz w:val="24"/>
          <w:szCs w:val="28"/>
        </w:rPr>
      </w:pPr>
      <w:r>
        <w:rPr>
          <w:rFonts w:cs="URWPalladioL-Bold" w:hint="eastAsia"/>
          <w:b/>
          <w:bCs/>
          <w:kern w:val="0"/>
          <w:sz w:val="24"/>
          <w:szCs w:val="28"/>
        </w:rPr>
        <w:t>Figure S</w:t>
      </w:r>
      <w:r w:rsidR="009B0012">
        <w:rPr>
          <w:rFonts w:cs="URWPalladioL-Bold"/>
          <w:b/>
          <w:bCs/>
          <w:kern w:val="0"/>
          <w:sz w:val="24"/>
          <w:szCs w:val="28"/>
        </w:rPr>
        <w:t>2</w:t>
      </w:r>
      <w:r>
        <w:rPr>
          <w:rFonts w:cs="URWPalladioL-Bold"/>
          <w:b/>
          <w:bCs/>
          <w:kern w:val="0"/>
          <w:sz w:val="24"/>
          <w:szCs w:val="28"/>
        </w:rPr>
        <w:t xml:space="preserve">: </w:t>
      </w:r>
      <w:r>
        <w:rPr>
          <w:rFonts w:cs="URWPalladioL-Bold"/>
          <w:bCs/>
          <w:kern w:val="0"/>
          <w:sz w:val="24"/>
          <w:szCs w:val="28"/>
        </w:rPr>
        <w:t>ROC curve of different methylation biomarkers in UBC group.</w:t>
      </w:r>
    </w:p>
    <w:p w:rsidR="00841124" w:rsidRDefault="00841124">
      <w:pPr>
        <w:autoSpaceDE w:val="0"/>
        <w:autoSpaceDN w:val="0"/>
        <w:adjustRightInd w:val="0"/>
        <w:rPr>
          <w:rFonts w:cs="URWPalladioL-Bold"/>
          <w:bCs/>
          <w:kern w:val="0"/>
          <w:sz w:val="24"/>
          <w:szCs w:val="28"/>
        </w:rPr>
      </w:pPr>
      <w:r>
        <w:rPr>
          <w:rFonts w:cs="URWPalladioL-Bold" w:hint="eastAsia"/>
          <w:b/>
          <w:bCs/>
          <w:kern w:val="0"/>
          <w:sz w:val="24"/>
          <w:szCs w:val="28"/>
        </w:rPr>
        <w:t>Figure S</w:t>
      </w:r>
      <w:r w:rsidR="009B0012">
        <w:rPr>
          <w:rFonts w:cs="URWPalladioL-Bold"/>
          <w:b/>
          <w:bCs/>
          <w:kern w:val="0"/>
          <w:sz w:val="24"/>
          <w:szCs w:val="28"/>
        </w:rPr>
        <w:t>3</w:t>
      </w:r>
      <w:r>
        <w:rPr>
          <w:rFonts w:cs="URWPalladioL-Bold"/>
          <w:b/>
          <w:bCs/>
          <w:kern w:val="0"/>
          <w:sz w:val="24"/>
          <w:szCs w:val="28"/>
        </w:rPr>
        <w:t>:</w:t>
      </w:r>
      <w:r w:rsidRPr="00841124">
        <w:rPr>
          <w:rFonts w:cs="URWPalladioL-Bold"/>
          <w:bCs/>
          <w:kern w:val="0"/>
          <w:sz w:val="24"/>
          <w:szCs w:val="28"/>
        </w:rPr>
        <w:t xml:space="preserve"> </w:t>
      </w:r>
      <w:r>
        <w:rPr>
          <w:rFonts w:cs="URWPalladioL-Bold"/>
          <w:bCs/>
          <w:kern w:val="0"/>
          <w:sz w:val="24"/>
          <w:szCs w:val="28"/>
        </w:rPr>
        <w:t>ROC curve of different methylation biomarkers in UTUC group.</w:t>
      </w:r>
    </w:p>
    <w:p w:rsidR="00CE597D" w:rsidRDefault="00841124">
      <w:pPr>
        <w:autoSpaceDE w:val="0"/>
        <w:autoSpaceDN w:val="0"/>
        <w:adjustRightInd w:val="0"/>
        <w:rPr>
          <w:rFonts w:cs="URWPalladioL-Bold"/>
          <w:bCs/>
          <w:kern w:val="0"/>
          <w:sz w:val="24"/>
          <w:szCs w:val="28"/>
        </w:rPr>
      </w:pPr>
      <w:r>
        <w:rPr>
          <w:rFonts w:cs="URWPalladioL-Bold" w:hint="eastAsia"/>
          <w:b/>
          <w:bCs/>
          <w:kern w:val="0"/>
          <w:sz w:val="24"/>
          <w:szCs w:val="28"/>
        </w:rPr>
        <w:t>Figure S</w:t>
      </w:r>
      <w:r w:rsidR="009B0012">
        <w:rPr>
          <w:rFonts w:cs="URWPalladioL-Bold"/>
          <w:b/>
          <w:bCs/>
          <w:kern w:val="0"/>
          <w:sz w:val="24"/>
          <w:szCs w:val="28"/>
        </w:rPr>
        <w:t>4</w:t>
      </w:r>
      <w:bookmarkStart w:id="0" w:name="_GoBack"/>
      <w:bookmarkEnd w:id="0"/>
      <w:r>
        <w:rPr>
          <w:rFonts w:cs="URWPalladioL-Bold"/>
          <w:b/>
          <w:bCs/>
          <w:kern w:val="0"/>
          <w:sz w:val="24"/>
          <w:szCs w:val="28"/>
        </w:rPr>
        <w:t xml:space="preserve">: </w:t>
      </w:r>
      <w:r>
        <w:rPr>
          <w:rFonts w:cs="URWPalladioL-Bold"/>
          <w:bCs/>
          <w:kern w:val="0"/>
          <w:sz w:val="24"/>
          <w:szCs w:val="28"/>
        </w:rPr>
        <w:t xml:space="preserve">Comparison of mutations </w:t>
      </w:r>
      <w:r>
        <w:rPr>
          <w:rFonts w:cs="URWPalladioL-Bold" w:hint="eastAsia"/>
          <w:bCs/>
          <w:kern w:val="0"/>
          <w:sz w:val="24"/>
          <w:szCs w:val="28"/>
        </w:rPr>
        <w:t xml:space="preserve">and methylation </w:t>
      </w:r>
      <w:r>
        <w:rPr>
          <w:rFonts w:cs="URWPalladioL-Bold"/>
          <w:bCs/>
          <w:kern w:val="0"/>
          <w:sz w:val="24"/>
          <w:szCs w:val="28"/>
        </w:rPr>
        <w:t>across different gender and smoking status</w:t>
      </w:r>
      <w:r>
        <w:rPr>
          <w:rFonts w:cs="URWPalladioL-Bold" w:hint="eastAsia"/>
          <w:bCs/>
          <w:kern w:val="0"/>
          <w:sz w:val="24"/>
          <w:szCs w:val="28"/>
        </w:rPr>
        <w:t xml:space="preserve"> sub</w:t>
      </w:r>
      <w:r>
        <w:rPr>
          <w:rFonts w:cs="URWPalladioL-Bold"/>
          <w:bCs/>
          <w:kern w:val="0"/>
          <w:sz w:val="24"/>
          <w:szCs w:val="28"/>
        </w:rPr>
        <w:t>groups pro</w:t>
      </w:r>
      <w:r>
        <w:rPr>
          <w:rFonts w:cs="URWPalladioL-Bold" w:hint="eastAsia"/>
          <w:bCs/>
          <w:kern w:val="0"/>
          <w:sz w:val="24"/>
          <w:szCs w:val="28"/>
        </w:rPr>
        <w:t>fi</w:t>
      </w:r>
      <w:r>
        <w:rPr>
          <w:rFonts w:cs="URWPalladioL-Bold"/>
          <w:bCs/>
          <w:kern w:val="0"/>
          <w:sz w:val="24"/>
          <w:szCs w:val="28"/>
        </w:rPr>
        <w:t>led in th</w:t>
      </w:r>
      <w:r>
        <w:rPr>
          <w:rFonts w:cs="URWPalladioL-Bold" w:hint="eastAsia"/>
          <w:bCs/>
          <w:kern w:val="0"/>
          <w:sz w:val="24"/>
          <w:szCs w:val="28"/>
        </w:rPr>
        <w:t>e</w:t>
      </w:r>
      <w:r>
        <w:rPr>
          <w:rFonts w:cs="URWPalladioL-Bold"/>
          <w:bCs/>
          <w:kern w:val="0"/>
          <w:sz w:val="24"/>
          <w:szCs w:val="28"/>
        </w:rPr>
        <w:t xml:space="preserve"> study</w:t>
      </w:r>
      <w:r>
        <w:rPr>
          <w:rFonts w:cs="URWPalladioL-Bold" w:hint="eastAsia"/>
          <w:bCs/>
          <w:kern w:val="0"/>
          <w:sz w:val="24"/>
          <w:szCs w:val="28"/>
        </w:rPr>
        <w:t xml:space="preserve"> (</w:t>
      </w:r>
      <w:r>
        <w:rPr>
          <w:rFonts w:cs="URWPalladioL-Bold"/>
          <w:bCs/>
          <w:kern w:val="0"/>
          <w:sz w:val="24"/>
          <w:szCs w:val="28"/>
        </w:rPr>
        <w:t>A</w:t>
      </w:r>
      <w:r>
        <w:rPr>
          <w:rFonts w:cs="URWPalladioL-Bold" w:hint="eastAsia"/>
          <w:bCs/>
          <w:kern w:val="0"/>
          <w:sz w:val="24"/>
          <w:szCs w:val="28"/>
        </w:rPr>
        <w:t>~</w:t>
      </w:r>
      <w:r>
        <w:rPr>
          <w:rFonts w:cs="URWPalladioL-Bold"/>
          <w:bCs/>
          <w:kern w:val="0"/>
          <w:sz w:val="24"/>
          <w:szCs w:val="28"/>
        </w:rPr>
        <w:t>F</w:t>
      </w:r>
      <w:r>
        <w:rPr>
          <w:rFonts w:cs="URWPalladioL-Bold" w:hint="eastAsia"/>
          <w:bCs/>
          <w:kern w:val="0"/>
          <w:sz w:val="24"/>
          <w:szCs w:val="28"/>
        </w:rPr>
        <w:t>)</w:t>
      </w:r>
      <w:r>
        <w:rPr>
          <w:rFonts w:cs="URWPalladioL-Bold"/>
          <w:bCs/>
          <w:kern w:val="0"/>
          <w:sz w:val="24"/>
          <w:szCs w:val="28"/>
        </w:rPr>
        <w:t>.</w:t>
      </w:r>
    </w:p>
    <w:p w:rsidR="00CE597D" w:rsidRDefault="00CE597D"/>
    <w:sectPr w:rsidR="00CE5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2A19" w:rsidRDefault="00732A19" w:rsidP="00841124">
      <w:r>
        <w:separator/>
      </w:r>
    </w:p>
  </w:endnote>
  <w:endnote w:type="continuationSeparator" w:id="0">
    <w:p w:rsidR="00732A19" w:rsidRDefault="00732A19" w:rsidP="00841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URWPalladioL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2A19" w:rsidRDefault="00732A19" w:rsidP="00841124">
      <w:r>
        <w:separator/>
      </w:r>
    </w:p>
  </w:footnote>
  <w:footnote w:type="continuationSeparator" w:id="0">
    <w:p w:rsidR="00732A19" w:rsidRDefault="00732A19" w:rsidP="00841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597D"/>
    <w:rsid w:val="00732A19"/>
    <w:rsid w:val="00841124"/>
    <w:rsid w:val="009B0012"/>
    <w:rsid w:val="00CE597D"/>
    <w:rsid w:val="00D137D4"/>
    <w:rsid w:val="277A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1F510A"/>
  <w15:docId w15:val="{D560ADDE-0857-477A-8057-308774427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411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411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841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411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Administrator.BF-20181024INLV</dc:creator>
  <cp:lastModifiedBy>Micorosoft</cp:lastModifiedBy>
  <cp:revision>3</cp:revision>
  <dcterms:created xsi:type="dcterms:W3CDTF">2021-07-20T12:43:00Z</dcterms:created>
  <dcterms:modified xsi:type="dcterms:W3CDTF">2021-11-14T09:37:00Z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