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D558B3">
      <w:pPr>
        <w:pageBreakBefore/>
        <w:spacing w:before="0" w:after="160" w:line="240" w:lineRule="auto"/>
        <w:jc w:val="left"/>
      </w:pPr>
      <w:r>
        <w:rPr>
          <w:rFonts w:ascii="Times New Roman" w:hAnsi="Times New Roman" w:eastAsia="Times New Roman"/>
          <w:b/>
          <w:i w:val="0"/>
          <w:sz w:val="24"/>
        </w:rPr>
        <w:t>Supplementary Tables</w:t>
      </w:r>
    </w:p>
    <w:p w14:paraId="65FA49EF">
      <w:pPr>
        <w:pageBreakBefore w:val="0"/>
        <w:spacing w:before="0" w:after="100" w:line="240" w:lineRule="auto"/>
        <w:jc w:val="left"/>
      </w:pPr>
      <w:r>
        <w:rPr>
          <w:rFonts w:ascii="Times New Roman" w:hAnsi="Times New Roman" w:eastAsia="Times New Roman"/>
          <w:b/>
          <w:i w:val="0"/>
          <w:sz w:val="21"/>
        </w:rPr>
        <w:t>Supplementary Table S1. Collinearity diagnostics for the 17 prespecified candidate predictors</w:t>
      </w:r>
    </w:p>
    <w:tbl>
      <w:tblPr>
        <w:tblStyle w:val="33"/>
        <w:tblW w:w="0" w:type="auto"/>
        <w:jc w:val="center"/>
        <w:tblLayout w:type="fixed"/>
        <w:tblCellMar>
          <w:top w:w="0" w:type="dxa"/>
          <w:left w:w="108" w:type="dxa"/>
          <w:bottom w:w="0" w:type="dxa"/>
          <w:right w:w="108" w:type="dxa"/>
        </w:tblCellMar>
      </w:tblPr>
      <w:tblGrid>
        <w:gridCol w:w="7553"/>
        <w:gridCol w:w="7553"/>
      </w:tblGrid>
      <w:tr w14:paraId="2E8ABF5F">
        <w:tblPrEx>
          <w:tblCellMar>
            <w:top w:w="0" w:type="dxa"/>
            <w:left w:w="108" w:type="dxa"/>
            <w:bottom w:w="0" w:type="dxa"/>
            <w:right w:w="108" w:type="dxa"/>
          </w:tblCellMar>
        </w:tblPrEx>
        <w:trPr>
          <w:tblHeader/>
          <w:jc w:val="center"/>
        </w:trPr>
        <w:tc>
          <w:tcPr>
            <w:tcW w:w="7920"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0A57394D">
            <w:pPr>
              <w:spacing w:before="0" w:after="0" w:line="240" w:lineRule="auto"/>
              <w:jc w:val="center"/>
            </w:pPr>
            <w:r>
              <w:rPr>
                <w:rFonts w:ascii="Times New Roman" w:hAnsi="Times New Roman" w:eastAsia="Times New Roman"/>
                <w:b/>
                <w:i w:val="0"/>
                <w:sz w:val="17"/>
              </w:rPr>
              <w:t>Predictor</w:t>
            </w:r>
          </w:p>
        </w:tc>
        <w:tc>
          <w:tcPr>
            <w:tcW w:w="2016"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7229481F">
            <w:pPr>
              <w:spacing w:before="0" w:after="0" w:line="240" w:lineRule="auto"/>
              <w:jc w:val="center"/>
            </w:pPr>
            <w:r>
              <w:rPr>
                <w:rFonts w:ascii="Times New Roman" w:hAnsi="Times New Roman" w:eastAsia="Times New Roman"/>
                <w:b/>
                <w:i w:val="0"/>
                <w:sz w:val="17"/>
              </w:rPr>
              <w:t>VIF</w:t>
            </w:r>
          </w:p>
        </w:tc>
      </w:tr>
      <w:tr w14:paraId="16486637">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4A9AC369">
            <w:pPr>
              <w:spacing w:before="0" w:after="0" w:line="240" w:lineRule="auto"/>
              <w:jc w:val="left"/>
            </w:pPr>
            <w:r>
              <w:rPr>
                <w:rFonts w:ascii="Times New Roman" w:hAnsi="Times New Roman" w:eastAsia="Times New Roman"/>
                <w:b w:val="0"/>
                <w:i w:val="0"/>
                <w:sz w:val="17"/>
              </w:rPr>
              <w:t>Preop OKS</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2C9CD6D7">
            <w:pPr>
              <w:spacing w:before="0" w:after="0" w:line="240" w:lineRule="auto"/>
              <w:jc w:val="center"/>
            </w:pPr>
            <w:r>
              <w:rPr>
                <w:rFonts w:ascii="Times New Roman" w:hAnsi="Times New Roman" w:eastAsia="Times New Roman"/>
                <w:b w:val="0"/>
                <w:i w:val="0"/>
                <w:sz w:val="17"/>
              </w:rPr>
              <w:t>1.128</w:t>
            </w:r>
          </w:p>
        </w:tc>
      </w:tr>
      <w:tr w14:paraId="2842871E">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130C23EC">
            <w:pPr>
              <w:spacing w:before="0" w:after="0" w:line="240" w:lineRule="auto"/>
              <w:jc w:val="left"/>
            </w:pPr>
            <w:r>
              <w:rPr>
                <w:rFonts w:ascii="Times New Roman" w:hAnsi="Times New Roman" w:eastAsia="Times New Roman"/>
                <w:b w:val="0"/>
                <w:i w:val="0"/>
                <w:sz w:val="17"/>
              </w:rPr>
              <w:t>Preop HKA</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112A8698">
            <w:pPr>
              <w:spacing w:before="0" w:after="0" w:line="240" w:lineRule="auto"/>
              <w:jc w:val="center"/>
            </w:pPr>
            <w:r>
              <w:rPr>
                <w:rFonts w:ascii="Times New Roman" w:hAnsi="Times New Roman" w:eastAsia="Times New Roman"/>
                <w:b w:val="0"/>
                <w:i w:val="0"/>
                <w:sz w:val="17"/>
              </w:rPr>
              <w:t>1.108</w:t>
            </w:r>
          </w:p>
        </w:tc>
      </w:tr>
      <w:tr w14:paraId="4D3A7647">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65240545">
            <w:pPr>
              <w:spacing w:before="0" w:after="0" w:line="240" w:lineRule="auto"/>
              <w:jc w:val="left"/>
            </w:pPr>
            <w:r>
              <w:rPr>
                <w:rFonts w:ascii="Times New Roman" w:hAnsi="Times New Roman" w:eastAsia="Times New Roman"/>
                <w:b w:val="0"/>
                <w:i w:val="0"/>
                <w:sz w:val="17"/>
              </w:rPr>
              <w:t>Preop VAS</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31145071">
            <w:pPr>
              <w:spacing w:before="0" w:after="0" w:line="240" w:lineRule="auto"/>
              <w:jc w:val="center"/>
            </w:pPr>
            <w:r>
              <w:rPr>
                <w:rFonts w:ascii="Times New Roman" w:hAnsi="Times New Roman" w:eastAsia="Times New Roman"/>
                <w:b w:val="0"/>
                <w:i w:val="0"/>
                <w:sz w:val="17"/>
              </w:rPr>
              <w:t>1.097</w:t>
            </w:r>
          </w:p>
        </w:tc>
      </w:tr>
      <w:tr w14:paraId="2EA8C779">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123A3A58">
            <w:pPr>
              <w:spacing w:before="0" w:after="0" w:line="240" w:lineRule="auto"/>
              <w:jc w:val="left"/>
            </w:pPr>
            <w:r>
              <w:rPr>
                <w:rFonts w:ascii="Times New Roman" w:hAnsi="Times New Roman" w:eastAsia="Times New Roman"/>
                <w:b w:val="0"/>
                <w:i w:val="0"/>
                <w:sz w:val="17"/>
              </w:rPr>
              <w:t>JLCA</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46B8AA22">
            <w:pPr>
              <w:spacing w:before="0" w:after="0" w:line="240" w:lineRule="auto"/>
              <w:jc w:val="center"/>
            </w:pPr>
            <w:r>
              <w:rPr>
                <w:rFonts w:ascii="Times New Roman" w:hAnsi="Times New Roman" w:eastAsia="Times New Roman"/>
                <w:b w:val="0"/>
                <w:i w:val="0"/>
                <w:sz w:val="17"/>
              </w:rPr>
              <w:t>1.087</w:t>
            </w:r>
          </w:p>
        </w:tc>
      </w:tr>
      <w:tr w14:paraId="4D1A26DA">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3A968AD4">
            <w:pPr>
              <w:spacing w:before="0" w:after="0" w:line="240" w:lineRule="auto"/>
              <w:jc w:val="left"/>
            </w:pPr>
            <w:r>
              <w:rPr>
                <w:rFonts w:ascii="Times New Roman" w:hAnsi="Times New Roman" w:eastAsia="Times New Roman"/>
                <w:b w:val="0"/>
                <w:i w:val="0"/>
                <w:sz w:val="17"/>
              </w:rPr>
              <w:t>Tibial component coronal angle</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0F564188">
            <w:pPr>
              <w:spacing w:before="0" w:after="0" w:line="240" w:lineRule="auto"/>
              <w:jc w:val="center"/>
            </w:pPr>
            <w:r>
              <w:rPr>
                <w:rFonts w:ascii="Times New Roman" w:hAnsi="Times New Roman" w:eastAsia="Times New Roman"/>
                <w:b w:val="0"/>
                <w:i w:val="0"/>
                <w:sz w:val="17"/>
              </w:rPr>
              <w:t>1.076</w:t>
            </w:r>
          </w:p>
        </w:tc>
      </w:tr>
      <w:tr w14:paraId="01A67B7F">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3B0C75E3">
            <w:pPr>
              <w:spacing w:before="0" w:after="0" w:line="240" w:lineRule="auto"/>
              <w:jc w:val="left"/>
            </w:pPr>
            <w:r>
              <w:rPr>
                <w:rFonts w:ascii="Times New Roman" w:hAnsi="Times New Roman" w:eastAsia="Times New Roman"/>
                <w:b w:val="0"/>
                <w:i w:val="0"/>
                <w:sz w:val="17"/>
              </w:rPr>
              <w:t>KL grade</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0B86DF41">
            <w:pPr>
              <w:spacing w:before="0" w:after="0" w:line="240" w:lineRule="auto"/>
              <w:jc w:val="center"/>
            </w:pPr>
            <w:r>
              <w:rPr>
                <w:rFonts w:ascii="Times New Roman" w:hAnsi="Times New Roman" w:eastAsia="Times New Roman"/>
                <w:b w:val="0"/>
                <w:i w:val="0"/>
                <w:sz w:val="17"/>
              </w:rPr>
              <w:t>1.060</w:t>
            </w:r>
          </w:p>
        </w:tc>
      </w:tr>
      <w:tr w14:paraId="73C79392">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44ED3599">
            <w:pPr>
              <w:spacing w:before="0" w:after="0" w:line="240" w:lineRule="auto"/>
              <w:jc w:val="left"/>
            </w:pPr>
            <w:r>
              <w:rPr>
                <w:rFonts w:ascii="Times New Roman" w:hAnsi="Times New Roman" w:eastAsia="Times New Roman"/>
                <w:b w:val="0"/>
                <w:i w:val="0"/>
                <w:sz w:val="17"/>
              </w:rPr>
              <w:t>BMI</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30339D78">
            <w:pPr>
              <w:spacing w:before="0" w:after="0" w:line="240" w:lineRule="auto"/>
              <w:jc w:val="center"/>
            </w:pPr>
            <w:r>
              <w:rPr>
                <w:rFonts w:ascii="Times New Roman" w:hAnsi="Times New Roman" w:eastAsia="Times New Roman"/>
                <w:b w:val="0"/>
                <w:i w:val="0"/>
                <w:sz w:val="17"/>
              </w:rPr>
              <w:t>1.055</w:t>
            </w:r>
          </w:p>
        </w:tc>
      </w:tr>
      <w:tr w14:paraId="76D66C7C">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5FC90265">
            <w:pPr>
              <w:spacing w:before="0" w:after="0" w:line="240" w:lineRule="auto"/>
              <w:jc w:val="left"/>
            </w:pPr>
            <w:r>
              <w:rPr>
                <w:rFonts w:ascii="Times New Roman" w:hAnsi="Times New Roman" w:eastAsia="Times New Roman"/>
                <w:b w:val="0"/>
                <w:i w:val="0"/>
                <w:sz w:val="17"/>
              </w:rPr>
              <w:t>Log symptom duration</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06DC1E32">
            <w:pPr>
              <w:spacing w:before="0" w:after="0" w:line="240" w:lineRule="auto"/>
              <w:jc w:val="center"/>
            </w:pPr>
            <w:r>
              <w:rPr>
                <w:rFonts w:ascii="Times New Roman" w:hAnsi="Times New Roman" w:eastAsia="Times New Roman"/>
                <w:b w:val="0"/>
                <w:i w:val="0"/>
                <w:sz w:val="17"/>
              </w:rPr>
              <w:t>1.048</w:t>
            </w:r>
          </w:p>
        </w:tc>
      </w:tr>
      <w:tr w14:paraId="163C6ED1">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44CF602E">
            <w:pPr>
              <w:spacing w:before="0" w:after="0" w:line="240" w:lineRule="auto"/>
              <w:jc w:val="left"/>
            </w:pPr>
            <w:r>
              <w:rPr>
                <w:rFonts w:ascii="Times New Roman" w:hAnsi="Times New Roman" w:eastAsia="Times New Roman"/>
                <w:b w:val="0"/>
                <w:i w:val="0"/>
                <w:sz w:val="17"/>
              </w:rPr>
              <w:t>Female sex</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5ED5E360">
            <w:pPr>
              <w:spacing w:before="0" w:after="0" w:line="240" w:lineRule="auto"/>
              <w:jc w:val="center"/>
            </w:pPr>
            <w:r>
              <w:rPr>
                <w:rFonts w:ascii="Times New Roman" w:hAnsi="Times New Roman" w:eastAsia="Times New Roman"/>
                <w:b w:val="0"/>
                <w:i w:val="0"/>
                <w:sz w:val="17"/>
              </w:rPr>
              <w:t>1.042</w:t>
            </w:r>
          </w:p>
        </w:tc>
      </w:tr>
      <w:tr w14:paraId="6EDC9706">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46D46495">
            <w:pPr>
              <w:spacing w:before="0" w:after="0" w:line="240" w:lineRule="auto"/>
              <w:jc w:val="left"/>
            </w:pPr>
            <w:r>
              <w:rPr>
                <w:rFonts w:ascii="Times New Roman" w:hAnsi="Times New Roman" w:eastAsia="Times New Roman"/>
                <w:b w:val="0"/>
                <w:i w:val="0"/>
                <w:sz w:val="17"/>
              </w:rPr>
              <w:t>PF OA grade</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6AF3211A">
            <w:pPr>
              <w:spacing w:before="0" w:after="0" w:line="240" w:lineRule="auto"/>
              <w:jc w:val="center"/>
            </w:pPr>
            <w:r>
              <w:rPr>
                <w:rFonts w:ascii="Times New Roman" w:hAnsi="Times New Roman" w:eastAsia="Times New Roman"/>
                <w:b w:val="0"/>
                <w:i w:val="0"/>
                <w:sz w:val="17"/>
              </w:rPr>
              <w:t>1.036</w:t>
            </w:r>
          </w:p>
        </w:tc>
      </w:tr>
      <w:tr w14:paraId="28B984D2">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248BB866">
            <w:pPr>
              <w:spacing w:before="0" w:after="0" w:line="240" w:lineRule="auto"/>
              <w:jc w:val="left"/>
            </w:pPr>
            <w:r>
              <w:rPr>
                <w:rFonts w:ascii="Times New Roman" w:hAnsi="Times New Roman" w:eastAsia="Times New Roman"/>
                <w:b w:val="0"/>
                <w:i w:val="0"/>
                <w:sz w:val="17"/>
              </w:rPr>
              <w:t>Preop ROM</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15A2AA21">
            <w:pPr>
              <w:spacing w:before="0" w:after="0" w:line="240" w:lineRule="auto"/>
              <w:jc w:val="center"/>
            </w:pPr>
            <w:r>
              <w:rPr>
                <w:rFonts w:ascii="Times New Roman" w:hAnsi="Times New Roman" w:eastAsia="Times New Roman"/>
                <w:b w:val="0"/>
                <w:i w:val="0"/>
                <w:sz w:val="17"/>
              </w:rPr>
              <w:t>1.036</w:t>
            </w:r>
          </w:p>
        </w:tc>
      </w:tr>
      <w:tr w14:paraId="6DDC7DD0">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32769820">
            <w:pPr>
              <w:spacing w:before="0" w:after="0" w:line="240" w:lineRule="auto"/>
              <w:jc w:val="left"/>
            </w:pPr>
            <w:r>
              <w:rPr>
                <w:rFonts w:ascii="Times New Roman" w:hAnsi="Times New Roman" w:eastAsia="Times New Roman"/>
                <w:b w:val="0"/>
                <w:i w:val="0"/>
                <w:sz w:val="17"/>
              </w:rPr>
              <w:t>Tibial overhang</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495972D4">
            <w:pPr>
              <w:spacing w:before="0" w:after="0" w:line="240" w:lineRule="auto"/>
              <w:jc w:val="center"/>
            </w:pPr>
            <w:r>
              <w:rPr>
                <w:rFonts w:ascii="Times New Roman" w:hAnsi="Times New Roman" w:eastAsia="Times New Roman"/>
                <w:b w:val="0"/>
                <w:i w:val="0"/>
                <w:sz w:val="17"/>
              </w:rPr>
              <w:t>1.031</w:t>
            </w:r>
          </w:p>
        </w:tc>
      </w:tr>
      <w:tr w14:paraId="6829AAC9">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793BE171">
            <w:pPr>
              <w:spacing w:before="0" w:after="0" w:line="240" w:lineRule="auto"/>
              <w:jc w:val="left"/>
            </w:pPr>
            <w:r>
              <w:rPr>
                <w:rFonts w:ascii="Times New Roman" w:hAnsi="Times New Roman" w:eastAsia="Times New Roman"/>
                <w:b w:val="0"/>
                <w:i w:val="0"/>
                <w:sz w:val="17"/>
              </w:rPr>
              <w:t>Joint-line change</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2C3D32EF">
            <w:pPr>
              <w:spacing w:before="0" w:after="0" w:line="240" w:lineRule="auto"/>
              <w:jc w:val="center"/>
            </w:pPr>
            <w:r>
              <w:rPr>
                <w:rFonts w:ascii="Times New Roman" w:hAnsi="Times New Roman" w:eastAsia="Times New Roman"/>
                <w:b w:val="0"/>
                <w:i w:val="0"/>
                <w:sz w:val="17"/>
              </w:rPr>
              <w:t>1.029</w:t>
            </w:r>
          </w:p>
        </w:tc>
      </w:tr>
      <w:tr w14:paraId="54C77670">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34ADE2F6">
            <w:pPr>
              <w:spacing w:before="0" w:after="0" w:line="240" w:lineRule="auto"/>
              <w:jc w:val="left"/>
            </w:pPr>
            <w:r>
              <w:rPr>
                <w:rFonts w:ascii="Times New Roman" w:hAnsi="Times New Roman" w:eastAsia="Times New Roman"/>
                <w:b w:val="0"/>
                <w:i w:val="0"/>
                <w:sz w:val="17"/>
              </w:rPr>
              <w:t>Abs Delta PTS</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7FD1DEFD">
            <w:pPr>
              <w:spacing w:before="0" w:after="0" w:line="240" w:lineRule="auto"/>
              <w:jc w:val="center"/>
            </w:pPr>
            <w:r>
              <w:rPr>
                <w:rFonts w:ascii="Times New Roman" w:hAnsi="Times New Roman" w:eastAsia="Times New Roman"/>
                <w:b w:val="0"/>
                <w:i w:val="0"/>
                <w:sz w:val="17"/>
              </w:rPr>
              <w:t>1.026</w:t>
            </w:r>
          </w:p>
        </w:tc>
      </w:tr>
      <w:tr w14:paraId="00FC066E">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5044D7C7">
            <w:pPr>
              <w:spacing w:before="0" w:after="0" w:line="240" w:lineRule="auto"/>
              <w:jc w:val="left"/>
            </w:pPr>
            <w:r>
              <w:rPr>
                <w:rFonts w:ascii="Times New Roman" w:hAnsi="Times New Roman" w:eastAsia="Times New Roman"/>
                <w:b w:val="0"/>
                <w:i w:val="0"/>
                <w:sz w:val="17"/>
              </w:rPr>
              <w:t>Preop PTS</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33EAECC2">
            <w:pPr>
              <w:spacing w:before="0" w:after="0" w:line="240" w:lineRule="auto"/>
              <w:jc w:val="center"/>
            </w:pPr>
            <w:r>
              <w:rPr>
                <w:rFonts w:ascii="Times New Roman" w:hAnsi="Times New Roman" w:eastAsia="Times New Roman"/>
                <w:b w:val="0"/>
                <w:i w:val="0"/>
                <w:sz w:val="17"/>
              </w:rPr>
              <w:t>1.025</w:t>
            </w:r>
          </w:p>
        </w:tc>
      </w:tr>
      <w:tr w14:paraId="15B1FF7E">
        <w:tblPrEx>
          <w:tblCellMar>
            <w:top w:w="0" w:type="dxa"/>
            <w:left w:w="108" w:type="dxa"/>
            <w:bottom w:w="0" w:type="dxa"/>
            <w:right w:w="108" w:type="dxa"/>
          </w:tblCellMar>
        </w:tblPrEx>
        <w:trPr>
          <w:jc w:val="center"/>
        </w:trPr>
        <w:tc>
          <w:tcPr>
            <w:tcW w:w="7920" w:type="dxa"/>
            <w:tcBorders>
              <w:top w:val="nil"/>
              <w:left w:val="nil"/>
              <w:bottom w:val="nil"/>
              <w:right w:val="nil"/>
              <w:insideH w:val="nil"/>
              <w:insideV w:val="nil"/>
            </w:tcBorders>
            <w:tcMar>
              <w:top w:w="40" w:type="dxa"/>
              <w:left w:w="55" w:type="dxa"/>
              <w:bottom w:w="40" w:type="dxa"/>
              <w:right w:w="55" w:type="dxa"/>
            </w:tcMar>
            <w:vAlign w:val="center"/>
          </w:tcPr>
          <w:p w14:paraId="23B7DC64">
            <w:pPr>
              <w:spacing w:before="0" w:after="0" w:line="240" w:lineRule="auto"/>
              <w:jc w:val="left"/>
            </w:pPr>
            <w:r>
              <w:rPr>
                <w:rFonts w:ascii="Times New Roman" w:hAnsi="Times New Roman" w:eastAsia="Times New Roman"/>
                <w:b w:val="0"/>
                <w:i w:val="0"/>
                <w:sz w:val="17"/>
              </w:rPr>
              <w:t>Alignment restoration error</w:t>
            </w:r>
          </w:p>
        </w:tc>
        <w:tc>
          <w:tcPr>
            <w:tcW w:w="2016" w:type="dxa"/>
            <w:tcBorders>
              <w:top w:val="nil"/>
              <w:left w:val="nil"/>
              <w:bottom w:val="nil"/>
              <w:right w:val="nil"/>
              <w:insideH w:val="nil"/>
              <w:insideV w:val="nil"/>
            </w:tcBorders>
            <w:tcMar>
              <w:top w:w="40" w:type="dxa"/>
              <w:left w:w="55" w:type="dxa"/>
              <w:bottom w:w="40" w:type="dxa"/>
              <w:right w:w="55" w:type="dxa"/>
            </w:tcMar>
            <w:vAlign w:val="center"/>
          </w:tcPr>
          <w:p w14:paraId="495C91A1">
            <w:pPr>
              <w:spacing w:before="0" w:after="0" w:line="240" w:lineRule="auto"/>
              <w:jc w:val="center"/>
            </w:pPr>
            <w:r>
              <w:rPr>
                <w:rFonts w:ascii="Times New Roman" w:hAnsi="Times New Roman" w:eastAsia="Times New Roman"/>
                <w:b w:val="0"/>
                <w:i w:val="0"/>
                <w:sz w:val="17"/>
              </w:rPr>
              <w:t>1.023</w:t>
            </w:r>
          </w:p>
        </w:tc>
      </w:tr>
      <w:tr w14:paraId="317CCFA0">
        <w:tblPrEx>
          <w:tblCellMar>
            <w:top w:w="0" w:type="dxa"/>
            <w:left w:w="108" w:type="dxa"/>
            <w:bottom w:w="0" w:type="dxa"/>
            <w:right w:w="108" w:type="dxa"/>
          </w:tblCellMar>
        </w:tblPrEx>
        <w:trPr>
          <w:jc w:val="center"/>
        </w:trPr>
        <w:tc>
          <w:tcPr>
            <w:tcW w:w="7920"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54A87C7B">
            <w:pPr>
              <w:spacing w:before="0" w:after="0" w:line="240" w:lineRule="auto"/>
              <w:jc w:val="left"/>
            </w:pPr>
            <w:r>
              <w:rPr>
                <w:rFonts w:ascii="Times New Roman" w:hAnsi="Times New Roman" w:eastAsia="Times New Roman"/>
                <w:b w:val="0"/>
                <w:i w:val="0"/>
                <w:sz w:val="17"/>
              </w:rPr>
              <w:t>Age</w:t>
            </w:r>
          </w:p>
        </w:tc>
        <w:tc>
          <w:tcPr>
            <w:tcW w:w="2016"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01D23237">
            <w:pPr>
              <w:spacing w:before="0" w:after="0" w:line="240" w:lineRule="auto"/>
              <w:jc w:val="center"/>
            </w:pPr>
            <w:r>
              <w:rPr>
                <w:rFonts w:ascii="Times New Roman" w:hAnsi="Times New Roman" w:eastAsia="Times New Roman"/>
                <w:b w:val="0"/>
                <w:i w:val="0"/>
                <w:sz w:val="17"/>
              </w:rPr>
              <w:t>1.021</w:t>
            </w:r>
          </w:p>
        </w:tc>
      </w:tr>
    </w:tbl>
    <w:p w14:paraId="4CC89925">
      <w:pPr>
        <w:spacing w:before="60" w:after="0" w:line="240" w:lineRule="auto"/>
        <w:jc w:val="left"/>
        <w:rPr>
          <w:rFonts w:ascii="Times New Roman" w:hAnsi="Times New Roman" w:eastAsia="Times New Roman"/>
          <w:b w:val="0"/>
          <w:i w:val="0"/>
          <w:sz w:val="16"/>
        </w:rPr>
      </w:pPr>
      <w:r>
        <w:rPr>
          <w:rFonts w:ascii="Times New Roman" w:hAnsi="Times New Roman" w:eastAsia="Times New Roman"/>
          <w:b w:val="0"/>
          <w:i w:val="0"/>
          <w:sz w:val="16"/>
        </w:rPr>
        <w:t>Variance inflation factors were calculated for the prespecified primary candidate predictor set. All VIF values were &lt;1.13, and no pair of primary candidate predictors had an absolute Spearman correlation coefficient ≥0.70. Algebraically or structurally coupled alignment representations, including MPTA, LDFA, aHKA, estimated prearthritic HKA, JLO, postoperative HKA, and ΔHKA, were intentionally excluded from simultaneous entry into the primary model when alignment restoration error was used. VIF, variance inflation factor; HKA, hip-knee-ankle angle; MPTA, medial proximal tibial angle; LDFA, lateral distal femoral angle; aHKA, arithmetic HKA; JLO, joint-line obliquity.</w:t>
      </w:r>
    </w:p>
    <w:p w14:paraId="00BED852">
      <w:pPr>
        <w:pageBreakBefore/>
        <w:spacing w:before="0" w:after="100" w:line="240" w:lineRule="auto"/>
        <w:jc w:val="left"/>
      </w:pPr>
      <w:r>
        <w:rPr>
          <w:rFonts w:ascii="Times New Roman" w:hAnsi="Times New Roman" w:eastAsia="Times New Roman"/>
          <w:b/>
          <w:i w:val="0"/>
          <w:sz w:val="21"/>
        </w:rPr>
        <w:t>Supplementary Table S2. LASSO selection and bootstrap stability of the prespecified candidate predictors</w:t>
      </w:r>
    </w:p>
    <w:tbl>
      <w:tblPr>
        <w:tblStyle w:val="33"/>
        <w:tblW w:w="0" w:type="auto"/>
        <w:jc w:val="center"/>
        <w:tblLayout w:type="fixed"/>
        <w:tblCellMar>
          <w:top w:w="0" w:type="dxa"/>
          <w:left w:w="108" w:type="dxa"/>
          <w:bottom w:w="0" w:type="dxa"/>
          <w:right w:w="108" w:type="dxa"/>
        </w:tblCellMar>
      </w:tblPr>
      <w:tblGrid>
        <w:gridCol w:w="2518"/>
        <w:gridCol w:w="2518"/>
        <w:gridCol w:w="2518"/>
        <w:gridCol w:w="2518"/>
        <w:gridCol w:w="2518"/>
        <w:gridCol w:w="2518"/>
      </w:tblGrid>
      <w:tr w14:paraId="33DD0EAB">
        <w:tblPrEx>
          <w:tblCellMar>
            <w:top w:w="0" w:type="dxa"/>
            <w:left w:w="108" w:type="dxa"/>
            <w:bottom w:w="0" w:type="dxa"/>
            <w:right w:w="108" w:type="dxa"/>
          </w:tblCellMar>
        </w:tblPrEx>
        <w:trPr>
          <w:tblHeader/>
          <w:jc w:val="center"/>
        </w:trPr>
        <w:tc>
          <w:tcPr>
            <w:tcW w:w="3744"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11C7D79E">
            <w:pPr>
              <w:spacing w:before="0" w:after="0" w:line="240" w:lineRule="auto"/>
              <w:jc w:val="center"/>
            </w:pPr>
            <w:r>
              <w:rPr>
                <w:rFonts w:ascii="Times New Roman" w:hAnsi="Times New Roman" w:eastAsia="Times New Roman"/>
                <w:b/>
                <w:i w:val="0"/>
                <w:sz w:val="15"/>
              </w:rPr>
              <w:t>Predictor</w:t>
            </w:r>
          </w:p>
        </w:tc>
        <w:tc>
          <w:tcPr>
            <w:tcW w:w="1512"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318F070D">
            <w:pPr>
              <w:spacing w:before="0" w:after="0" w:line="240" w:lineRule="auto"/>
              <w:jc w:val="center"/>
            </w:pPr>
            <w:r>
              <w:rPr>
                <w:rFonts w:ascii="Times New Roman" w:hAnsi="Times New Roman" w:eastAsia="Times New Roman"/>
                <w:b/>
                <w:i w:val="0"/>
                <w:sz w:val="15"/>
              </w:rPr>
              <w:t>Selected at λ1-SE</w:t>
            </w:r>
          </w:p>
        </w:tc>
        <w:tc>
          <w:tcPr>
            <w:tcW w:w="1584"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2FDD75FD">
            <w:pPr>
              <w:spacing w:before="0" w:after="0" w:line="240" w:lineRule="auto"/>
              <w:jc w:val="center"/>
            </w:pPr>
            <w:r>
              <w:rPr>
                <w:rFonts w:ascii="Times New Roman" w:hAnsi="Times New Roman" w:eastAsia="Times New Roman"/>
                <w:b/>
                <w:i w:val="0"/>
                <w:sz w:val="15"/>
              </w:rPr>
              <w:t>λ1-SE coefficient</w:t>
            </w:r>
          </w:p>
        </w:tc>
        <w:tc>
          <w:tcPr>
            <w:tcW w:w="2232"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1FE33F8C">
            <w:pPr>
              <w:spacing w:before="0" w:after="0" w:line="240" w:lineRule="auto"/>
              <w:jc w:val="center"/>
            </w:pPr>
            <w:r>
              <w:rPr>
                <w:rFonts w:ascii="Times New Roman" w:hAnsi="Times New Roman" w:eastAsia="Times New Roman"/>
                <w:b/>
                <w:i w:val="0"/>
                <w:sz w:val="15"/>
              </w:rPr>
              <w:t>Bootstrap selection frequency</w:t>
            </w:r>
          </w:p>
        </w:tc>
        <w:tc>
          <w:tcPr>
            <w:tcW w:w="1944"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04C11068">
            <w:pPr>
              <w:spacing w:before="0" w:after="0" w:line="240" w:lineRule="auto"/>
              <w:jc w:val="center"/>
            </w:pPr>
            <w:r>
              <w:rPr>
                <w:rFonts w:ascii="Times New Roman" w:hAnsi="Times New Roman" w:eastAsia="Times New Roman"/>
                <w:b/>
                <w:i w:val="0"/>
                <w:sz w:val="15"/>
              </w:rPr>
              <w:t>Mean bootstrap coefficient</w:t>
            </w:r>
          </w:p>
        </w:tc>
        <w:tc>
          <w:tcPr>
            <w:tcW w:w="1944"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00F6CFB6">
            <w:pPr>
              <w:spacing w:before="0" w:after="0" w:line="240" w:lineRule="auto"/>
              <w:jc w:val="center"/>
            </w:pPr>
            <w:r>
              <w:rPr>
                <w:rFonts w:ascii="Times New Roman" w:hAnsi="Times New Roman" w:eastAsia="Times New Roman"/>
                <w:b/>
                <w:i w:val="0"/>
                <w:sz w:val="15"/>
              </w:rPr>
              <w:t>Stability</w:t>
            </w:r>
          </w:p>
        </w:tc>
      </w:tr>
      <w:tr w14:paraId="12B24A19">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75195EAE">
            <w:pPr>
              <w:spacing w:before="0" w:after="0" w:line="240" w:lineRule="auto"/>
              <w:jc w:val="left"/>
            </w:pPr>
            <w:r>
              <w:rPr>
                <w:rFonts w:ascii="Times New Roman" w:hAnsi="Times New Roman" w:eastAsia="Times New Roman"/>
                <w:b w:val="0"/>
                <w:i w:val="0"/>
                <w:sz w:val="15"/>
              </w:rPr>
              <w:t>Alignment restoration error</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6147B4E7">
            <w:pPr>
              <w:spacing w:before="0" w:after="0" w:line="240" w:lineRule="auto"/>
              <w:jc w:val="center"/>
            </w:pPr>
            <w:r>
              <w:rPr>
                <w:rFonts w:ascii="Times New Roman" w:hAnsi="Times New Roman" w:eastAsia="Times New Roman"/>
                <w:b w:val="0"/>
                <w:i w:val="0"/>
                <w:sz w:val="15"/>
              </w:rPr>
              <w:t>Yes</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7FB4CF5F">
            <w:pPr>
              <w:spacing w:before="0" w:after="0" w:line="240" w:lineRule="auto"/>
              <w:jc w:val="center"/>
            </w:pPr>
            <w:r>
              <w:rPr>
                <w:rFonts w:ascii="Times New Roman" w:hAnsi="Times New Roman" w:eastAsia="Times New Roman"/>
                <w:b w:val="0"/>
                <w:i w:val="0"/>
                <w:sz w:val="15"/>
              </w:rPr>
              <w:t>-0.409</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485AD466">
            <w:pPr>
              <w:spacing w:before="0" w:after="0" w:line="240" w:lineRule="auto"/>
              <w:jc w:val="center"/>
            </w:pPr>
            <w:r>
              <w:rPr>
                <w:rFonts w:ascii="Times New Roman" w:hAnsi="Times New Roman" w:eastAsia="Times New Roman"/>
                <w:b w:val="0"/>
                <w:i w:val="0"/>
                <w:sz w:val="15"/>
              </w:rPr>
              <w:t>100.0%</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7298C257">
            <w:pPr>
              <w:spacing w:before="0" w:after="0" w:line="240" w:lineRule="auto"/>
              <w:jc w:val="center"/>
            </w:pPr>
            <w:r>
              <w:rPr>
                <w:rFonts w:ascii="Times New Roman" w:hAnsi="Times New Roman" w:eastAsia="Times New Roman"/>
                <w:b w:val="0"/>
                <w:i w:val="0"/>
                <w:sz w:val="15"/>
              </w:rPr>
              <w:t>-0.410</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0F0D493D">
            <w:pPr>
              <w:spacing w:before="0" w:after="0" w:line="240" w:lineRule="auto"/>
              <w:jc w:val="center"/>
            </w:pPr>
            <w:r>
              <w:rPr>
                <w:rFonts w:ascii="Times New Roman" w:hAnsi="Times New Roman" w:eastAsia="Times New Roman"/>
                <w:b w:val="0"/>
                <w:i w:val="0"/>
                <w:sz w:val="15"/>
              </w:rPr>
              <w:t>Highly stable</w:t>
            </w:r>
          </w:p>
        </w:tc>
      </w:tr>
      <w:tr w14:paraId="4EFEFD46">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410F5C5A">
            <w:pPr>
              <w:spacing w:before="0" w:after="0" w:line="240" w:lineRule="auto"/>
              <w:jc w:val="left"/>
            </w:pPr>
            <w:r>
              <w:rPr>
                <w:rFonts w:ascii="Times New Roman" w:hAnsi="Times New Roman" w:eastAsia="Times New Roman"/>
                <w:b w:val="0"/>
                <w:i w:val="0"/>
                <w:sz w:val="15"/>
              </w:rPr>
              <w:t>Preop OKS</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41DAA0AE">
            <w:pPr>
              <w:spacing w:before="0" w:after="0" w:line="240" w:lineRule="auto"/>
              <w:jc w:val="center"/>
            </w:pPr>
            <w:r>
              <w:rPr>
                <w:rFonts w:ascii="Times New Roman" w:hAnsi="Times New Roman" w:eastAsia="Times New Roman"/>
                <w:b w:val="0"/>
                <w:i w:val="0"/>
                <w:sz w:val="15"/>
              </w:rPr>
              <w:t>Yes</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2A76DCDF">
            <w:pPr>
              <w:spacing w:before="0" w:after="0" w:line="240" w:lineRule="auto"/>
              <w:jc w:val="center"/>
            </w:pPr>
            <w:r>
              <w:rPr>
                <w:rFonts w:ascii="Times New Roman" w:hAnsi="Times New Roman" w:eastAsia="Times New Roman"/>
                <w:b w:val="0"/>
                <w:i w:val="0"/>
                <w:sz w:val="15"/>
              </w:rPr>
              <w:t>0.266</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0463A7C5">
            <w:pPr>
              <w:spacing w:before="0" w:after="0" w:line="240" w:lineRule="auto"/>
              <w:jc w:val="center"/>
            </w:pPr>
            <w:r>
              <w:rPr>
                <w:rFonts w:ascii="Times New Roman" w:hAnsi="Times New Roman" w:eastAsia="Times New Roman"/>
                <w:b w:val="0"/>
                <w:i w:val="0"/>
                <w:sz w:val="15"/>
              </w:rPr>
              <w:t>99.5%</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6CC1DF19">
            <w:pPr>
              <w:spacing w:before="0" w:after="0" w:line="240" w:lineRule="auto"/>
              <w:jc w:val="center"/>
            </w:pPr>
            <w:r>
              <w:rPr>
                <w:rFonts w:ascii="Times New Roman" w:hAnsi="Times New Roman" w:eastAsia="Times New Roman"/>
                <w:b w:val="0"/>
                <w:i w:val="0"/>
                <w:sz w:val="15"/>
              </w:rPr>
              <w:t>0.265</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78D5F060">
            <w:pPr>
              <w:spacing w:before="0" w:after="0" w:line="240" w:lineRule="auto"/>
              <w:jc w:val="center"/>
            </w:pPr>
            <w:r>
              <w:rPr>
                <w:rFonts w:ascii="Times New Roman" w:hAnsi="Times New Roman" w:eastAsia="Times New Roman"/>
                <w:b w:val="0"/>
                <w:i w:val="0"/>
                <w:sz w:val="15"/>
              </w:rPr>
              <w:t>Highly stable</w:t>
            </w:r>
          </w:p>
        </w:tc>
      </w:tr>
      <w:tr w14:paraId="5D1F2472">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5B109E21">
            <w:pPr>
              <w:spacing w:before="0" w:after="0" w:line="240" w:lineRule="auto"/>
              <w:jc w:val="left"/>
            </w:pPr>
            <w:r>
              <w:rPr>
                <w:rFonts w:ascii="Times New Roman" w:hAnsi="Times New Roman" w:eastAsia="Times New Roman"/>
                <w:b w:val="0"/>
                <w:i w:val="0"/>
                <w:sz w:val="15"/>
              </w:rPr>
              <w:t>BMI</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63EA9F01">
            <w:pPr>
              <w:spacing w:before="0" w:after="0" w:line="240" w:lineRule="auto"/>
              <w:jc w:val="center"/>
            </w:pPr>
            <w:r>
              <w:rPr>
                <w:rFonts w:ascii="Times New Roman" w:hAnsi="Times New Roman" w:eastAsia="Times New Roman"/>
                <w:b w:val="0"/>
                <w:i w:val="0"/>
                <w:sz w:val="15"/>
              </w:rPr>
              <w:t>Yes</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5C2196A6">
            <w:pPr>
              <w:spacing w:before="0" w:after="0" w:line="240" w:lineRule="auto"/>
              <w:jc w:val="center"/>
            </w:pPr>
            <w:r>
              <w:rPr>
                <w:rFonts w:ascii="Times New Roman" w:hAnsi="Times New Roman" w:eastAsia="Times New Roman"/>
                <w:b w:val="0"/>
                <w:i w:val="0"/>
                <w:sz w:val="15"/>
              </w:rPr>
              <w:t>-0.199</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32811AC0">
            <w:pPr>
              <w:spacing w:before="0" w:after="0" w:line="240" w:lineRule="auto"/>
              <w:jc w:val="center"/>
            </w:pPr>
            <w:r>
              <w:rPr>
                <w:rFonts w:ascii="Times New Roman" w:hAnsi="Times New Roman" w:eastAsia="Times New Roman"/>
                <w:b w:val="0"/>
                <w:i w:val="0"/>
                <w:sz w:val="15"/>
              </w:rPr>
              <w:t>98.3%</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003102B7">
            <w:pPr>
              <w:spacing w:before="0" w:after="0" w:line="240" w:lineRule="auto"/>
              <w:jc w:val="center"/>
            </w:pPr>
            <w:r>
              <w:rPr>
                <w:rFonts w:ascii="Times New Roman" w:hAnsi="Times New Roman" w:eastAsia="Times New Roman"/>
                <w:b w:val="0"/>
                <w:i w:val="0"/>
                <w:sz w:val="15"/>
              </w:rPr>
              <w:t>-0.201</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1CFE12F9">
            <w:pPr>
              <w:spacing w:before="0" w:after="0" w:line="240" w:lineRule="auto"/>
              <w:jc w:val="center"/>
            </w:pPr>
            <w:r>
              <w:rPr>
                <w:rFonts w:ascii="Times New Roman" w:hAnsi="Times New Roman" w:eastAsia="Times New Roman"/>
                <w:b w:val="0"/>
                <w:i w:val="0"/>
                <w:sz w:val="15"/>
              </w:rPr>
              <w:t>Highly stable</w:t>
            </w:r>
          </w:p>
        </w:tc>
      </w:tr>
      <w:tr w14:paraId="5FE9CDBF">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6E985680">
            <w:pPr>
              <w:spacing w:before="0" w:after="0" w:line="240" w:lineRule="auto"/>
              <w:jc w:val="left"/>
            </w:pPr>
            <w:r>
              <w:rPr>
                <w:rFonts w:ascii="Times New Roman" w:hAnsi="Times New Roman" w:eastAsia="Times New Roman"/>
                <w:b w:val="0"/>
                <w:i w:val="0"/>
                <w:sz w:val="15"/>
              </w:rPr>
              <w:t>JLCA</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26194164">
            <w:pPr>
              <w:spacing w:before="0" w:after="0" w:line="240" w:lineRule="auto"/>
              <w:jc w:val="center"/>
            </w:pPr>
            <w:r>
              <w:rPr>
                <w:rFonts w:ascii="Times New Roman" w:hAnsi="Times New Roman" w:eastAsia="Times New Roman"/>
                <w:b w:val="0"/>
                <w:i w:val="0"/>
                <w:sz w:val="15"/>
              </w:rPr>
              <w:t>Yes</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5BB4B74D">
            <w:pPr>
              <w:spacing w:before="0" w:after="0" w:line="240" w:lineRule="auto"/>
              <w:jc w:val="center"/>
            </w:pPr>
            <w:r>
              <w:rPr>
                <w:rFonts w:ascii="Times New Roman" w:hAnsi="Times New Roman" w:eastAsia="Times New Roman"/>
                <w:b w:val="0"/>
                <w:i w:val="0"/>
                <w:sz w:val="15"/>
              </w:rPr>
              <w:t>-0.200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0190CFAB">
            <w:pPr>
              <w:spacing w:before="0" w:after="0" w:line="240" w:lineRule="auto"/>
              <w:jc w:val="center"/>
            </w:pPr>
            <w:r>
              <w:rPr>
                <w:rFonts w:ascii="Times New Roman" w:hAnsi="Times New Roman" w:eastAsia="Times New Roman"/>
                <w:b w:val="0"/>
                <w:i w:val="0"/>
                <w:sz w:val="15"/>
              </w:rPr>
              <w:t>97.9%</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322FDFA6">
            <w:pPr>
              <w:spacing w:before="0" w:after="0" w:line="240" w:lineRule="auto"/>
              <w:jc w:val="center"/>
            </w:pPr>
            <w:r>
              <w:rPr>
                <w:rFonts w:ascii="Times New Roman" w:hAnsi="Times New Roman" w:eastAsia="Times New Roman"/>
                <w:b w:val="0"/>
                <w:i w:val="0"/>
                <w:sz w:val="15"/>
              </w:rPr>
              <w:t>-0.201</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21CC8771">
            <w:pPr>
              <w:spacing w:before="0" w:after="0" w:line="240" w:lineRule="auto"/>
              <w:jc w:val="center"/>
            </w:pPr>
            <w:r>
              <w:rPr>
                <w:rFonts w:ascii="Times New Roman" w:hAnsi="Times New Roman" w:eastAsia="Times New Roman"/>
                <w:b w:val="0"/>
                <w:i w:val="0"/>
                <w:sz w:val="15"/>
              </w:rPr>
              <w:t>Highly stable</w:t>
            </w:r>
          </w:p>
        </w:tc>
      </w:tr>
      <w:tr w14:paraId="33ED1472">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587C1FCB">
            <w:pPr>
              <w:spacing w:before="0" w:after="0" w:line="240" w:lineRule="auto"/>
              <w:jc w:val="left"/>
            </w:pPr>
            <w:r>
              <w:rPr>
                <w:rFonts w:ascii="Times New Roman" w:hAnsi="Times New Roman" w:eastAsia="Times New Roman"/>
                <w:b w:val="0"/>
                <w:i w:val="0"/>
                <w:sz w:val="15"/>
              </w:rPr>
              <w:t>Abs Delta PTS</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05D56689">
            <w:pPr>
              <w:spacing w:before="0" w:after="0" w:line="240" w:lineRule="auto"/>
              <w:jc w:val="center"/>
            </w:pPr>
            <w:r>
              <w:rPr>
                <w:rFonts w:ascii="Times New Roman" w:hAnsi="Times New Roman" w:eastAsia="Times New Roman"/>
                <w:b w:val="0"/>
                <w:i w:val="0"/>
                <w:sz w:val="15"/>
              </w:rPr>
              <w:t>Yes</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6FAA8814">
            <w:pPr>
              <w:spacing w:before="0" w:after="0" w:line="240" w:lineRule="auto"/>
              <w:jc w:val="center"/>
            </w:pPr>
            <w:r>
              <w:rPr>
                <w:rFonts w:ascii="Times New Roman" w:hAnsi="Times New Roman" w:eastAsia="Times New Roman"/>
                <w:b w:val="0"/>
                <w:i w:val="0"/>
                <w:sz w:val="15"/>
              </w:rPr>
              <w:t>-0.115</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0AA79892">
            <w:pPr>
              <w:spacing w:before="0" w:after="0" w:line="240" w:lineRule="auto"/>
              <w:jc w:val="center"/>
            </w:pPr>
            <w:r>
              <w:rPr>
                <w:rFonts w:ascii="Times New Roman" w:hAnsi="Times New Roman" w:eastAsia="Times New Roman"/>
                <w:b w:val="0"/>
                <w:i w:val="0"/>
                <w:sz w:val="15"/>
              </w:rPr>
              <w:t>91.4%</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129849AC">
            <w:pPr>
              <w:spacing w:before="0" w:after="0" w:line="240" w:lineRule="auto"/>
              <w:jc w:val="center"/>
            </w:pPr>
            <w:r>
              <w:rPr>
                <w:rFonts w:ascii="Times New Roman" w:hAnsi="Times New Roman" w:eastAsia="Times New Roman"/>
                <w:b w:val="0"/>
                <w:i w:val="0"/>
                <w:sz w:val="15"/>
              </w:rPr>
              <w:t>-0.125</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1481B64D">
            <w:pPr>
              <w:spacing w:before="0" w:after="0" w:line="240" w:lineRule="auto"/>
              <w:jc w:val="center"/>
            </w:pPr>
            <w:r>
              <w:rPr>
                <w:rFonts w:ascii="Times New Roman" w:hAnsi="Times New Roman" w:eastAsia="Times New Roman"/>
                <w:b w:val="0"/>
                <w:i w:val="0"/>
                <w:sz w:val="15"/>
              </w:rPr>
              <w:t>Highly stable</w:t>
            </w:r>
          </w:p>
        </w:tc>
      </w:tr>
      <w:tr w14:paraId="2FB9AF51">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35A1CD26">
            <w:pPr>
              <w:spacing w:before="0" w:after="0" w:line="240" w:lineRule="auto"/>
              <w:jc w:val="left"/>
            </w:pPr>
            <w:r>
              <w:rPr>
                <w:rFonts w:ascii="Times New Roman" w:hAnsi="Times New Roman" w:eastAsia="Times New Roman"/>
                <w:b w:val="0"/>
                <w:i w:val="0"/>
                <w:sz w:val="15"/>
              </w:rPr>
              <w:t>Preop ROM</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7624F34F">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5762597B">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5D2CC24C">
            <w:pPr>
              <w:spacing w:before="0" w:after="0" w:line="240" w:lineRule="auto"/>
              <w:jc w:val="center"/>
            </w:pPr>
            <w:r>
              <w:rPr>
                <w:rFonts w:ascii="Times New Roman" w:hAnsi="Times New Roman" w:eastAsia="Times New Roman"/>
                <w:b w:val="0"/>
                <w:i w:val="0"/>
                <w:sz w:val="15"/>
              </w:rPr>
              <w:t>45.0%</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2BEEDA88">
            <w:pPr>
              <w:spacing w:before="0" w:after="0" w:line="240" w:lineRule="auto"/>
              <w:jc w:val="center"/>
            </w:pPr>
            <w:r>
              <w:rPr>
                <w:rFonts w:ascii="Times New Roman" w:hAnsi="Times New Roman" w:eastAsia="Times New Roman"/>
                <w:b w:val="0"/>
                <w:i w:val="0"/>
                <w:sz w:val="15"/>
              </w:rPr>
              <w:t>0.032</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0E6DD0DC">
            <w:pPr>
              <w:spacing w:before="0" w:after="0" w:line="240" w:lineRule="auto"/>
              <w:jc w:val="center"/>
            </w:pPr>
            <w:r>
              <w:rPr>
                <w:rFonts w:ascii="Times New Roman" w:hAnsi="Times New Roman" w:eastAsia="Times New Roman"/>
                <w:b w:val="0"/>
                <w:i w:val="0"/>
                <w:sz w:val="15"/>
              </w:rPr>
              <w:t>Uncertain</w:t>
            </w:r>
          </w:p>
        </w:tc>
      </w:tr>
      <w:tr w14:paraId="660B5C6F">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74D0A87F">
            <w:pPr>
              <w:spacing w:before="0" w:after="0" w:line="240" w:lineRule="auto"/>
              <w:jc w:val="left"/>
            </w:pPr>
            <w:r>
              <w:rPr>
                <w:rFonts w:ascii="Times New Roman" w:hAnsi="Times New Roman" w:eastAsia="Times New Roman"/>
                <w:b w:val="0"/>
                <w:i w:val="0"/>
                <w:sz w:val="15"/>
              </w:rPr>
              <w:t>PF OA grade</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2EBA6615">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297C8B48">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50D71D2E">
            <w:pPr>
              <w:spacing w:before="0" w:after="0" w:line="240" w:lineRule="auto"/>
              <w:jc w:val="center"/>
            </w:pPr>
            <w:r>
              <w:rPr>
                <w:rFonts w:ascii="Times New Roman" w:hAnsi="Times New Roman" w:eastAsia="Times New Roman"/>
                <w:b w:val="0"/>
                <w:i w:val="0"/>
                <w:sz w:val="15"/>
              </w:rPr>
              <w:t>40.3%</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01FBC625">
            <w:pPr>
              <w:spacing w:before="0" w:after="0" w:line="240" w:lineRule="auto"/>
              <w:jc w:val="center"/>
            </w:pPr>
            <w:r>
              <w:rPr>
                <w:rFonts w:ascii="Times New Roman" w:hAnsi="Times New Roman" w:eastAsia="Times New Roman"/>
                <w:b w:val="0"/>
                <w:i w:val="0"/>
                <w:sz w:val="15"/>
              </w:rPr>
              <w:t>0.026</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5866155F">
            <w:pPr>
              <w:spacing w:before="0" w:after="0" w:line="240" w:lineRule="auto"/>
              <w:jc w:val="center"/>
            </w:pPr>
            <w:r>
              <w:rPr>
                <w:rFonts w:ascii="Times New Roman" w:hAnsi="Times New Roman" w:eastAsia="Times New Roman"/>
                <w:b w:val="0"/>
                <w:i w:val="0"/>
                <w:sz w:val="15"/>
              </w:rPr>
              <w:t>Uncertain</w:t>
            </w:r>
          </w:p>
        </w:tc>
      </w:tr>
      <w:tr w14:paraId="49FFCE27">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223E8B86">
            <w:pPr>
              <w:spacing w:before="0" w:after="0" w:line="240" w:lineRule="auto"/>
              <w:jc w:val="left"/>
            </w:pPr>
            <w:r>
              <w:rPr>
                <w:rFonts w:ascii="Times New Roman" w:hAnsi="Times New Roman" w:eastAsia="Times New Roman"/>
                <w:b w:val="0"/>
                <w:i w:val="0"/>
                <w:sz w:val="15"/>
              </w:rPr>
              <w:t>Joint-line change</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260EC9B8">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25C4BC88">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18AC7EED">
            <w:pPr>
              <w:spacing w:before="0" w:after="0" w:line="240" w:lineRule="auto"/>
              <w:jc w:val="center"/>
            </w:pPr>
            <w:r>
              <w:rPr>
                <w:rFonts w:ascii="Times New Roman" w:hAnsi="Times New Roman" w:eastAsia="Times New Roman"/>
                <w:b w:val="0"/>
                <w:i w:val="0"/>
                <w:sz w:val="15"/>
              </w:rPr>
              <w:t>28.0%</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1F387863">
            <w:pPr>
              <w:spacing w:before="0" w:after="0" w:line="240" w:lineRule="auto"/>
              <w:jc w:val="center"/>
            </w:pPr>
            <w:r>
              <w:rPr>
                <w:rFonts w:ascii="Times New Roman" w:hAnsi="Times New Roman" w:eastAsia="Times New Roman"/>
                <w:b w:val="0"/>
                <w:i w:val="0"/>
                <w:sz w:val="15"/>
              </w:rPr>
              <w:t>-0.016</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0F2AEED9">
            <w:pPr>
              <w:spacing w:before="0" w:after="0" w:line="240" w:lineRule="auto"/>
              <w:jc w:val="center"/>
            </w:pPr>
            <w:r>
              <w:rPr>
                <w:rFonts w:ascii="Times New Roman" w:hAnsi="Times New Roman" w:eastAsia="Times New Roman"/>
                <w:b w:val="0"/>
                <w:i w:val="0"/>
                <w:sz w:val="15"/>
              </w:rPr>
              <w:t>Unstable / weak</w:t>
            </w:r>
          </w:p>
        </w:tc>
      </w:tr>
      <w:tr w14:paraId="0269A3FC">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02DA23E6">
            <w:pPr>
              <w:spacing w:before="0" w:after="0" w:line="240" w:lineRule="auto"/>
              <w:jc w:val="left"/>
            </w:pPr>
            <w:r>
              <w:rPr>
                <w:rFonts w:ascii="Times New Roman" w:hAnsi="Times New Roman" w:eastAsia="Times New Roman"/>
                <w:b w:val="0"/>
                <w:i w:val="0"/>
                <w:sz w:val="15"/>
              </w:rPr>
              <w:t>Preop VAS</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28EED4C6">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4846AE70">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69D388AA">
            <w:pPr>
              <w:spacing w:before="0" w:after="0" w:line="240" w:lineRule="auto"/>
              <w:jc w:val="center"/>
            </w:pPr>
            <w:r>
              <w:rPr>
                <w:rFonts w:ascii="Times New Roman" w:hAnsi="Times New Roman" w:eastAsia="Times New Roman"/>
                <w:b w:val="0"/>
                <w:i w:val="0"/>
                <w:sz w:val="15"/>
              </w:rPr>
              <w:t>20.9%</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1108F550">
            <w:pPr>
              <w:spacing w:before="0" w:after="0" w:line="240" w:lineRule="auto"/>
              <w:jc w:val="center"/>
            </w:pPr>
            <w:r>
              <w:rPr>
                <w:rFonts w:ascii="Times New Roman" w:hAnsi="Times New Roman" w:eastAsia="Times New Roman"/>
                <w:b w:val="0"/>
                <w:i w:val="0"/>
                <w:sz w:val="15"/>
              </w:rPr>
              <w:t>-0.011</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2821A733">
            <w:pPr>
              <w:spacing w:before="0" w:after="0" w:line="240" w:lineRule="auto"/>
              <w:jc w:val="center"/>
            </w:pPr>
            <w:r>
              <w:rPr>
                <w:rFonts w:ascii="Times New Roman" w:hAnsi="Times New Roman" w:eastAsia="Times New Roman"/>
                <w:b w:val="0"/>
                <w:i w:val="0"/>
                <w:sz w:val="15"/>
              </w:rPr>
              <w:t>Unstable / weak</w:t>
            </w:r>
          </w:p>
        </w:tc>
      </w:tr>
      <w:tr w14:paraId="7413FFF6">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6DCDF170">
            <w:pPr>
              <w:spacing w:before="0" w:after="0" w:line="240" w:lineRule="auto"/>
              <w:jc w:val="left"/>
            </w:pPr>
            <w:r>
              <w:rPr>
                <w:rFonts w:ascii="Times New Roman" w:hAnsi="Times New Roman" w:eastAsia="Times New Roman"/>
                <w:b w:val="0"/>
                <w:i w:val="0"/>
                <w:sz w:val="15"/>
              </w:rPr>
              <w:t>Preop HKA</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220CF65D">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4E43DCBF">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38074731">
            <w:pPr>
              <w:spacing w:before="0" w:after="0" w:line="240" w:lineRule="auto"/>
              <w:jc w:val="center"/>
            </w:pPr>
            <w:r>
              <w:rPr>
                <w:rFonts w:ascii="Times New Roman" w:hAnsi="Times New Roman" w:eastAsia="Times New Roman"/>
                <w:b w:val="0"/>
                <w:i w:val="0"/>
                <w:sz w:val="15"/>
              </w:rPr>
              <w:t>19.7%</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7FFC2C96">
            <w:pPr>
              <w:spacing w:before="0" w:after="0" w:line="240" w:lineRule="auto"/>
              <w:jc w:val="center"/>
            </w:pPr>
            <w:r>
              <w:rPr>
                <w:rFonts w:ascii="Times New Roman" w:hAnsi="Times New Roman" w:eastAsia="Times New Roman"/>
                <w:b w:val="0"/>
                <w:i w:val="0"/>
                <w:sz w:val="15"/>
              </w:rPr>
              <w:t>0.010</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2D53C1EE">
            <w:pPr>
              <w:spacing w:before="0" w:after="0" w:line="240" w:lineRule="auto"/>
              <w:jc w:val="center"/>
            </w:pPr>
            <w:r>
              <w:rPr>
                <w:rFonts w:ascii="Times New Roman" w:hAnsi="Times New Roman" w:eastAsia="Times New Roman"/>
                <w:b w:val="0"/>
                <w:i w:val="0"/>
                <w:sz w:val="15"/>
              </w:rPr>
              <w:t>Unstable / weak</w:t>
            </w:r>
          </w:p>
        </w:tc>
      </w:tr>
      <w:tr w14:paraId="05729DE0">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6DC6EE8F">
            <w:pPr>
              <w:spacing w:before="0" w:after="0" w:line="240" w:lineRule="auto"/>
              <w:jc w:val="left"/>
            </w:pPr>
            <w:r>
              <w:rPr>
                <w:rFonts w:ascii="Times New Roman" w:hAnsi="Times New Roman" w:eastAsia="Times New Roman"/>
                <w:b w:val="0"/>
                <w:i w:val="0"/>
                <w:sz w:val="15"/>
              </w:rPr>
              <w:t>Log symptom duration</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569B84CB">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59B2DDE8">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14B06F2F">
            <w:pPr>
              <w:spacing w:before="0" w:after="0" w:line="240" w:lineRule="auto"/>
              <w:jc w:val="center"/>
            </w:pPr>
            <w:r>
              <w:rPr>
                <w:rFonts w:ascii="Times New Roman" w:hAnsi="Times New Roman" w:eastAsia="Times New Roman"/>
                <w:b w:val="0"/>
                <w:i w:val="0"/>
                <w:sz w:val="15"/>
              </w:rPr>
              <w:t>17.7%</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419F8F39">
            <w:pPr>
              <w:spacing w:before="0" w:after="0" w:line="240" w:lineRule="auto"/>
              <w:jc w:val="center"/>
            </w:pPr>
            <w:r>
              <w:rPr>
                <w:rFonts w:ascii="Times New Roman" w:hAnsi="Times New Roman" w:eastAsia="Times New Roman"/>
                <w:b w:val="0"/>
                <w:i w:val="0"/>
                <w:sz w:val="15"/>
              </w:rPr>
              <w:t>-0.008</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609E51F6">
            <w:pPr>
              <w:spacing w:before="0" w:after="0" w:line="240" w:lineRule="auto"/>
              <w:jc w:val="center"/>
            </w:pPr>
            <w:r>
              <w:rPr>
                <w:rFonts w:ascii="Times New Roman" w:hAnsi="Times New Roman" w:eastAsia="Times New Roman"/>
                <w:b w:val="0"/>
                <w:i w:val="0"/>
                <w:sz w:val="15"/>
              </w:rPr>
              <w:t>Unstable / weak</w:t>
            </w:r>
          </w:p>
        </w:tc>
      </w:tr>
      <w:tr w14:paraId="164D8E24">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7AE5F493">
            <w:pPr>
              <w:spacing w:before="0" w:after="0" w:line="240" w:lineRule="auto"/>
              <w:jc w:val="left"/>
            </w:pPr>
            <w:r>
              <w:rPr>
                <w:rFonts w:ascii="Times New Roman" w:hAnsi="Times New Roman" w:eastAsia="Times New Roman"/>
                <w:b w:val="0"/>
                <w:i w:val="0"/>
                <w:sz w:val="15"/>
              </w:rPr>
              <w:t>KL grade 4</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5B0FFE34">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75A795F4">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6BE6C2B0">
            <w:pPr>
              <w:spacing w:before="0" w:after="0" w:line="240" w:lineRule="auto"/>
              <w:jc w:val="center"/>
            </w:pPr>
            <w:r>
              <w:rPr>
                <w:rFonts w:ascii="Times New Roman" w:hAnsi="Times New Roman" w:eastAsia="Times New Roman"/>
                <w:b w:val="0"/>
                <w:i w:val="0"/>
                <w:sz w:val="15"/>
              </w:rPr>
              <w:t>14.0%</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2EB3A8D9">
            <w:pPr>
              <w:spacing w:before="0" w:after="0" w:line="240" w:lineRule="auto"/>
              <w:jc w:val="center"/>
            </w:pPr>
            <w:r>
              <w:rPr>
                <w:rFonts w:ascii="Times New Roman" w:hAnsi="Times New Roman" w:eastAsia="Times New Roman"/>
                <w:b w:val="0"/>
                <w:i w:val="0"/>
                <w:sz w:val="15"/>
              </w:rPr>
              <w:t>0.006</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55023C82">
            <w:pPr>
              <w:spacing w:before="0" w:after="0" w:line="240" w:lineRule="auto"/>
              <w:jc w:val="center"/>
            </w:pPr>
            <w:r>
              <w:rPr>
                <w:rFonts w:ascii="Times New Roman" w:hAnsi="Times New Roman" w:eastAsia="Times New Roman"/>
                <w:b w:val="0"/>
                <w:i w:val="0"/>
                <w:sz w:val="15"/>
              </w:rPr>
              <w:t>Unstable / weak</w:t>
            </w:r>
          </w:p>
        </w:tc>
      </w:tr>
      <w:tr w14:paraId="716C8A82">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48B437D6">
            <w:pPr>
              <w:spacing w:before="0" w:after="0" w:line="240" w:lineRule="auto"/>
              <w:jc w:val="left"/>
            </w:pPr>
            <w:r>
              <w:rPr>
                <w:rFonts w:ascii="Times New Roman" w:hAnsi="Times New Roman" w:eastAsia="Times New Roman"/>
                <w:b w:val="0"/>
                <w:i w:val="0"/>
                <w:sz w:val="15"/>
              </w:rPr>
              <w:t>Age</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18B4B886">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5A8A1821">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71507E64">
            <w:pPr>
              <w:spacing w:before="0" w:after="0" w:line="240" w:lineRule="auto"/>
              <w:jc w:val="center"/>
            </w:pPr>
            <w:r>
              <w:rPr>
                <w:rFonts w:ascii="Times New Roman" w:hAnsi="Times New Roman" w:eastAsia="Times New Roman"/>
                <w:b w:val="0"/>
                <w:i w:val="0"/>
                <w:sz w:val="15"/>
              </w:rPr>
              <w:t>12.6%</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7681D692">
            <w:pPr>
              <w:spacing w:before="0" w:after="0" w:line="240" w:lineRule="auto"/>
              <w:jc w:val="center"/>
            </w:pPr>
            <w:r>
              <w:rPr>
                <w:rFonts w:ascii="Times New Roman" w:hAnsi="Times New Roman" w:eastAsia="Times New Roman"/>
                <w:b w:val="0"/>
                <w:i w:val="0"/>
                <w:sz w:val="15"/>
              </w:rPr>
              <w:t>0.006</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10B46545">
            <w:pPr>
              <w:spacing w:before="0" w:after="0" w:line="240" w:lineRule="auto"/>
              <w:jc w:val="center"/>
            </w:pPr>
            <w:r>
              <w:rPr>
                <w:rFonts w:ascii="Times New Roman" w:hAnsi="Times New Roman" w:eastAsia="Times New Roman"/>
                <w:b w:val="0"/>
                <w:i w:val="0"/>
                <w:sz w:val="15"/>
              </w:rPr>
              <w:t>Unstable / weak</w:t>
            </w:r>
          </w:p>
        </w:tc>
      </w:tr>
      <w:tr w14:paraId="115713CF">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40D6D69C">
            <w:pPr>
              <w:spacing w:before="0" w:after="0" w:line="240" w:lineRule="auto"/>
              <w:jc w:val="left"/>
            </w:pPr>
            <w:r>
              <w:rPr>
                <w:rFonts w:ascii="Times New Roman" w:hAnsi="Times New Roman" w:eastAsia="Times New Roman"/>
                <w:b w:val="0"/>
                <w:i w:val="0"/>
                <w:sz w:val="15"/>
              </w:rPr>
              <w:t>Tibial overhang</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62EDE251">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6120CCA1">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2535D6CD">
            <w:pPr>
              <w:spacing w:before="0" w:after="0" w:line="240" w:lineRule="auto"/>
              <w:jc w:val="center"/>
            </w:pPr>
            <w:r>
              <w:rPr>
                <w:rFonts w:ascii="Times New Roman" w:hAnsi="Times New Roman" w:eastAsia="Times New Roman"/>
                <w:b w:val="0"/>
                <w:i w:val="0"/>
                <w:sz w:val="15"/>
              </w:rPr>
              <w:t>8.1%</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24949BAB">
            <w:pPr>
              <w:spacing w:before="0" w:after="0" w:line="240" w:lineRule="auto"/>
              <w:jc w:val="center"/>
            </w:pPr>
            <w:r>
              <w:rPr>
                <w:rFonts w:ascii="Times New Roman" w:hAnsi="Times New Roman" w:eastAsia="Times New Roman"/>
                <w:b w:val="0"/>
                <w:i w:val="0"/>
                <w:sz w:val="15"/>
              </w:rPr>
              <w:t>-0.003</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0FC58EA3">
            <w:pPr>
              <w:spacing w:before="0" w:after="0" w:line="240" w:lineRule="auto"/>
              <w:jc w:val="center"/>
            </w:pPr>
            <w:r>
              <w:rPr>
                <w:rFonts w:ascii="Times New Roman" w:hAnsi="Times New Roman" w:eastAsia="Times New Roman"/>
                <w:b w:val="0"/>
                <w:i w:val="0"/>
                <w:sz w:val="15"/>
              </w:rPr>
              <w:t>Unstable / weak</w:t>
            </w:r>
          </w:p>
        </w:tc>
      </w:tr>
      <w:tr w14:paraId="040D3720">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51ABCCDD">
            <w:pPr>
              <w:spacing w:before="0" w:after="0" w:line="240" w:lineRule="auto"/>
              <w:jc w:val="left"/>
            </w:pPr>
            <w:r>
              <w:rPr>
                <w:rFonts w:ascii="Times New Roman" w:hAnsi="Times New Roman" w:eastAsia="Times New Roman"/>
                <w:b w:val="0"/>
                <w:i w:val="0"/>
                <w:sz w:val="15"/>
              </w:rPr>
              <w:t>Tibial component coronal angle</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12FDCAA4">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5A31A8DC">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1E7BDF2A">
            <w:pPr>
              <w:spacing w:before="0" w:after="0" w:line="240" w:lineRule="auto"/>
              <w:jc w:val="center"/>
            </w:pPr>
            <w:r>
              <w:rPr>
                <w:rFonts w:ascii="Times New Roman" w:hAnsi="Times New Roman" w:eastAsia="Times New Roman"/>
                <w:b w:val="0"/>
                <w:i w:val="0"/>
                <w:sz w:val="15"/>
              </w:rPr>
              <w:t>7.9%</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1982341F">
            <w:pPr>
              <w:spacing w:before="0" w:after="0" w:line="240" w:lineRule="auto"/>
              <w:jc w:val="center"/>
            </w:pPr>
            <w:r>
              <w:rPr>
                <w:rFonts w:ascii="Times New Roman" w:hAnsi="Times New Roman" w:eastAsia="Times New Roman"/>
                <w:b w:val="0"/>
                <w:i w:val="0"/>
                <w:sz w:val="15"/>
              </w:rPr>
              <w:t>0.002</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078835B9">
            <w:pPr>
              <w:spacing w:before="0" w:after="0" w:line="240" w:lineRule="auto"/>
              <w:jc w:val="center"/>
            </w:pPr>
            <w:r>
              <w:rPr>
                <w:rFonts w:ascii="Times New Roman" w:hAnsi="Times New Roman" w:eastAsia="Times New Roman"/>
                <w:b w:val="0"/>
                <w:i w:val="0"/>
                <w:sz w:val="15"/>
              </w:rPr>
              <w:t>Unstable / weak</w:t>
            </w:r>
          </w:p>
        </w:tc>
      </w:tr>
      <w:tr w14:paraId="1DA617B2">
        <w:tblPrEx>
          <w:tblCellMar>
            <w:top w:w="0" w:type="dxa"/>
            <w:left w:w="108" w:type="dxa"/>
            <w:bottom w:w="0" w:type="dxa"/>
            <w:right w:w="108" w:type="dxa"/>
          </w:tblCellMar>
        </w:tblPrEx>
        <w:trPr>
          <w:jc w:val="center"/>
        </w:trPr>
        <w:tc>
          <w:tcPr>
            <w:tcW w:w="3744" w:type="dxa"/>
            <w:tcBorders>
              <w:top w:val="nil"/>
              <w:left w:val="nil"/>
              <w:bottom w:val="nil"/>
              <w:right w:val="nil"/>
              <w:insideH w:val="nil"/>
              <w:insideV w:val="nil"/>
            </w:tcBorders>
            <w:tcMar>
              <w:top w:w="40" w:type="dxa"/>
              <w:left w:w="55" w:type="dxa"/>
              <w:bottom w:w="40" w:type="dxa"/>
              <w:right w:w="55" w:type="dxa"/>
            </w:tcMar>
            <w:vAlign w:val="center"/>
          </w:tcPr>
          <w:p w14:paraId="37ADAA2B">
            <w:pPr>
              <w:spacing w:before="0" w:after="0" w:line="240" w:lineRule="auto"/>
              <w:jc w:val="left"/>
            </w:pPr>
            <w:r>
              <w:rPr>
                <w:rFonts w:ascii="Times New Roman" w:hAnsi="Times New Roman" w:eastAsia="Times New Roman"/>
                <w:b w:val="0"/>
                <w:i w:val="0"/>
                <w:sz w:val="15"/>
              </w:rPr>
              <w:t>Female sex</w:t>
            </w:r>
          </w:p>
        </w:tc>
        <w:tc>
          <w:tcPr>
            <w:tcW w:w="1512" w:type="dxa"/>
            <w:tcBorders>
              <w:top w:val="nil"/>
              <w:left w:val="nil"/>
              <w:bottom w:val="nil"/>
              <w:right w:val="nil"/>
              <w:insideH w:val="nil"/>
              <w:insideV w:val="nil"/>
            </w:tcBorders>
            <w:tcMar>
              <w:top w:w="40" w:type="dxa"/>
              <w:left w:w="55" w:type="dxa"/>
              <w:bottom w:w="40" w:type="dxa"/>
              <w:right w:w="55" w:type="dxa"/>
            </w:tcMar>
            <w:vAlign w:val="center"/>
          </w:tcPr>
          <w:p w14:paraId="1CA5A63A">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5C965269">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4D38652D">
            <w:pPr>
              <w:spacing w:before="0" w:after="0" w:line="240" w:lineRule="auto"/>
              <w:jc w:val="center"/>
            </w:pPr>
            <w:r>
              <w:rPr>
                <w:rFonts w:ascii="Times New Roman" w:hAnsi="Times New Roman" w:eastAsia="Times New Roman"/>
                <w:b w:val="0"/>
                <w:i w:val="0"/>
                <w:sz w:val="15"/>
              </w:rPr>
              <w:t>7.4%</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3BFC1336">
            <w:pPr>
              <w:spacing w:before="0" w:after="0" w:line="240" w:lineRule="auto"/>
              <w:jc w:val="center"/>
            </w:pPr>
            <w:r>
              <w:rPr>
                <w:rFonts w:ascii="Times New Roman" w:hAnsi="Times New Roman" w:eastAsia="Times New Roman"/>
                <w:b w:val="0"/>
                <w:i w:val="0"/>
                <w:sz w:val="15"/>
              </w:rPr>
              <w:t>0.001</w:t>
            </w:r>
          </w:p>
        </w:tc>
        <w:tc>
          <w:tcPr>
            <w:tcW w:w="1944" w:type="dxa"/>
            <w:tcBorders>
              <w:top w:val="nil"/>
              <w:left w:val="nil"/>
              <w:bottom w:val="nil"/>
              <w:right w:val="nil"/>
              <w:insideH w:val="nil"/>
              <w:insideV w:val="nil"/>
            </w:tcBorders>
            <w:tcMar>
              <w:top w:w="40" w:type="dxa"/>
              <w:left w:w="55" w:type="dxa"/>
              <w:bottom w:w="40" w:type="dxa"/>
              <w:right w:w="55" w:type="dxa"/>
            </w:tcMar>
            <w:vAlign w:val="center"/>
          </w:tcPr>
          <w:p w14:paraId="5505792E">
            <w:pPr>
              <w:spacing w:before="0" w:after="0" w:line="240" w:lineRule="auto"/>
              <w:jc w:val="center"/>
            </w:pPr>
            <w:r>
              <w:rPr>
                <w:rFonts w:ascii="Times New Roman" w:hAnsi="Times New Roman" w:eastAsia="Times New Roman"/>
                <w:b w:val="0"/>
                <w:i w:val="0"/>
                <w:sz w:val="15"/>
              </w:rPr>
              <w:t>Unstable / weak</w:t>
            </w:r>
          </w:p>
        </w:tc>
      </w:tr>
      <w:tr w14:paraId="0001274C">
        <w:tblPrEx>
          <w:tblCellMar>
            <w:top w:w="0" w:type="dxa"/>
            <w:left w:w="108" w:type="dxa"/>
            <w:bottom w:w="0" w:type="dxa"/>
            <w:right w:w="108" w:type="dxa"/>
          </w:tblCellMar>
        </w:tblPrEx>
        <w:trPr>
          <w:jc w:val="center"/>
        </w:trPr>
        <w:tc>
          <w:tcPr>
            <w:tcW w:w="3744"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653D9E27">
            <w:pPr>
              <w:spacing w:before="0" w:after="0" w:line="240" w:lineRule="auto"/>
              <w:jc w:val="left"/>
            </w:pPr>
            <w:r>
              <w:rPr>
                <w:rFonts w:ascii="Times New Roman" w:hAnsi="Times New Roman" w:eastAsia="Times New Roman"/>
                <w:b w:val="0"/>
                <w:i w:val="0"/>
                <w:sz w:val="15"/>
              </w:rPr>
              <w:t>Preop PTS</w:t>
            </w:r>
          </w:p>
        </w:tc>
        <w:tc>
          <w:tcPr>
            <w:tcW w:w="1512"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1789745C">
            <w:pPr>
              <w:spacing w:before="0" w:after="0" w:line="240" w:lineRule="auto"/>
              <w:jc w:val="center"/>
            </w:pPr>
            <w:r>
              <w:rPr>
                <w:rFonts w:ascii="Times New Roman" w:hAnsi="Times New Roman" w:eastAsia="Times New Roman"/>
                <w:b w:val="0"/>
                <w:i w:val="0"/>
                <w:sz w:val="15"/>
              </w:rPr>
              <w:t>No</w:t>
            </w:r>
          </w:p>
        </w:tc>
        <w:tc>
          <w:tcPr>
            <w:tcW w:w="1584"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2A377B05">
            <w:pPr>
              <w:spacing w:before="0" w:after="0" w:line="240" w:lineRule="auto"/>
              <w:jc w:val="center"/>
            </w:pPr>
            <w:r>
              <w:rPr>
                <w:rFonts w:ascii="Times New Roman" w:hAnsi="Times New Roman" w:eastAsia="Times New Roman"/>
                <w:b w:val="0"/>
                <w:i w:val="0"/>
                <w:sz w:val="15"/>
              </w:rPr>
              <w:t>0.000</w:t>
            </w:r>
          </w:p>
        </w:tc>
        <w:tc>
          <w:tcPr>
            <w:tcW w:w="2232"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76546B9C">
            <w:pPr>
              <w:spacing w:before="0" w:after="0" w:line="240" w:lineRule="auto"/>
              <w:jc w:val="center"/>
            </w:pPr>
            <w:r>
              <w:rPr>
                <w:rFonts w:ascii="Times New Roman" w:hAnsi="Times New Roman" w:eastAsia="Times New Roman"/>
                <w:b w:val="0"/>
                <w:i w:val="0"/>
                <w:sz w:val="15"/>
              </w:rPr>
              <w:t>7.3%</w:t>
            </w:r>
          </w:p>
        </w:tc>
        <w:tc>
          <w:tcPr>
            <w:tcW w:w="1944"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08090FD3">
            <w:pPr>
              <w:spacing w:before="0" w:after="0" w:line="240" w:lineRule="auto"/>
              <w:jc w:val="center"/>
            </w:pPr>
            <w:r>
              <w:rPr>
                <w:rFonts w:ascii="Times New Roman" w:hAnsi="Times New Roman" w:eastAsia="Times New Roman"/>
                <w:b w:val="0"/>
                <w:i w:val="0"/>
                <w:sz w:val="15"/>
              </w:rPr>
              <w:t>0.002</w:t>
            </w:r>
          </w:p>
        </w:tc>
        <w:tc>
          <w:tcPr>
            <w:tcW w:w="1944"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75E01A57">
            <w:pPr>
              <w:spacing w:before="0" w:after="0" w:line="240" w:lineRule="auto"/>
              <w:jc w:val="center"/>
            </w:pPr>
            <w:r>
              <w:rPr>
                <w:rFonts w:ascii="Times New Roman" w:hAnsi="Times New Roman" w:eastAsia="Times New Roman"/>
                <w:b w:val="0"/>
                <w:i w:val="0"/>
                <w:sz w:val="15"/>
              </w:rPr>
              <w:t>Unstable / weak</w:t>
            </w:r>
          </w:p>
        </w:tc>
      </w:tr>
    </w:tbl>
    <w:p w14:paraId="78D86E9B">
      <w:pPr>
        <w:spacing w:before="60" w:after="0" w:line="240" w:lineRule="auto"/>
        <w:jc w:val="left"/>
        <w:rPr>
          <w:rFonts w:hint="eastAsia" w:eastAsia="宋体"/>
          <w:lang w:val="en-US" w:eastAsia="zh-CN"/>
        </w:rPr>
      </w:pPr>
      <w:r>
        <w:rPr>
          <w:rFonts w:hint="eastAsia" w:eastAsia="宋体"/>
          <w:b w:val="0"/>
          <w:i w:val="0"/>
          <w:sz w:val="16"/>
          <w:lang w:val="en-US" w:eastAsia="zh-CN"/>
        </w:rPr>
        <w:t>Predictor selection was performed using LASSO logistic regression with ten-fold cross-validation. The λ1-SE criterion was prespecified as the primary penalty because it favored a parsimonious model with minimal loss of discrimination. Bootstrap selection stability was assessed over 1,000 resamples using the original λ1-SE criterion. LASSO, least absolute shrinkage and selection operator; OKS, Oxford Knee Score; JLCA, joint-line convergence angle; PTS, posterior tibial slope; OA, osteoarthritis; HKA, hip-knee-ankle angle; VAS, visual analogue scale; ROM, range of motion; KL, Kellgren–Lawrence.</w:t>
      </w:r>
    </w:p>
    <w:p w14:paraId="4CE1094D">
      <w:pPr>
        <w:pageBreakBefore/>
        <w:spacing w:before="0" w:after="100" w:line="240" w:lineRule="auto"/>
        <w:jc w:val="left"/>
      </w:pPr>
      <w:r>
        <w:rPr>
          <w:rFonts w:ascii="Times New Roman" w:hAnsi="Times New Roman" w:eastAsia="Times New Roman"/>
          <w:b/>
          <w:i w:val="0"/>
          <w:sz w:val="21"/>
        </w:rPr>
        <w:t>Supplementary Table S3. Sensitivity analysis using continuous FJS-12 at 1 year</w:t>
      </w:r>
    </w:p>
    <w:tbl>
      <w:tblPr>
        <w:tblStyle w:val="33"/>
        <w:tblW w:w="0" w:type="auto"/>
        <w:jc w:val="center"/>
        <w:tblLayout w:type="fixed"/>
        <w:tblCellMar>
          <w:top w:w="0" w:type="dxa"/>
          <w:left w:w="108" w:type="dxa"/>
          <w:bottom w:w="0" w:type="dxa"/>
          <w:right w:w="108" w:type="dxa"/>
        </w:tblCellMar>
      </w:tblPr>
      <w:tblGrid>
        <w:gridCol w:w="2158"/>
        <w:gridCol w:w="2158"/>
        <w:gridCol w:w="2158"/>
        <w:gridCol w:w="2158"/>
        <w:gridCol w:w="2158"/>
        <w:gridCol w:w="2158"/>
        <w:gridCol w:w="2158"/>
      </w:tblGrid>
      <w:tr w14:paraId="27DD1FC1">
        <w:tblPrEx>
          <w:tblCellMar>
            <w:top w:w="0" w:type="dxa"/>
            <w:left w:w="108" w:type="dxa"/>
            <w:bottom w:w="0" w:type="dxa"/>
            <w:right w:w="108" w:type="dxa"/>
          </w:tblCellMar>
        </w:tblPrEx>
        <w:trPr>
          <w:tblHeader/>
          <w:jc w:val="center"/>
        </w:trPr>
        <w:tc>
          <w:tcPr>
            <w:tcW w:w="3960"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27F9C83B">
            <w:pPr>
              <w:spacing w:before="0" w:after="0" w:line="240" w:lineRule="auto"/>
              <w:jc w:val="center"/>
            </w:pPr>
            <w:r>
              <w:rPr>
                <w:rFonts w:ascii="Times New Roman" w:hAnsi="Times New Roman" w:eastAsia="Times New Roman"/>
                <w:b/>
                <w:i w:val="0"/>
                <w:sz w:val="16"/>
              </w:rPr>
              <w:t>Predictor</w:t>
            </w:r>
          </w:p>
        </w:tc>
        <w:tc>
          <w:tcPr>
            <w:tcW w:w="2232"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3CB187A2">
            <w:pPr>
              <w:spacing w:before="0" w:after="0" w:line="240" w:lineRule="auto"/>
              <w:jc w:val="center"/>
            </w:pPr>
            <w:r>
              <w:rPr>
                <w:rFonts w:ascii="Times New Roman" w:hAnsi="Times New Roman" w:eastAsia="Times New Roman"/>
                <w:b/>
                <w:i w:val="0"/>
                <w:sz w:val="16"/>
              </w:rPr>
              <w:t>β (FJS-12 points/unit)</w:t>
            </w:r>
          </w:p>
        </w:tc>
        <w:tc>
          <w:tcPr>
            <w:tcW w:w="1728"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26B651E7">
            <w:pPr>
              <w:spacing w:before="0" w:after="0" w:line="240" w:lineRule="auto"/>
              <w:jc w:val="center"/>
            </w:pPr>
            <w:r>
              <w:rPr>
                <w:rFonts w:ascii="Times New Roman" w:hAnsi="Times New Roman" w:eastAsia="Times New Roman"/>
                <w:b/>
                <w:i w:val="0"/>
                <w:sz w:val="16"/>
              </w:rPr>
              <w:t>HC3 robust SE</w:t>
            </w:r>
          </w:p>
        </w:tc>
        <w:tc>
          <w:tcPr>
            <w:tcW w:w="2376"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641136EB">
            <w:pPr>
              <w:spacing w:before="0" w:after="0" w:line="240" w:lineRule="auto"/>
              <w:jc w:val="center"/>
            </w:pPr>
            <w:r>
              <w:rPr>
                <w:rFonts w:ascii="Times New Roman" w:hAnsi="Times New Roman" w:eastAsia="Times New Roman"/>
                <w:b/>
                <w:i w:val="0"/>
                <w:sz w:val="16"/>
              </w:rPr>
              <w:t>95% CI</w:t>
            </w:r>
          </w:p>
        </w:tc>
        <w:tc>
          <w:tcPr>
            <w:tcW w:w="1224"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6F6624A3">
            <w:pPr>
              <w:spacing w:before="0" w:after="0" w:line="240" w:lineRule="auto"/>
              <w:jc w:val="center"/>
            </w:pPr>
            <w:r>
              <w:rPr>
                <w:rFonts w:ascii="Times New Roman" w:hAnsi="Times New Roman" w:eastAsia="Times New Roman"/>
                <w:b/>
                <w:i w:val="0"/>
                <w:sz w:val="16"/>
              </w:rPr>
              <w:t>P value</w:t>
            </w:r>
          </w:p>
        </w:tc>
        <w:tc>
          <w:tcPr>
            <w:tcW w:w="1584"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50E65206">
            <w:pPr>
              <w:spacing w:before="0" w:after="0" w:line="240" w:lineRule="auto"/>
              <w:jc w:val="center"/>
            </w:pPr>
            <w:r>
              <w:rPr>
                <w:rFonts w:ascii="Times New Roman" w:hAnsi="Times New Roman" w:eastAsia="Times New Roman"/>
                <w:b/>
                <w:i w:val="0"/>
                <w:sz w:val="16"/>
              </w:rPr>
              <w:t>Standardized β</w:t>
            </w:r>
          </w:p>
        </w:tc>
        <w:tc>
          <w:tcPr>
            <w:tcW w:w="1080" w:type="dxa"/>
            <w:tcBorders>
              <w:top w:val="single" w:color="000000" w:sz="10" w:space="0"/>
              <w:left w:val="nil"/>
              <w:bottom w:val="single" w:color="000000" w:sz="8" w:space="0"/>
              <w:right w:val="nil"/>
              <w:insideH w:val="nil"/>
              <w:insideV w:val="nil"/>
            </w:tcBorders>
            <w:tcMar>
              <w:top w:w="40" w:type="dxa"/>
              <w:left w:w="55" w:type="dxa"/>
              <w:bottom w:w="40" w:type="dxa"/>
              <w:right w:w="55" w:type="dxa"/>
            </w:tcMar>
            <w:vAlign w:val="center"/>
          </w:tcPr>
          <w:p w14:paraId="78A84334">
            <w:pPr>
              <w:spacing w:before="0" w:after="0" w:line="240" w:lineRule="auto"/>
              <w:jc w:val="center"/>
            </w:pPr>
            <w:r>
              <w:rPr>
                <w:rFonts w:ascii="Times New Roman" w:hAnsi="Times New Roman" w:eastAsia="Times New Roman"/>
                <w:b/>
                <w:i w:val="0"/>
                <w:sz w:val="16"/>
              </w:rPr>
              <w:t>VIF</w:t>
            </w:r>
          </w:p>
        </w:tc>
      </w:tr>
      <w:tr w14:paraId="6D5B243C">
        <w:tblPrEx>
          <w:tblCellMar>
            <w:top w:w="0" w:type="dxa"/>
            <w:left w:w="108" w:type="dxa"/>
            <w:bottom w:w="0" w:type="dxa"/>
            <w:right w:w="108" w:type="dxa"/>
          </w:tblCellMar>
        </w:tblPrEx>
        <w:trPr>
          <w:jc w:val="center"/>
        </w:trPr>
        <w:tc>
          <w:tcPr>
            <w:tcW w:w="3960" w:type="dxa"/>
            <w:tcBorders>
              <w:top w:val="nil"/>
              <w:left w:val="nil"/>
              <w:bottom w:val="nil"/>
              <w:right w:val="nil"/>
              <w:insideH w:val="nil"/>
              <w:insideV w:val="nil"/>
            </w:tcBorders>
            <w:tcMar>
              <w:top w:w="40" w:type="dxa"/>
              <w:left w:w="55" w:type="dxa"/>
              <w:bottom w:w="40" w:type="dxa"/>
              <w:right w:w="55" w:type="dxa"/>
            </w:tcMar>
            <w:vAlign w:val="center"/>
          </w:tcPr>
          <w:p w14:paraId="229BB8F5">
            <w:pPr>
              <w:spacing w:before="0" w:after="0" w:line="240" w:lineRule="auto"/>
              <w:jc w:val="left"/>
            </w:pPr>
            <w:r>
              <w:rPr>
                <w:rFonts w:ascii="Times New Roman" w:hAnsi="Times New Roman" w:eastAsia="Times New Roman"/>
                <w:b w:val="0"/>
                <w:i w:val="0"/>
                <w:sz w:val="16"/>
              </w:rPr>
              <w:t>BMI, kg/m²</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7B6F4848">
            <w:pPr>
              <w:spacing w:before="0" w:after="0" w:line="240" w:lineRule="auto"/>
              <w:jc w:val="center"/>
            </w:pPr>
            <w:r>
              <w:rPr>
                <w:rFonts w:ascii="Times New Roman" w:hAnsi="Times New Roman" w:eastAsia="Times New Roman"/>
                <w:b w:val="0"/>
                <w:i w:val="0"/>
                <w:sz w:val="16"/>
              </w:rPr>
              <w:t>-0.782</w:t>
            </w:r>
          </w:p>
        </w:tc>
        <w:tc>
          <w:tcPr>
            <w:tcW w:w="1728" w:type="dxa"/>
            <w:tcBorders>
              <w:top w:val="nil"/>
              <w:left w:val="nil"/>
              <w:bottom w:val="nil"/>
              <w:right w:val="nil"/>
              <w:insideH w:val="nil"/>
              <w:insideV w:val="nil"/>
            </w:tcBorders>
            <w:tcMar>
              <w:top w:w="40" w:type="dxa"/>
              <w:left w:w="55" w:type="dxa"/>
              <w:bottom w:w="40" w:type="dxa"/>
              <w:right w:w="55" w:type="dxa"/>
            </w:tcMar>
            <w:vAlign w:val="center"/>
          </w:tcPr>
          <w:p w14:paraId="6125AF71">
            <w:pPr>
              <w:spacing w:before="0" w:after="0" w:line="240" w:lineRule="auto"/>
              <w:jc w:val="center"/>
            </w:pPr>
            <w:r>
              <w:rPr>
                <w:rFonts w:ascii="Times New Roman" w:hAnsi="Times New Roman" w:eastAsia="Times New Roman"/>
                <w:b w:val="0"/>
                <w:i w:val="0"/>
                <w:sz w:val="16"/>
              </w:rPr>
              <w:t>0.146</w:t>
            </w:r>
          </w:p>
        </w:tc>
        <w:tc>
          <w:tcPr>
            <w:tcW w:w="2376" w:type="dxa"/>
            <w:tcBorders>
              <w:top w:val="nil"/>
              <w:left w:val="nil"/>
              <w:bottom w:val="nil"/>
              <w:right w:val="nil"/>
              <w:insideH w:val="nil"/>
              <w:insideV w:val="nil"/>
            </w:tcBorders>
            <w:tcMar>
              <w:top w:w="40" w:type="dxa"/>
              <w:left w:w="55" w:type="dxa"/>
              <w:bottom w:w="40" w:type="dxa"/>
              <w:right w:w="55" w:type="dxa"/>
            </w:tcMar>
            <w:vAlign w:val="center"/>
          </w:tcPr>
          <w:p w14:paraId="55B46CE9">
            <w:pPr>
              <w:spacing w:before="0" w:after="0" w:line="240" w:lineRule="auto"/>
              <w:jc w:val="center"/>
            </w:pPr>
            <w:r>
              <w:rPr>
                <w:rFonts w:ascii="Times New Roman" w:hAnsi="Times New Roman" w:eastAsia="Times New Roman"/>
                <w:b w:val="0"/>
                <w:i w:val="0"/>
                <w:sz w:val="16"/>
              </w:rPr>
              <w:t>-1.069--0.495</w:t>
            </w:r>
          </w:p>
        </w:tc>
        <w:tc>
          <w:tcPr>
            <w:tcW w:w="1224" w:type="dxa"/>
            <w:tcBorders>
              <w:top w:val="nil"/>
              <w:left w:val="nil"/>
              <w:bottom w:val="nil"/>
              <w:right w:val="nil"/>
              <w:insideH w:val="nil"/>
              <w:insideV w:val="nil"/>
            </w:tcBorders>
            <w:tcMar>
              <w:top w:w="40" w:type="dxa"/>
              <w:left w:w="55" w:type="dxa"/>
              <w:bottom w:w="40" w:type="dxa"/>
              <w:right w:w="55" w:type="dxa"/>
            </w:tcMar>
            <w:vAlign w:val="center"/>
          </w:tcPr>
          <w:p w14:paraId="2CCB9F02">
            <w:pPr>
              <w:spacing w:before="0" w:after="0" w:line="240" w:lineRule="auto"/>
              <w:jc w:val="center"/>
            </w:pPr>
            <w:r>
              <w:rPr>
                <w:rFonts w:ascii="Times New Roman" w:hAnsi="Times New Roman" w:eastAsia="Times New Roman"/>
                <w:b w:val="0"/>
                <w:i w:val="0"/>
                <w:sz w:val="16"/>
              </w:rPr>
              <w:t>&lt;0.001</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4EDA4FD5">
            <w:pPr>
              <w:spacing w:before="0" w:after="0" w:line="240" w:lineRule="auto"/>
              <w:jc w:val="center"/>
            </w:pPr>
            <w:r>
              <w:rPr>
                <w:rFonts w:ascii="Times New Roman" w:hAnsi="Times New Roman" w:eastAsia="Times New Roman"/>
                <w:b w:val="0"/>
                <w:i w:val="0"/>
                <w:sz w:val="16"/>
              </w:rPr>
              <w:t>-0.204</w:t>
            </w:r>
          </w:p>
        </w:tc>
        <w:tc>
          <w:tcPr>
            <w:tcW w:w="1080" w:type="dxa"/>
            <w:tcBorders>
              <w:top w:val="nil"/>
              <w:left w:val="nil"/>
              <w:bottom w:val="nil"/>
              <w:right w:val="nil"/>
              <w:insideH w:val="nil"/>
              <w:insideV w:val="nil"/>
            </w:tcBorders>
            <w:tcMar>
              <w:top w:w="40" w:type="dxa"/>
              <w:left w:w="55" w:type="dxa"/>
              <w:bottom w:w="40" w:type="dxa"/>
              <w:right w:w="55" w:type="dxa"/>
            </w:tcMar>
            <w:vAlign w:val="center"/>
          </w:tcPr>
          <w:p w14:paraId="64A50075">
            <w:pPr>
              <w:spacing w:before="0" w:after="0" w:line="240" w:lineRule="auto"/>
              <w:jc w:val="center"/>
            </w:pPr>
            <w:r>
              <w:rPr>
                <w:rFonts w:ascii="Times New Roman" w:hAnsi="Times New Roman" w:eastAsia="Times New Roman"/>
                <w:b w:val="0"/>
                <w:i w:val="0"/>
                <w:sz w:val="16"/>
              </w:rPr>
              <w:t>1.031</w:t>
            </w:r>
          </w:p>
        </w:tc>
      </w:tr>
      <w:tr w14:paraId="64483C7D">
        <w:tblPrEx>
          <w:tblCellMar>
            <w:top w:w="0" w:type="dxa"/>
            <w:left w:w="108" w:type="dxa"/>
            <w:bottom w:w="0" w:type="dxa"/>
            <w:right w:w="108" w:type="dxa"/>
          </w:tblCellMar>
        </w:tblPrEx>
        <w:trPr>
          <w:jc w:val="center"/>
        </w:trPr>
        <w:tc>
          <w:tcPr>
            <w:tcW w:w="3960" w:type="dxa"/>
            <w:tcBorders>
              <w:top w:val="nil"/>
              <w:left w:val="nil"/>
              <w:bottom w:val="nil"/>
              <w:right w:val="nil"/>
              <w:insideH w:val="nil"/>
              <w:insideV w:val="nil"/>
            </w:tcBorders>
            <w:tcMar>
              <w:top w:w="40" w:type="dxa"/>
              <w:left w:w="55" w:type="dxa"/>
              <w:bottom w:w="40" w:type="dxa"/>
              <w:right w:w="55" w:type="dxa"/>
            </w:tcMar>
            <w:vAlign w:val="center"/>
          </w:tcPr>
          <w:p w14:paraId="5D312DC8">
            <w:pPr>
              <w:spacing w:before="0" w:after="0" w:line="240" w:lineRule="auto"/>
              <w:jc w:val="left"/>
            </w:pPr>
            <w:r>
              <w:rPr>
                <w:rFonts w:ascii="Times New Roman" w:hAnsi="Times New Roman" w:eastAsia="Times New Roman"/>
                <w:b w:val="0"/>
                <w:i w:val="0"/>
                <w:sz w:val="16"/>
              </w:rPr>
              <w:t>Preoperative OKS</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27AB4DED">
            <w:pPr>
              <w:spacing w:before="0" w:after="0" w:line="240" w:lineRule="auto"/>
              <w:jc w:val="center"/>
            </w:pPr>
            <w:r>
              <w:rPr>
                <w:rFonts w:ascii="Times New Roman" w:hAnsi="Times New Roman" w:eastAsia="Times New Roman"/>
                <w:b w:val="0"/>
                <w:i w:val="0"/>
                <w:sz w:val="16"/>
              </w:rPr>
              <w:t>0.582</w:t>
            </w:r>
          </w:p>
        </w:tc>
        <w:tc>
          <w:tcPr>
            <w:tcW w:w="1728" w:type="dxa"/>
            <w:tcBorders>
              <w:top w:val="nil"/>
              <w:left w:val="nil"/>
              <w:bottom w:val="nil"/>
              <w:right w:val="nil"/>
              <w:insideH w:val="nil"/>
              <w:insideV w:val="nil"/>
            </w:tcBorders>
            <w:tcMar>
              <w:top w:w="40" w:type="dxa"/>
              <w:left w:w="55" w:type="dxa"/>
              <w:bottom w:w="40" w:type="dxa"/>
              <w:right w:w="55" w:type="dxa"/>
            </w:tcMar>
            <w:vAlign w:val="center"/>
          </w:tcPr>
          <w:p w14:paraId="50A752ED">
            <w:pPr>
              <w:spacing w:before="0" w:after="0" w:line="240" w:lineRule="auto"/>
              <w:jc w:val="center"/>
            </w:pPr>
            <w:r>
              <w:rPr>
                <w:rFonts w:ascii="Times New Roman" w:hAnsi="Times New Roman" w:eastAsia="Times New Roman"/>
                <w:b w:val="0"/>
                <w:i w:val="0"/>
                <w:sz w:val="16"/>
              </w:rPr>
              <w:t>0.096</w:t>
            </w:r>
          </w:p>
        </w:tc>
        <w:tc>
          <w:tcPr>
            <w:tcW w:w="2376" w:type="dxa"/>
            <w:tcBorders>
              <w:top w:val="nil"/>
              <w:left w:val="nil"/>
              <w:bottom w:val="nil"/>
              <w:right w:val="nil"/>
              <w:insideH w:val="nil"/>
              <w:insideV w:val="nil"/>
            </w:tcBorders>
            <w:tcMar>
              <w:top w:w="40" w:type="dxa"/>
              <w:left w:w="55" w:type="dxa"/>
              <w:bottom w:w="40" w:type="dxa"/>
              <w:right w:w="55" w:type="dxa"/>
            </w:tcMar>
            <w:vAlign w:val="center"/>
          </w:tcPr>
          <w:p w14:paraId="2748B8E5">
            <w:pPr>
              <w:spacing w:before="0" w:after="0" w:line="240" w:lineRule="auto"/>
              <w:jc w:val="center"/>
            </w:pPr>
            <w:r>
              <w:rPr>
                <w:rFonts w:ascii="Times New Roman" w:hAnsi="Times New Roman" w:eastAsia="Times New Roman"/>
                <w:b w:val="0"/>
                <w:i w:val="0"/>
                <w:sz w:val="16"/>
              </w:rPr>
              <w:t>0.393-0.770</w:t>
            </w:r>
          </w:p>
        </w:tc>
        <w:tc>
          <w:tcPr>
            <w:tcW w:w="1224" w:type="dxa"/>
            <w:tcBorders>
              <w:top w:val="nil"/>
              <w:left w:val="nil"/>
              <w:bottom w:val="nil"/>
              <w:right w:val="nil"/>
              <w:insideH w:val="nil"/>
              <w:insideV w:val="nil"/>
            </w:tcBorders>
            <w:tcMar>
              <w:top w:w="40" w:type="dxa"/>
              <w:left w:w="55" w:type="dxa"/>
              <w:bottom w:w="40" w:type="dxa"/>
              <w:right w:w="55" w:type="dxa"/>
            </w:tcMar>
            <w:vAlign w:val="center"/>
          </w:tcPr>
          <w:p w14:paraId="3CFB2028">
            <w:pPr>
              <w:spacing w:before="0" w:after="0" w:line="240" w:lineRule="auto"/>
              <w:jc w:val="center"/>
            </w:pPr>
            <w:r>
              <w:rPr>
                <w:rFonts w:ascii="Times New Roman" w:hAnsi="Times New Roman" w:eastAsia="Times New Roman"/>
                <w:b w:val="0"/>
                <w:i w:val="0"/>
                <w:sz w:val="16"/>
              </w:rPr>
              <w:t>&lt;0.001</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0F9DA929">
            <w:pPr>
              <w:spacing w:before="0" w:after="0" w:line="240" w:lineRule="auto"/>
              <w:jc w:val="center"/>
            </w:pPr>
            <w:r>
              <w:rPr>
                <w:rFonts w:ascii="Times New Roman" w:hAnsi="Times New Roman" w:eastAsia="Times New Roman"/>
                <w:b w:val="0"/>
                <w:i w:val="0"/>
                <w:sz w:val="16"/>
              </w:rPr>
              <w:t>0.236</w:t>
            </w:r>
          </w:p>
        </w:tc>
        <w:tc>
          <w:tcPr>
            <w:tcW w:w="1080" w:type="dxa"/>
            <w:tcBorders>
              <w:top w:val="nil"/>
              <w:left w:val="nil"/>
              <w:bottom w:val="nil"/>
              <w:right w:val="nil"/>
              <w:insideH w:val="nil"/>
              <w:insideV w:val="nil"/>
            </w:tcBorders>
            <w:tcMar>
              <w:top w:w="40" w:type="dxa"/>
              <w:left w:w="55" w:type="dxa"/>
              <w:bottom w:w="40" w:type="dxa"/>
              <w:right w:w="55" w:type="dxa"/>
            </w:tcMar>
            <w:vAlign w:val="center"/>
          </w:tcPr>
          <w:p w14:paraId="6C239934">
            <w:pPr>
              <w:spacing w:before="0" w:after="0" w:line="240" w:lineRule="auto"/>
              <w:jc w:val="center"/>
            </w:pPr>
            <w:r>
              <w:rPr>
                <w:rFonts w:ascii="Times New Roman" w:hAnsi="Times New Roman" w:eastAsia="Times New Roman"/>
                <w:b w:val="0"/>
                <w:i w:val="0"/>
                <w:sz w:val="16"/>
              </w:rPr>
              <w:t>1.030</w:t>
            </w:r>
          </w:p>
        </w:tc>
      </w:tr>
      <w:tr w14:paraId="5C2E7D3F">
        <w:tblPrEx>
          <w:tblCellMar>
            <w:top w:w="0" w:type="dxa"/>
            <w:left w:w="108" w:type="dxa"/>
            <w:bottom w:w="0" w:type="dxa"/>
            <w:right w:w="108" w:type="dxa"/>
          </w:tblCellMar>
        </w:tblPrEx>
        <w:trPr>
          <w:jc w:val="center"/>
        </w:trPr>
        <w:tc>
          <w:tcPr>
            <w:tcW w:w="3960" w:type="dxa"/>
            <w:tcBorders>
              <w:top w:val="nil"/>
              <w:left w:val="nil"/>
              <w:bottom w:val="nil"/>
              <w:right w:val="nil"/>
              <w:insideH w:val="nil"/>
              <w:insideV w:val="nil"/>
            </w:tcBorders>
            <w:tcMar>
              <w:top w:w="40" w:type="dxa"/>
              <w:left w:w="55" w:type="dxa"/>
              <w:bottom w:w="40" w:type="dxa"/>
              <w:right w:w="55" w:type="dxa"/>
            </w:tcMar>
            <w:vAlign w:val="center"/>
          </w:tcPr>
          <w:p w14:paraId="4FDAAF5D">
            <w:pPr>
              <w:spacing w:before="0" w:after="0" w:line="240" w:lineRule="auto"/>
              <w:jc w:val="left"/>
            </w:pPr>
            <w:r>
              <w:rPr>
                <w:rFonts w:ascii="Times New Roman" w:hAnsi="Times New Roman" w:eastAsia="Times New Roman"/>
                <w:b w:val="0"/>
                <w:i w:val="0"/>
                <w:sz w:val="16"/>
              </w:rPr>
              <w:t>JLCA, °</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1B589AFF">
            <w:pPr>
              <w:spacing w:before="0" w:after="0" w:line="240" w:lineRule="auto"/>
              <w:jc w:val="center"/>
            </w:pPr>
            <w:r>
              <w:rPr>
                <w:rFonts w:ascii="Times New Roman" w:hAnsi="Times New Roman" w:eastAsia="Times New Roman"/>
                <w:b w:val="0"/>
                <w:i w:val="0"/>
                <w:sz w:val="16"/>
              </w:rPr>
              <w:t>-1.671</w:t>
            </w:r>
          </w:p>
        </w:tc>
        <w:tc>
          <w:tcPr>
            <w:tcW w:w="1728" w:type="dxa"/>
            <w:tcBorders>
              <w:top w:val="nil"/>
              <w:left w:val="nil"/>
              <w:bottom w:val="nil"/>
              <w:right w:val="nil"/>
              <w:insideH w:val="nil"/>
              <w:insideV w:val="nil"/>
            </w:tcBorders>
            <w:tcMar>
              <w:top w:w="40" w:type="dxa"/>
              <w:left w:w="55" w:type="dxa"/>
              <w:bottom w:w="40" w:type="dxa"/>
              <w:right w:w="55" w:type="dxa"/>
            </w:tcMar>
            <w:vAlign w:val="center"/>
          </w:tcPr>
          <w:p w14:paraId="487FA8D6">
            <w:pPr>
              <w:spacing w:before="0" w:after="0" w:line="240" w:lineRule="auto"/>
              <w:jc w:val="center"/>
            </w:pPr>
            <w:r>
              <w:rPr>
                <w:rFonts w:ascii="Times New Roman" w:hAnsi="Times New Roman" w:eastAsia="Times New Roman"/>
                <w:b w:val="0"/>
                <w:i w:val="0"/>
                <w:sz w:val="16"/>
              </w:rPr>
              <w:t>0.365</w:t>
            </w:r>
          </w:p>
        </w:tc>
        <w:tc>
          <w:tcPr>
            <w:tcW w:w="2376" w:type="dxa"/>
            <w:tcBorders>
              <w:top w:val="nil"/>
              <w:left w:val="nil"/>
              <w:bottom w:val="nil"/>
              <w:right w:val="nil"/>
              <w:insideH w:val="nil"/>
              <w:insideV w:val="nil"/>
            </w:tcBorders>
            <w:tcMar>
              <w:top w:w="40" w:type="dxa"/>
              <w:left w:w="55" w:type="dxa"/>
              <w:bottom w:w="40" w:type="dxa"/>
              <w:right w:w="55" w:type="dxa"/>
            </w:tcMar>
            <w:vAlign w:val="center"/>
          </w:tcPr>
          <w:p w14:paraId="7D3F898C">
            <w:pPr>
              <w:spacing w:before="0" w:after="0" w:line="240" w:lineRule="auto"/>
              <w:jc w:val="center"/>
            </w:pPr>
            <w:r>
              <w:rPr>
                <w:rFonts w:ascii="Times New Roman" w:hAnsi="Times New Roman" w:eastAsia="Times New Roman"/>
                <w:b w:val="0"/>
                <w:i w:val="0"/>
                <w:sz w:val="16"/>
              </w:rPr>
              <w:t>-2.389--0.954</w:t>
            </w:r>
          </w:p>
        </w:tc>
        <w:tc>
          <w:tcPr>
            <w:tcW w:w="1224" w:type="dxa"/>
            <w:tcBorders>
              <w:top w:val="nil"/>
              <w:left w:val="nil"/>
              <w:bottom w:val="nil"/>
              <w:right w:val="nil"/>
              <w:insideH w:val="nil"/>
              <w:insideV w:val="nil"/>
            </w:tcBorders>
            <w:tcMar>
              <w:top w:w="40" w:type="dxa"/>
              <w:left w:w="55" w:type="dxa"/>
              <w:bottom w:w="40" w:type="dxa"/>
              <w:right w:w="55" w:type="dxa"/>
            </w:tcMar>
            <w:vAlign w:val="center"/>
          </w:tcPr>
          <w:p w14:paraId="08EEE4E2">
            <w:pPr>
              <w:spacing w:before="0" w:after="0" w:line="240" w:lineRule="auto"/>
              <w:jc w:val="center"/>
            </w:pPr>
            <w:r>
              <w:rPr>
                <w:rFonts w:ascii="Times New Roman" w:hAnsi="Times New Roman" w:eastAsia="Times New Roman"/>
                <w:b w:val="0"/>
                <w:i w:val="0"/>
                <w:sz w:val="16"/>
              </w:rPr>
              <w:t>&lt;0.001</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3478FE5C">
            <w:pPr>
              <w:spacing w:before="0" w:after="0" w:line="240" w:lineRule="auto"/>
              <w:jc w:val="center"/>
            </w:pPr>
            <w:r>
              <w:rPr>
                <w:rFonts w:ascii="Times New Roman" w:hAnsi="Times New Roman" w:eastAsia="Times New Roman"/>
                <w:b w:val="0"/>
                <w:i w:val="0"/>
                <w:sz w:val="16"/>
              </w:rPr>
              <w:t>-0.171</w:t>
            </w:r>
          </w:p>
        </w:tc>
        <w:tc>
          <w:tcPr>
            <w:tcW w:w="1080" w:type="dxa"/>
            <w:tcBorders>
              <w:top w:val="nil"/>
              <w:left w:val="nil"/>
              <w:bottom w:val="nil"/>
              <w:right w:val="nil"/>
              <w:insideH w:val="nil"/>
              <w:insideV w:val="nil"/>
            </w:tcBorders>
            <w:tcMar>
              <w:top w:w="40" w:type="dxa"/>
              <w:left w:w="55" w:type="dxa"/>
              <w:bottom w:w="40" w:type="dxa"/>
              <w:right w:w="55" w:type="dxa"/>
            </w:tcMar>
            <w:vAlign w:val="center"/>
          </w:tcPr>
          <w:p w14:paraId="0F81269B">
            <w:pPr>
              <w:spacing w:before="0" w:after="0" w:line="240" w:lineRule="auto"/>
              <w:jc w:val="center"/>
            </w:pPr>
            <w:r>
              <w:rPr>
                <w:rFonts w:ascii="Times New Roman" w:hAnsi="Times New Roman" w:eastAsia="Times New Roman"/>
                <w:b w:val="0"/>
                <w:i w:val="0"/>
                <w:sz w:val="16"/>
              </w:rPr>
              <w:t>1.005</w:t>
            </w:r>
          </w:p>
        </w:tc>
      </w:tr>
      <w:tr w14:paraId="4AE0C248">
        <w:tblPrEx>
          <w:tblCellMar>
            <w:top w:w="0" w:type="dxa"/>
            <w:left w:w="108" w:type="dxa"/>
            <w:bottom w:w="0" w:type="dxa"/>
            <w:right w:w="108" w:type="dxa"/>
          </w:tblCellMar>
        </w:tblPrEx>
        <w:trPr>
          <w:jc w:val="center"/>
        </w:trPr>
        <w:tc>
          <w:tcPr>
            <w:tcW w:w="3960" w:type="dxa"/>
            <w:tcBorders>
              <w:top w:val="nil"/>
              <w:left w:val="nil"/>
              <w:bottom w:val="nil"/>
              <w:right w:val="nil"/>
              <w:insideH w:val="nil"/>
              <w:insideV w:val="nil"/>
            </w:tcBorders>
            <w:tcMar>
              <w:top w:w="40" w:type="dxa"/>
              <w:left w:w="55" w:type="dxa"/>
              <w:bottom w:w="40" w:type="dxa"/>
              <w:right w:w="55" w:type="dxa"/>
            </w:tcMar>
            <w:vAlign w:val="center"/>
          </w:tcPr>
          <w:p w14:paraId="231B0847">
            <w:pPr>
              <w:spacing w:before="0" w:after="0" w:line="240" w:lineRule="auto"/>
              <w:jc w:val="left"/>
            </w:pPr>
            <w:r>
              <w:rPr>
                <w:rFonts w:ascii="Times New Roman" w:hAnsi="Times New Roman" w:eastAsia="Times New Roman"/>
                <w:b w:val="0"/>
                <w:i w:val="0"/>
                <w:sz w:val="16"/>
              </w:rPr>
              <w:t>Alignment restoration error, °</w:t>
            </w:r>
          </w:p>
        </w:tc>
        <w:tc>
          <w:tcPr>
            <w:tcW w:w="2232" w:type="dxa"/>
            <w:tcBorders>
              <w:top w:val="nil"/>
              <w:left w:val="nil"/>
              <w:bottom w:val="nil"/>
              <w:right w:val="nil"/>
              <w:insideH w:val="nil"/>
              <w:insideV w:val="nil"/>
            </w:tcBorders>
            <w:tcMar>
              <w:top w:w="40" w:type="dxa"/>
              <w:left w:w="55" w:type="dxa"/>
              <w:bottom w:w="40" w:type="dxa"/>
              <w:right w:w="55" w:type="dxa"/>
            </w:tcMar>
            <w:vAlign w:val="center"/>
          </w:tcPr>
          <w:p w14:paraId="67A094DE">
            <w:pPr>
              <w:spacing w:before="0" w:after="0" w:line="240" w:lineRule="auto"/>
              <w:jc w:val="center"/>
            </w:pPr>
            <w:r>
              <w:rPr>
                <w:rFonts w:ascii="Times New Roman" w:hAnsi="Times New Roman" w:eastAsia="Times New Roman"/>
                <w:b w:val="0"/>
                <w:i w:val="0"/>
                <w:sz w:val="16"/>
              </w:rPr>
              <w:t>-5.755</w:t>
            </w:r>
          </w:p>
        </w:tc>
        <w:tc>
          <w:tcPr>
            <w:tcW w:w="1728" w:type="dxa"/>
            <w:tcBorders>
              <w:top w:val="nil"/>
              <w:left w:val="nil"/>
              <w:bottom w:val="nil"/>
              <w:right w:val="nil"/>
              <w:insideH w:val="nil"/>
              <w:insideV w:val="nil"/>
            </w:tcBorders>
            <w:tcMar>
              <w:top w:w="40" w:type="dxa"/>
              <w:left w:w="55" w:type="dxa"/>
              <w:bottom w:w="40" w:type="dxa"/>
              <w:right w:w="55" w:type="dxa"/>
            </w:tcMar>
            <w:vAlign w:val="center"/>
          </w:tcPr>
          <w:p w14:paraId="5C460B22">
            <w:pPr>
              <w:spacing w:before="0" w:after="0" w:line="240" w:lineRule="auto"/>
              <w:jc w:val="center"/>
            </w:pPr>
            <w:r>
              <w:rPr>
                <w:rFonts w:ascii="Times New Roman" w:hAnsi="Times New Roman" w:eastAsia="Times New Roman"/>
                <w:b w:val="0"/>
                <w:i w:val="0"/>
                <w:sz w:val="16"/>
              </w:rPr>
              <w:t>0.674</w:t>
            </w:r>
          </w:p>
        </w:tc>
        <w:tc>
          <w:tcPr>
            <w:tcW w:w="2376" w:type="dxa"/>
            <w:tcBorders>
              <w:top w:val="nil"/>
              <w:left w:val="nil"/>
              <w:bottom w:val="nil"/>
              <w:right w:val="nil"/>
              <w:insideH w:val="nil"/>
              <w:insideV w:val="nil"/>
            </w:tcBorders>
            <w:tcMar>
              <w:top w:w="40" w:type="dxa"/>
              <w:left w:w="55" w:type="dxa"/>
              <w:bottom w:w="40" w:type="dxa"/>
              <w:right w:w="55" w:type="dxa"/>
            </w:tcMar>
            <w:vAlign w:val="center"/>
          </w:tcPr>
          <w:p w14:paraId="79EBC2AF">
            <w:pPr>
              <w:spacing w:before="0" w:after="0" w:line="240" w:lineRule="auto"/>
              <w:jc w:val="center"/>
            </w:pPr>
            <w:r>
              <w:rPr>
                <w:rFonts w:ascii="Times New Roman" w:hAnsi="Times New Roman" w:eastAsia="Times New Roman"/>
                <w:b w:val="0"/>
                <w:i w:val="0"/>
                <w:sz w:val="16"/>
              </w:rPr>
              <w:t>-7.079--4.431</w:t>
            </w:r>
          </w:p>
        </w:tc>
        <w:tc>
          <w:tcPr>
            <w:tcW w:w="1224" w:type="dxa"/>
            <w:tcBorders>
              <w:top w:val="nil"/>
              <w:left w:val="nil"/>
              <w:bottom w:val="nil"/>
              <w:right w:val="nil"/>
              <w:insideH w:val="nil"/>
              <w:insideV w:val="nil"/>
            </w:tcBorders>
            <w:tcMar>
              <w:top w:w="40" w:type="dxa"/>
              <w:left w:w="55" w:type="dxa"/>
              <w:bottom w:w="40" w:type="dxa"/>
              <w:right w:w="55" w:type="dxa"/>
            </w:tcMar>
            <w:vAlign w:val="center"/>
          </w:tcPr>
          <w:p w14:paraId="62B83292">
            <w:pPr>
              <w:spacing w:before="0" w:after="0" w:line="240" w:lineRule="auto"/>
              <w:jc w:val="center"/>
            </w:pPr>
            <w:r>
              <w:rPr>
                <w:rFonts w:ascii="Times New Roman" w:hAnsi="Times New Roman" w:eastAsia="Times New Roman"/>
                <w:b w:val="0"/>
                <w:i w:val="0"/>
                <w:sz w:val="16"/>
              </w:rPr>
              <w:t>&lt;0.001</w:t>
            </w:r>
          </w:p>
        </w:tc>
        <w:tc>
          <w:tcPr>
            <w:tcW w:w="1584" w:type="dxa"/>
            <w:tcBorders>
              <w:top w:val="nil"/>
              <w:left w:val="nil"/>
              <w:bottom w:val="nil"/>
              <w:right w:val="nil"/>
              <w:insideH w:val="nil"/>
              <w:insideV w:val="nil"/>
            </w:tcBorders>
            <w:tcMar>
              <w:top w:w="40" w:type="dxa"/>
              <w:left w:w="55" w:type="dxa"/>
              <w:bottom w:w="40" w:type="dxa"/>
              <w:right w:w="55" w:type="dxa"/>
            </w:tcMar>
            <w:vAlign w:val="center"/>
          </w:tcPr>
          <w:p w14:paraId="249A6D1C">
            <w:pPr>
              <w:spacing w:before="0" w:after="0" w:line="240" w:lineRule="auto"/>
              <w:jc w:val="center"/>
            </w:pPr>
            <w:r>
              <w:rPr>
                <w:rFonts w:ascii="Times New Roman" w:hAnsi="Times New Roman" w:eastAsia="Times New Roman"/>
                <w:b w:val="0"/>
                <w:i w:val="0"/>
                <w:sz w:val="16"/>
              </w:rPr>
              <w:t>-0.332</w:t>
            </w:r>
          </w:p>
        </w:tc>
        <w:tc>
          <w:tcPr>
            <w:tcW w:w="1080" w:type="dxa"/>
            <w:tcBorders>
              <w:top w:val="nil"/>
              <w:left w:val="nil"/>
              <w:bottom w:val="nil"/>
              <w:right w:val="nil"/>
              <w:insideH w:val="nil"/>
              <w:insideV w:val="nil"/>
            </w:tcBorders>
            <w:tcMar>
              <w:top w:w="40" w:type="dxa"/>
              <w:left w:w="55" w:type="dxa"/>
              <w:bottom w:w="40" w:type="dxa"/>
              <w:right w:w="55" w:type="dxa"/>
            </w:tcMar>
            <w:vAlign w:val="center"/>
          </w:tcPr>
          <w:p w14:paraId="0AF5C07E">
            <w:pPr>
              <w:spacing w:before="0" w:after="0" w:line="240" w:lineRule="auto"/>
              <w:jc w:val="center"/>
            </w:pPr>
            <w:r>
              <w:rPr>
                <w:rFonts w:ascii="Times New Roman" w:hAnsi="Times New Roman" w:eastAsia="Times New Roman"/>
                <w:b w:val="0"/>
                <w:i w:val="0"/>
                <w:sz w:val="16"/>
              </w:rPr>
              <w:t>1.007</w:t>
            </w:r>
          </w:p>
        </w:tc>
      </w:tr>
      <w:tr w14:paraId="04EDF0DE">
        <w:tblPrEx>
          <w:tblCellMar>
            <w:top w:w="0" w:type="dxa"/>
            <w:left w:w="108" w:type="dxa"/>
            <w:bottom w:w="0" w:type="dxa"/>
            <w:right w:w="108" w:type="dxa"/>
          </w:tblCellMar>
        </w:tblPrEx>
        <w:trPr>
          <w:jc w:val="center"/>
        </w:trPr>
        <w:tc>
          <w:tcPr>
            <w:tcW w:w="3960"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21AFDE2A">
            <w:pPr>
              <w:spacing w:before="0" w:after="0" w:line="240" w:lineRule="auto"/>
              <w:jc w:val="left"/>
            </w:pPr>
            <w:r>
              <w:rPr>
                <w:rFonts w:ascii="Times New Roman" w:hAnsi="Times New Roman" w:eastAsia="Times New Roman"/>
                <w:b w:val="0"/>
                <w:i w:val="0"/>
                <w:sz w:val="16"/>
              </w:rPr>
              <w:t>|ΔPTS|, °</w:t>
            </w:r>
          </w:p>
        </w:tc>
        <w:tc>
          <w:tcPr>
            <w:tcW w:w="2232"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6D4B24A5">
            <w:pPr>
              <w:spacing w:before="0" w:after="0" w:line="240" w:lineRule="auto"/>
              <w:jc w:val="center"/>
            </w:pPr>
            <w:r>
              <w:rPr>
                <w:rFonts w:ascii="Times New Roman" w:hAnsi="Times New Roman" w:eastAsia="Times New Roman"/>
                <w:b w:val="0"/>
                <w:i w:val="0"/>
                <w:sz w:val="16"/>
              </w:rPr>
              <w:t>-2.208</w:t>
            </w:r>
          </w:p>
        </w:tc>
        <w:tc>
          <w:tcPr>
            <w:tcW w:w="1728"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4BB1F830">
            <w:pPr>
              <w:spacing w:before="0" w:after="0" w:line="240" w:lineRule="auto"/>
              <w:jc w:val="center"/>
            </w:pPr>
            <w:r>
              <w:rPr>
                <w:rFonts w:ascii="Times New Roman" w:hAnsi="Times New Roman" w:eastAsia="Times New Roman"/>
                <w:b w:val="0"/>
                <w:i w:val="0"/>
                <w:sz w:val="16"/>
              </w:rPr>
              <w:t>0.465</w:t>
            </w:r>
          </w:p>
        </w:tc>
        <w:tc>
          <w:tcPr>
            <w:tcW w:w="2376"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43BA82ED">
            <w:pPr>
              <w:spacing w:before="0" w:after="0" w:line="240" w:lineRule="auto"/>
              <w:jc w:val="center"/>
            </w:pPr>
            <w:r>
              <w:rPr>
                <w:rFonts w:ascii="Times New Roman" w:hAnsi="Times New Roman" w:eastAsia="Times New Roman"/>
                <w:b w:val="0"/>
                <w:i w:val="0"/>
                <w:sz w:val="16"/>
              </w:rPr>
              <w:t>-3.122--1.295</w:t>
            </w:r>
          </w:p>
        </w:tc>
        <w:tc>
          <w:tcPr>
            <w:tcW w:w="1224"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27A4A309">
            <w:pPr>
              <w:spacing w:before="0" w:after="0" w:line="240" w:lineRule="auto"/>
              <w:jc w:val="center"/>
            </w:pPr>
            <w:r>
              <w:rPr>
                <w:rFonts w:ascii="Times New Roman" w:hAnsi="Times New Roman" w:eastAsia="Times New Roman"/>
                <w:b w:val="0"/>
                <w:i w:val="0"/>
                <w:sz w:val="16"/>
              </w:rPr>
              <w:t>&lt;0.001</w:t>
            </w:r>
          </w:p>
        </w:tc>
        <w:tc>
          <w:tcPr>
            <w:tcW w:w="1584"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2474A8D7">
            <w:pPr>
              <w:spacing w:before="0" w:after="0" w:line="240" w:lineRule="auto"/>
              <w:jc w:val="center"/>
            </w:pPr>
            <w:r>
              <w:rPr>
                <w:rFonts w:ascii="Times New Roman" w:hAnsi="Times New Roman" w:eastAsia="Times New Roman"/>
                <w:b w:val="0"/>
                <w:i w:val="0"/>
                <w:sz w:val="16"/>
              </w:rPr>
              <w:t>-0.182</w:t>
            </w:r>
          </w:p>
        </w:tc>
        <w:tc>
          <w:tcPr>
            <w:tcW w:w="1080" w:type="dxa"/>
            <w:tcBorders>
              <w:top w:val="nil"/>
              <w:left w:val="nil"/>
              <w:bottom w:val="single" w:color="000000" w:sz="10" w:space="0"/>
              <w:right w:val="nil"/>
              <w:insideH w:val="nil"/>
              <w:insideV w:val="nil"/>
            </w:tcBorders>
            <w:tcMar>
              <w:top w:w="40" w:type="dxa"/>
              <w:left w:w="55" w:type="dxa"/>
              <w:bottom w:w="40" w:type="dxa"/>
              <w:right w:w="55" w:type="dxa"/>
            </w:tcMar>
            <w:vAlign w:val="center"/>
          </w:tcPr>
          <w:p w14:paraId="49C1BCCD">
            <w:pPr>
              <w:spacing w:before="0" w:after="0" w:line="240" w:lineRule="auto"/>
              <w:jc w:val="center"/>
            </w:pPr>
            <w:r>
              <w:rPr>
                <w:rFonts w:ascii="Times New Roman" w:hAnsi="Times New Roman" w:eastAsia="Times New Roman"/>
                <w:b w:val="0"/>
                <w:i w:val="0"/>
                <w:sz w:val="16"/>
              </w:rPr>
              <w:t>1.003</w:t>
            </w:r>
          </w:p>
        </w:tc>
      </w:tr>
    </w:tbl>
    <w:p w14:paraId="79D5A667">
      <w:pPr>
        <w:spacing w:before="60" w:after="0" w:line="240" w:lineRule="auto"/>
        <w:jc w:val="left"/>
        <w:rPr>
          <w:rFonts w:hint="eastAsia" w:eastAsia="宋体"/>
          <w:b w:val="0"/>
          <w:i w:val="0"/>
          <w:sz w:val="16"/>
          <w:lang w:val="en-US" w:eastAsia="zh-CN"/>
        </w:rPr>
      </w:pPr>
      <w:r>
        <w:rPr>
          <w:rFonts w:hint="eastAsia" w:eastAsia="宋体"/>
          <w:b w:val="0"/>
          <w:i w:val="0"/>
          <w:sz w:val="16"/>
          <w:lang w:val="en-US" w:eastAsia="zh-CN"/>
        </w:rPr>
        <w:t>Multivariable ordinary least-squares regression was performed with continuous FJS-12 as the outcome and HC3 heteroskedasticity-robust standard errors for statistical inference. Both unstandardized and standardized regression coefficients are reported. Model performance was summarized using R², adjusted R², root mean square error, and mean absolute error. FJS-12, Forgotten Joint Score-12; OKS, Oxford Knee Score; JLCA, joint-line convergence angle; PTS, posterior tibial slope; CI, confidence interval; VIF, variance inflation factor; RMSE, root mean square error; MAE, mean absolute error.</w:t>
      </w:r>
    </w:p>
    <w:p w14:paraId="6EACBEBD">
      <w:pPr>
        <w:spacing w:before="60" w:after="0" w:line="240" w:lineRule="auto"/>
        <w:jc w:val="left"/>
        <w:rPr>
          <w:rFonts w:hint="eastAsia" w:eastAsia="宋体"/>
          <w:b w:val="0"/>
          <w:i w:val="0"/>
          <w:sz w:val="16"/>
          <w:lang w:val="en-US" w:eastAsia="zh-CN"/>
        </w:rPr>
      </w:pPr>
    </w:p>
    <w:p w14:paraId="1DF09210">
      <w:pPr>
        <w:spacing w:before="60" w:after="0" w:line="240" w:lineRule="auto"/>
        <w:jc w:val="left"/>
        <w:rPr>
          <w:rFonts w:hint="eastAsia" w:eastAsia="宋体"/>
          <w:b w:val="0"/>
          <w:i w:val="0"/>
          <w:sz w:val="16"/>
          <w:lang w:val="en-US" w:eastAsia="zh-CN"/>
        </w:rPr>
      </w:pPr>
    </w:p>
    <w:p w14:paraId="7960331A">
      <w:pPr>
        <w:spacing w:before="60" w:after="0" w:line="240" w:lineRule="auto"/>
        <w:jc w:val="left"/>
        <w:rPr>
          <w:rFonts w:hint="eastAsia" w:eastAsia="宋体"/>
          <w:b w:val="0"/>
          <w:i w:val="0"/>
          <w:sz w:val="16"/>
          <w:lang w:val="en-US" w:eastAsia="zh-CN"/>
        </w:rPr>
      </w:pPr>
    </w:p>
    <w:p w14:paraId="1E8C57CA">
      <w:pPr>
        <w:spacing w:before="60" w:after="0" w:line="240" w:lineRule="auto"/>
        <w:jc w:val="left"/>
        <w:rPr>
          <w:rFonts w:hint="eastAsia" w:eastAsia="宋体"/>
          <w:b w:val="0"/>
          <w:i w:val="0"/>
          <w:sz w:val="16"/>
          <w:lang w:val="en-US" w:eastAsia="zh-CN"/>
        </w:rPr>
      </w:pPr>
    </w:p>
    <w:p w14:paraId="05C5CA13">
      <w:pPr>
        <w:spacing w:before="60" w:after="0" w:line="240" w:lineRule="auto"/>
        <w:jc w:val="left"/>
        <w:rPr>
          <w:rFonts w:hint="eastAsia" w:eastAsia="宋体"/>
          <w:b w:val="0"/>
          <w:i w:val="0"/>
          <w:sz w:val="16"/>
          <w:lang w:val="en-US" w:eastAsia="zh-CN"/>
        </w:rPr>
      </w:pPr>
    </w:p>
    <w:p w14:paraId="237884C5">
      <w:pPr>
        <w:spacing w:before="60" w:after="0" w:line="240" w:lineRule="auto"/>
        <w:jc w:val="left"/>
        <w:rPr>
          <w:rFonts w:hint="eastAsia" w:eastAsia="宋体"/>
          <w:b w:val="0"/>
          <w:i w:val="0"/>
          <w:sz w:val="16"/>
          <w:lang w:val="en-US" w:eastAsia="zh-CN"/>
        </w:rPr>
      </w:pPr>
    </w:p>
    <w:p w14:paraId="72A25FA4">
      <w:pPr>
        <w:spacing w:before="60" w:after="0" w:line="240" w:lineRule="auto"/>
        <w:jc w:val="left"/>
        <w:rPr>
          <w:rFonts w:hint="eastAsia" w:eastAsia="宋体"/>
          <w:b w:val="0"/>
          <w:i w:val="0"/>
          <w:sz w:val="16"/>
          <w:lang w:val="en-US" w:eastAsia="zh-CN"/>
        </w:rPr>
      </w:pPr>
    </w:p>
    <w:p w14:paraId="3CEF63B6">
      <w:pPr>
        <w:spacing w:before="60" w:after="0" w:line="240" w:lineRule="auto"/>
        <w:jc w:val="left"/>
        <w:rPr>
          <w:rFonts w:hint="eastAsia" w:eastAsia="宋体"/>
          <w:b w:val="0"/>
          <w:i w:val="0"/>
          <w:sz w:val="16"/>
          <w:lang w:val="en-US" w:eastAsia="zh-CN"/>
        </w:rPr>
      </w:pPr>
    </w:p>
    <w:p w14:paraId="771F36F4">
      <w:pPr>
        <w:spacing w:after="120"/>
        <w:jc w:val="center"/>
        <w:rPr>
          <w:rFonts w:ascii="Times New Roman" w:hAnsi="Times New Roman" w:eastAsia="Times New Roman"/>
          <w:b/>
          <w:sz w:val="21"/>
        </w:rPr>
      </w:pPr>
    </w:p>
    <w:p w14:paraId="51B14444">
      <w:pPr>
        <w:spacing w:after="120"/>
        <w:jc w:val="center"/>
        <w:rPr>
          <w:rFonts w:ascii="Times New Roman" w:hAnsi="Times New Roman" w:eastAsia="Times New Roman"/>
          <w:b/>
          <w:sz w:val="21"/>
        </w:rPr>
      </w:pPr>
    </w:p>
    <w:p w14:paraId="3F582A9D">
      <w:pPr>
        <w:spacing w:after="120"/>
        <w:jc w:val="center"/>
        <w:rPr>
          <w:rFonts w:ascii="Times New Roman" w:hAnsi="Times New Roman" w:eastAsia="Times New Roman"/>
          <w:b/>
          <w:sz w:val="21"/>
        </w:rPr>
      </w:pPr>
    </w:p>
    <w:p w14:paraId="284DE018">
      <w:pPr>
        <w:spacing w:after="120"/>
        <w:jc w:val="center"/>
        <w:rPr>
          <w:rFonts w:ascii="Times New Roman" w:hAnsi="Times New Roman" w:eastAsia="Times New Roman"/>
          <w:b/>
          <w:sz w:val="21"/>
        </w:rPr>
      </w:pPr>
    </w:p>
    <w:p w14:paraId="76BD3AF1">
      <w:pPr>
        <w:spacing w:after="120"/>
        <w:jc w:val="center"/>
        <w:rPr>
          <w:rFonts w:ascii="Times New Roman" w:hAnsi="Times New Roman" w:eastAsia="Times New Roman"/>
          <w:b/>
          <w:sz w:val="21"/>
        </w:rPr>
      </w:pPr>
    </w:p>
    <w:p w14:paraId="0E9D2C2D">
      <w:pPr>
        <w:spacing w:after="120"/>
        <w:jc w:val="center"/>
        <w:rPr>
          <w:rFonts w:ascii="Times New Roman" w:hAnsi="Times New Roman" w:eastAsia="Times New Roman"/>
          <w:b/>
          <w:sz w:val="21"/>
        </w:rPr>
      </w:pPr>
    </w:p>
    <w:p w14:paraId="08DA11D7">
      <w:pPr>
        <w:spacing w:after="120"/>
        <w:jc w:val="center"/>
        <w:rPr>
          <w:rFonts w:ascii="Times New Roman" w:hAnsi="Times New Roman" w:eastAsia="Times New Roman"/>
          <w:b/>
          <w:sz w:val="21"/>
        </w:rPr>
      </w:pPr>
    </w:p>
    <w:p w14:paraId="4840296D">
      <w:pPr>
        <w:spacing w:after="120"/>
        <w:jc w:val="center"/>
        <w:rPr>
          <w:rFonts w:ascii="Times New Roman" w:hAnsi="Times New Roman" w:eastAsia="Times New Roman"/>
          <w:b/>
          <w:sz w:val="21"/>
        </w:rPr>
      </w:pPr>
    </w:p>
    <w:p w14:paraId="214A9FEC">
      <w:pPr>
        <w:spacing w:after="120"/>
        <w:jc w:val="center"/>
        <w:rPr>
          <w:rFonts w:ascii="Times New Roman" w:hAnsi="Times New Roman" w:eastAsia="Times New Roman"/>
          <w:b/>
          <w:sz w:val="21"/>
        </w:rPr>
      </w:pPr>
    </w:p>
    <w:p w14:paraId="475D4983">
      <w:pPr>
        <w:spacing w:after="120"/>
        <w:jc w:val="center"/>
        <w:rPr>
          <w:rFonts w:ascii="Times New Roman" w:hAnsi="Times New Roman" w:eastAsia="Times New Roman"/>
          <w:b/>
          <w:sz w:val="21"/>
        </w:rPr>
      </w:pPr>
    </w:p>
    <w:p w14:paraId="789CBA28">
      <w:pPr>
        <w:spacing w:after="120"/>
        <w:jc w:val="center"/>
        <w:rPr>
          <w:rFonts w:ascii="Times New Roman" w:hAnsi="Times New Roman" w:eastAsia="Times New Roman"/>
          <w:b/>
          <w:sz w:val="21"/>
        </w:rPr>
      </w:pPr>
    </w:p>
    <w:p w14:paraId="29C04972">
      <w:pPr>
        <w:spacing w:after="120"/>
        <w:jc w:val="center"/>
        <w:rPr>
          <w:rFonts w:ascii="Times New Roman" w:hAnsi="Times New Roman" w:eastAsia="Times New Roman"/>
          <w:b/>
          <w:sz w:val="21"/>
        </w:rPr>
      </w:pPr>
    </w:p>
    <w:p w14:paraId="02E76E8E">
      <w:pPr>
        <w:spacing w:after="120"/>
        <w:jc w:val="center"/>
        <w:rPr>
          <w:rFonts w:ascii="Times New Roman" w:hAnsi="Times New Roman" w:eastAsia="Times New Roman"/>
          <w:b/>
          <w:sz w:val="21"/>
        </w:rPr>
      </w:pPr>
    </w:p>
    <w:p w14:paraId="768F5E1C">
      <w:pPr>
        <w:spacing w:after="120"/>
        <w:jc w:val="center"/>
        <w:rPr>
          <w:rFonts w:ascii="Times New Roman" w:hAnsi="Times New Roman" w:eastAsia="Times New Roman"/>
          <w:b/>
          <w:sz w:val="21"/>
        </w:rPr>
      </w:pPr>
    </w:p>
    <w:p w14:paraId="57FE8366">
      <w:pPr>
        <w:spacing w:after="120"/>
        <w:jc w:val="center"/>
        <w:rPr>
          <w:rFonts w:ascii="Times New Roman" w:hAnsi="Times New Roman" w:eastAsia="Times New Roman"/>
          <w:b/>
          <w:sz w:val="21"/>
        </w:rPr>
      </w:pPr>
    </w:p>
    <w:p w14:paraId="4E40D38E">
      <w:pPr>
        <w:spacing w:after="120"/>
        <w:jc w:val="center"/>
      </w:pPr>
      <w:r>
        <w:rPr>
          <w:rFonts w:ascii="Times New Roman" w:hAnsi="Times New Roman" w:eastAsia="Times New Roman"/>
          <w:b/>
          <w:sz w:val="21"/>
        </w:rPr>
        <w:t>Supplementary Table S4. Intraobserver and interobserver reliability of radiographic measurements</w:t>
      </w:r>
    </w:p>
    <w:tbl>
      <w:tblPr>
        <w:tblStyle w:val="33"/>
        <w:tblW w:w="0" w:type="auto"/>
        <w:jc w:val="center"/>
        <w:tblLayout w:type="fixed"/>
        <w:tblCellMar>
          <w:top w:w="0" w:type="dxa"/>
          <w:left w:w="108" w:type="dxa"/>
          <w:bottom w:w="0" w:type="dxa"/>
          <w:right w:w="108" w:type="dxa"/>
        </w:tblCellMar>
      </w:tblPr>
      <w:tblGrid>
        <w:gridCol w:w="2628"/>
        <w:gridCol w:w="2628"/>
        <w:gridCol w:w="2628"/>
        <w:gridCol w:w="2628"/>
      </w:tblGrid>
      <w:tr w14:paraId="601A9EA8">
        <w:tblPrEx>
          <w:tblCellMar>
            <w:top w:w="0" w:type="dxa"/>
            <w:left w:w="108" w:type="dxa"/>
            <w:bottom w:w="0" w:type="dxa"/>
            <w:right w:w="108" w:type="dxa"/>
          </w:tblCellMar>
        </w:tblPrEx>
        <w:trPr>
          <w:cantSplit/>
          <w:jc w:val="center"/>
        </w:trPr>
        <w:tc>
          <w:tcPr>
            <w:tcW w:w="3240" w:type="dxa"/>
            <w:tcBorders>
              <w:top w:val="single" w:color="000000" w:sz="10" w:space="0"/>
              <w:left w:val="nil"/>
              <w:bottom w:val="single" w:color="000000" w:sz="8" w:space="0"/>
              <w:right w:val="nil"/>
              <w:insideH w:val="nil"/>
              <w:insideV w:val="nil"/>
            </w:tcBorders>
            <w:tcMar>
              <w:top w:w="55" w:type="dxa"/>
              <w:left w:w="55" w:type="dxa"/>
              <w:bottom w:w="55" w:type="dxa"/>
              <w:right w:w="55" w:type="dxa"/>
            </w:tcMar>
            <w:vAlign w:val="center"/>
          </w:tcPr>
          <w:p w14:paraId="0364B1E4">
            <w:pPr>
              <w:spacing w:before="0" w:after="0"/>
              <w:jc w:val="center"/>
            </w:pPr>
            <w:r>
              <w:rPr>
                <w:rFonts w:ascii="Times New Roman" w:hAnsi="Times New Roman" w:eastAsia="Times New Roman"/>
                <w:b/>
                <w:sz w:val="17"/>
              </w:rPr>
              <w:t>Measurement</w:t>
            </w:r>
          </w:p>
        </w:tc>
        <w:tc>
          <w:tcPr>
            <w:tcW w:w="2333" w:type="dxa"/>
            <w:tcBorders>
              <w:top w:val="single" w:color="000000" w:sz="10" w:space="0"/>
              <w:left w:val="nil"/>
              <w:bottom w:val="single" w:color="000000" w:sz="8" w:space="0"/>
              <w:right w:val="nil"/>
              <w:insideH w:val="nil"/>
              <w:insideV w:val="nil"/>
            </w:tcBorders>
            <w:tcMar>
              <w:top w:w="55" w:type="dxa"/>
              <w:left w:w="55" w:type="dxa"/>
              <w:bottom w:w="55" w:type="dxa"/>
              <w:right w:w="55" w:type="dxa"/>
            </w:tcMar>
            <w:vAlign w:val="center"/>
          </w:tcPr>
          <w:p w14:paraId="40356332">
            <w:pPr>
              <w:spacing w:before="0" w:after="0"/>
              <w:jc w:val="center"/>
            </w:pPr>
            <w:r>
              <w:rPr>
                <w:rFonts w:ascii="Times New Roman" w:hAnsi="Times New Roman" w:eastAsia="Times New Roman"/>
                <w:b/>
                <w:sz w:val="17"/>
              </w:rPr>
              <w:t>Observer 1</w:t>
            </w:r>
            <w:r>
              <w:rPr>
                <w:rFonts w:ascii="Times New Roman" w:hAnsi="Times New Roman" w:eastAsia="Times New Roman"/>
                <w:b/>
                <w:sz w:val="17"/>
              </w:rPr>
              <w:br w:type="textWrapping"/>
            </w:r>
            <w:r>
              <w:rPr>
                <w:rFonts w:ascii="Times New Roman" w:hAnsi="Times New Roman" w:eastAsia="Times New Roman"/>
                <w:b/>
                <w:sz w:val="17"/>
              </w:rPr>
              <w:t>intraobserver ICC (95% CI)</w:t>
            </w:r>
          </w:p>
        </w:tc>
        <w:tc>
          <w:tcPr>
            <w:tcW w:w="2333" w:type="dxa"/>
            <w:tcBorders>
              <w:top w:val="single" w:color="000000" w:sz="10" w:space="0"/>
              <w:left w:val="nil"/>
              <w:bottom w:val="single" w:color="000000" w:sz="8" w:space="0"/>
              <w:right w:val="nil"/>
              <w:insideH w:val="nil"/>
              <w:insideV w:val="nil"/>
            </w:tcBorders>
            <w:tcMar>
              <w:top w:w="55" w:type="dxa"/>
              <w:left w:w="55" w:type="dxa"/>
              <w:bottom w:w="55" w:type="dxa"/>
              <w:right w:w="55" w:type="dxa"/>
            </w:tcMar>
            <w:vAlign w:val="center"/>
          </w:tcPr>
          <w:p w14:paraId="7373B3A4">
            <w:pPr>
              <w:spacing w:before="0" w:after="0"/>
              <w:jc w:val="center"/>
            </w:pPr>
            <w:r>
              <w:rPr>
                <w:rFonts w:ascii="Times New Roman" w:hAnsi="Times New Roman" w:eastAsia="Times New Roman"/>
                <w:b/>
                <w:sz w:val="17"/>
              </w:rPr>
              <w:t>Observer 2</w:t>
            </w:r>
            <w:r>
              <w:rPr>
                <w:rFonts w:ascii="Times New Roman" w:hAnsi="Times New Roman" w:eastAsia="Times New Roman"/>
                <w:b/>
                <w:sz w:val="17"/>
              </w:rPr>
              <w:br w:type="textWrapping"/>
            </w:r>
            <w:r>
              <w:rPr>
                <w:rFonts w:ascii="Times New Roman" w:hAnsi="Times New Roman" w:eastAsia="Times New Roman"/>
                <w:b/>
                <w:sz w:val="17"/>
              </w:rPr>
              <w:t>intraobserver ICC (95% CI)</w:t>
            </w:r>
          </w:p>
        </w:tc>
        <w:tc>
          <w:tcPr>
            <w:tcW w:w="2333" w:type="dxa"/>
            <w:tcBorders>
              <w:top w:val="single" w:color="000000" w:sz="10" w:space="0"/>
              <w:left w:val="nil"/>
              <w:bottom w:val="single" w:color="000000" w:sz="8" w:space="0"/>
              <w:right w:val="nil"/>
              <w:insideH w:val="nil"/>
              <w:insideV w:val="nil"/>
            </w:tcBorders>
            <w:tcMar>
              <w:top w:w="55" w:type="dxa"/>
              <w:left w:w="55" w:type="dxa"/>
              <w:bottom w:w="55" w:type="dxa"/>
              <w:right w:w="55" w:type="dxa"/>
            </w:tcMar>
            <w:vAlign w:val="center"/>
          </w:tcPr>
          <w:p w14:paraId="489D6035">
            <w:pPr>
              <w:spacing w:before="0" w:after="0"/>
              <w:jc w:val="center"/>
            </w:pPr>
            <w:r>
              <w:rPr>
                <w:rFonts w:ascii="Times New Roman" w:hAnsi="Times New Roman" w:eastAsia="Times New Roman"/>
                <w:b/>
                <w:sz w:val="17"/>
              </w:rPr>
              <w:t>Interobserver ICC (95% CI)</w:t>
            </w:r>
          </w:p>
        </w:tc>
      </w:tr>
      <w:tr w14:paraId="770DB93D">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29D18041">
            <w:pPr>
              <w:spacing w:before="0" w:after="0"/>
              <w:jc w:val="left"/>
            </w:pPr>
            <w:r>
              <w:rPr>
                <w:rFonts w:ascii="Times New Roman" w:hAnsi="Times New Roman" w:eastAsia="Times New Roman"/>
                <w:sz w:val="17"/>
              </w:rPr>
              <w:t>Preoperative HKA,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7EF67752">
            <w:pPr>
              <w:spacing w:before="0" w:after="0"/>
              <w:jc w:val="center"/>
            </w:pPr>
            <w:r>
              <w:rPr>
                <w:rFonts w:ascii="Times New Roman" w:hAnsi="Times New Roman" w:eastAsia="Times New Roman"/>
                <w:sz w:val="17"/>
              </w:rPr>
              <w:t>0.956 (0.923–0.975)</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420DF3C3">
            <w:pPr>
              <w:spacing w:before="0" w:after="0"/>
              <w:jc w:val="center"/>
            </w:pPr>
            <w:r>
              <w:rPr>
                <w:rFonts w:ascii="Times New Roman" w:hAnsi="Times New Roman" w:eastAsia="Times New Roman"/>
                <w:sz w:val="17"/>
              </w:rPr>
              <w:t>0.951 (0.915–0.973)</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7CF74E8D">
            <w:pPr>
              <w:spacing w:before="0" w:after="0"/>
              <w:jc w:val="center"/>
            </w:pPr>
            <w:r>
              <w:rPr>
                <w:rFonts w:ascii="Times New Roman" w:hAnsi="Times New Roman" w:eastAsia="Times New Roman"/>
                <w:sz w:val="17"/>
              </w:rPr>
              <w:t>0.941 (0.898–0.966)</w:t>
            </w:r>
          </w:p>
        </w:tc>
      </w:tr>
      <w:tr w14:paraId="12F9CC6C">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41E3BFC1">
            <w:pPr>
              <w:spacing w:before="0" w:after="0"/>
              <w:jc w:val="left"/>
            </w:pPr>
            <w:r>
              <w:rPr>
                <w:rFonts w:ascii="Times New Roman" w:hAnsi="Times New Roman" w:eastAsia="Times New Roman"/>
                <w:sz w:val="17"/>
              </w:rPr>
              <w:t>MPTA,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1334B726">
            <w:pPr>
              <w:spacing w:before="0" w:after="0"/>
              <w:jc w:val="center"/>
            </w:pPr>
            <w:r>
              <w:rPr>
                <w:rFonts w:ascii="Times New Roman" w:hAnsi="Times New Roman" w:eastAsia="Times New Roman"/>
                <w:sz w:val="17"/>
              </w:rPr>
              <w:t>0.948 (0.909–0.971)</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5BE935A">
            <w:pPr>
              <w:spacing w:before="0" w:after="0"/>
              <w:jc w:val="center"/>
            </w:pPr>
            <w:r>
              <w:rPr>
                <w:rFonts w:ascii="Times New Roman" w:hAnsi="Times New Roman" w:eastAsia="Times New Roman"/>
                <w:sz w:val="17"/>
              </w:rPr>
              <w:t>0.944 (0.902–0.969)</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1A395B73">
            <w:pPr>
              <w:spacing w:before="0" w:after="0"/>
              <w:jc w:val="center"/>
            </w:pPr>
            <w:r>
              <w:rPr>
                <w:rFonts w:ascii="Times New Roman" w:hAnsi="Times New Roman" w:eastAsia="Times New Roman"/>
                <w:sz w:val="17"/>
              </w:rPr>
              <w:t>0.932 (0.883–0.961)</w:t>
            </w:r>
          </w:p>
        </w:tc>
      </w:tr>
      <w:tr w14:paraId="2FE47B42">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1A1E700E">
            <w:pPr>
              <w:spacing w:before="0" w:after="0"/>
              <w:jc w:val="left"/>
            </w:pPr>
            <w:r>
              <w:rPr>
                <w:rFonts w:ascii="Times New Roman" w:hAnsi="Times New Roman" w:eastAsia="Times New Roman"/>
                <w:sz w:val="17"/>
              </w:rPr>
              <w:t>LDFA,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2E4366A4">
            <w:pPr>
              <w:spacing w:before="0" w:after="0"/>
              <w:jc w:val="center"/>
            </w:pPr>
            <w:r>
              <w:rPr>
                <w:rFonts w:ascii="Times New Roman" w:hAnsi="Times New Roman" w:eastAsia="Times New Roman"/>
                <w:sz w:val="17"/>
              </w:rPr>
              <w:t>0.942 (0.899–0.968)</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407634E2">
            <w:pPr>
              <w:spacing w:before="0" w:after="0"/>
              <w:jc w:val="center"/>
            </w:pPr>
            <w:r>
              <w:rPr>
                <w:rFonts w:ascii="Times New Roman" w:hAnsi="Times New Roman" w:eastAsia="Times New Roman"/>
                <w:sz w:val="17"/>
              </w:rPr>
              <w:t>0.938 (0.892–0.965)</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7447CAB2">
            <w:pPr>
              <w:spacing w:before="0" w:after="0"/>
              <w:jc w:val="center"/>
            </w:pPr>
            <w:r>
              <w:rPr>
                <w:rFonts w:ascii="Times New Roman" w:hAnsi="Times New Roman" w:eastAsia="Times New Roman"/>
                <w:sz w:val="17"/>
              </w:rPr>
              <w:t>0.925 (0.871–0.957)</w:t>
            </w:r>
          </w:p>
        </w:tc>
      </w:tr>
      <w:tr w14:paraId="211AD1FB">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17FF9A8C">
            <w:pPr>
              <w:spacing w:before="0" w:after="0"/>
              <w:jc w:val="left"/>
            </w:pPr>
            <w:r>
              <w:rPr>
                <w:rFonts w:ascii="Times New Roman" w:hAnsi="Times New Roman" w:eastAsia="Times New Roman"/>
                <w:sz w:val="17"/>
              </w:rPr>
              <w:t>JLCA,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5331E0D9">
            <w:pPr>
              <w:spacing w:before="0" w:after="0"/>
              <w:jc w:val="center"/>
            </w:pPr>
            <w:r>
              <w:rPr>
                <w:rFonts w:ascii="Times New Roman" w:hAnsi="Times New Roman" w:eastAsia="Times New Roman"/>
                <w:sz w:val="17"/>
              </w:rPr>
              <w:t>0.915 (0.855–0.951)</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5931098A">
            <w:pPr>
              <w:spacing w:before="0" w:after="0"/>
              <w:jc w:val="center"/>
            </w:pPr>
            <w:r>
              <w:rPr>
                <w:rFonts w:ascii="Times New Roman" w:hAnsi="Times New Roman" w:eastAsia="Times New Roman"/>
                <w:sz w:val="17"/>
              </w:rPr>
              <w:t>0.909 (0.846–0.948)</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4CAC5B2D">
            <w:pPr>
              <w:spacing w:before="0" w:after="0"/>
              <w:jc w:val="center"/>
            </w:pPr>
            <w:r>
              <w:rPr>
                <w:rFonts w:ascii="Times New Roman" w:hAnsi="Times New Roman" w:eastAsia="Times New Roman"/>
                <w:sz w:val="17"/>
              </w:rPr>
              <w:t>0.887 (0.808–0.934)</w:t>
            </w:r>
          </w:p>
        </w:tc>
      </w:tr>
      <w:tr w14:paraId="3CA3726D">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743D1570">
            <w:pPr>
              <w:spacing w:before="0" w:after="0"/>
              <w:jc w:val="left"/>
            </w:pPr>
            <w:r>
              <w:rPr>
                <w:rFonts w:ascii="Times New Roman" w:hAnsi="Times New Roman" w:eastAsia="Times New Roman"/>
                <w:sz w:val="17"/>
              </w:rPr>
              <w:t>Preoperative PTS,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A063BEC">
            <w:pPr>
              <w:spacing w:before="0" w:after="0"/>
              <w:jc w:val="center"/>
            </w:pPr>
            <w:r>
              <w:rPr>
                <w:rFonts w:ascii="Times New Roman" w:hAnsi="Times New Roman" w:eastAsia="Times New Roman"/>
                <w:sz w:val="17"/>
              </w:rPr>
              <w:t>0.934 (0.886–0.962)</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A50B20D">
            <w:pPr>
              <w:spacing w:before="0" w:after="0"/>
              <w:jc w:val="center"/>
            </w:pPr>
            <w:r>
              <w:rPr>
                <w:rFonts w:ascii="Times New Roman" w:hAnsi="Times New Roman" w:eastAsia="Times New Roman"/>
                <w:sz w:val="17"/>
              </w:rPr>
              <w:t>0.929 (0.877–0.959)</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268F86AA">
            <w:pPr>
              <w:spacing w:before="0" w:after="0"/>
              <w:jc w:val="center"/>
            </w:pPr>
            <w:r>
              <w:rPr>
                <w:rFonts w:ascii="Times New Roman" w:hAnsi="Times New Roman" w:eastAsia="Times New Roman"/>
                <w:sz w:val="17"/>
              </w:rPr>
              <w:t>0.915 (0.854–0.951)</w:t>
            </w:r>
          </w:p>
        </w:tc>
      </w:tr>
      <w:tr w14:paraId="20E22ADB">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5AE59A54">
            <w:pPr>
              <w:spacing w:before="0" w:after="0"/>
              <w:jc w:val="left"/>
            </w:pPr>
            <w:r>
              <w:rPr>
                <w:rFonts w:ascii="Times New Roman" w:hAnsi="Times New Roman" w:eastAsia="Times New Roman"/>
                <w:sz w:val="17"/>
              </w:rPr>
              <w:t>Postoperative HKA,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6357FDF1">
            <w:pPr>
              <w:spacing w:before="0" w:after="0"/>
              <w:jc w:val="center"/>
            </w:pPr>
            <w:r>
              <w:rPr>
                <w:rFonts w:ascii="Times New Roman" w:hAnsi="Times New Roman" w:eastAsia="Times New Roman"/>
                <w:sz w:val="17"/>
              </w:rPr>
              <w:t>0.961 (0.931–0.978)</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288F1000">
            <w:pPr>
              <w:spacing w:before="0" w:after="0"/>
              <w:jc w:val="center"/>
            </w:pPr>
            <w:r>
              <w:rPr>
                <w:rFonts w:ascii="Times New Roman" w:hAnsi="Times New Roman" w:eastAsia="Times New Roman"/>
                <w:sz w:val="17"/>
              </w:rPr>
              <w:t>0.958 (0.926–0.976)</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25EF2B6B">
            <w:pPr>
              <w:spacing w:before="0" w:after="0"/>
              <w:jc w:val="center"/>
            </w:pPr>
            <w:r>
              <w:rPr>
                <w:rFonts w:ascii="Times New Roman" w:hAnsi="Times New Roman" w:eastAsia="Times New Roman"/>
                <w:sz w:val="17"/>
              </w:rPr>
              <w:t>0.947 (0.908–0.970)</w:t>
            </w:r>
          </w:p>
        </w:tc>
      </w:tr>
      <w:tr w14:paraId="199549F0">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673D41CD">
            <w:pPr>
              <w:spacing w:before="0" w:after="0"/>
              <w:jc w:val="left"/>
            </w:pPr>
            <w:r>
              <w:rPr>
                <w:rFonts w:ascii="Times New Roman" w:hAnsi="Times New Roman" w:eastAsia="Times New Roman"/>
                <w:sz w:val="17"/>
              </w:rPr>
              <w:t>Alignment restoration error,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B48078E">
            <w:pPr>
              <w:spacing w:before="0" w:after="0"/>
              <w:jc w:val="center"/>
            </w:pPr>
            <w:r>
              <w:rPr>
                <w:rFonts w:ascii="Times New Roman" w:hAnsi="Times New Roman" w:eastAsia="Times New Roman"/>
                <w:sz w:val="17"/>
              </w:rPr>
              <w:t>0.904 (0.837–0.945)</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523E4CC3">
            <w:pPr>
              <w:spacing w:before="0" w:after="0"/>
              <w:jc w:val="center"/>
            </w:pPr>
            <w:r>
              <w:rPr>
                <w:rFonts w:ascii="Times New Roman" w:hAnsi="Times New Roman" w:eastAsia="Times New Roman"/>
                <w:sz w:val="17"/>
              </w:rPr>
              <w:t>0.899 (0.829–0.942)</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BEE6A23">
            <w:pPr>
              <w:spacing w:before="0" w:after="0"/>
              <w:jc w:val="center"/>
            </w:pPr>
            <w:r>
              <w:rPr>
                <w:rFonts w:ascii="Times New Roman" w:hAnsi="Times New Roman" w:eastAsia="Times New Roman"/>
                <w:sz w:val="17"/>
              </w:rPr>
              <w:t>0.876 (0.791–0.927)</w:t>
            </w:r>
          </w:p>
        </w:tc>
      </w:tr>
      <w:tr w14:paraId="49F7FB9B">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53AF1365">
            <w:pPr>
              <w:spacing w:before="0" w:after="0"/>
              <w:jc w:val="left"/>
            </w:pPr>
            <w:r>
              <w:rPr>
                <w:rFonts w:ascii="Times New Roman" w:hAnsi="Times New Roman" w:eastAsia="Times New Roman"/>
                <w:sz w:val="17"/>
              </w:rPr>
              <w:t>Postoperative PTS,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5A1BBB47">
            <w:pPr>
              <w:spacing w:before="0" w:after="0"/>
              <w:jc w:val="center"/>
            </w:pPr>
            <w:r>
              <w:rPr>
                <w:rFonts w:ascii="Times New Roman" w:hAnsi="Times New Roman" w:eastAsia="Times New Roman"/>
                <w:sz w:val="17"/>
              </w:rPr>
              <w:t>0.927 (0.875–0.958)</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179FF799">
            <w:pPr>
              <w:spacing w:before="0" w:after="0"/>
              <w:jc w:val="center"/>
            </w:pPr>
            <w:r>
              <w:rPr>
                <w:rFonts w:ascii="Times New Roman" w:hAnsi="Times New Roman" w:eastAsia="Times New Roman"/>
                <w:sz w:val="17"/>
              </w:rPr>
              <w:t>0.923 (0.868–0.956)</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DFB73E7">
            <w:pPr>
              <w:spacing w:before="0" w:after="0"/>
              <w:jc w:val="center"/>
            </w:pPr>
            <w:r>
              <w:rPr>
                <w:rFonts w:ascii="Times New Roman" w:hAnsi="Times New Roman" w:eastAsia="Times New Roman"/>
                <w:sz w:val="17"/>
              </w:rPr>
              <w:t>0.909 (0.846–0.948)</w:t>
            </w:r>
          </w:p>
        </w:tc>
      </w:tr>
      <w:tr w14:paraId="4F35CCFC">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769940CB">
            <w:pPr>
              <w:spacing w:before="0" w:after="0"/>
              <w:jc w:val="left"/>
            </w:pPr>
            <w:r>
              <w:rPr>
                <w:rFonts w:ascii="Times New Roman" w:hAnsi="Times New Roman" w:eastAsia="Times New Roman"/>
                <w:sz w:val="17"/>
              </w:rPr>
              <w:t>|ΔPTS|,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03CF0C7">
            <w:pPr>
              <w:spacing w:before="0" w:after="0"/>
              <w:jc w:val="center"/>
            </w:pPr>
            <w:r>
              <w:rPr>
                <w:rFonts w:ascii="Times New Roman" w:hAnsi="Times New Roman" w:eastAsia="Times New Roman"/>
                <w:sz w:val="17"/>
              </w:rPr>
              <w:t>0.892 (0.819–0.938)</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D679614">
            <w:pPr>
              <w:spacing w:before="0" w:after="0"/>
              <w:jc w:val="center"/>
            </w:pPr>
            <w:r>
              <w:rPr>
                <w:rFonts w:ascii="Times New Roman" w:hAnsi="Times New Roman" w:eastAsia="Times New Roman"/>
                <w:sz w:val="17"/>
              </w:rPr>
              <w:t>0.887 (0.808–0.934)</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49B124F4">
            <w:pPr>
              <w:spacing w:before="0" w:after="0"/>
              <w:jc w:val="center"/>
            </w:pPr>
            <w:r>
              <w:rPr>
                <w:rFonts w:ascii="Times New Roman" w:hAnsi="Times New Roman" w:eastAsia="Times New Roman"/>
                <w:sz w:val="17"/>
              </w:rPr>
              <w:t>0.861 (0.767–0.918)</w:t>
            </w:r>
          </w:p>
        </w:tc>
      </w:tr>
      <w:tr w14:paraId="0CD0667F">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548780D5">
            <w:pPr>
              <w:spacing w:before="0" w:after="0"/>
              <w:jc w:val="left"/>
            </w:pPr>
            <w:r>
              <w:rPr>
                <w:rFonts w:ascii="Times New Roman" w:hAnsi="Times New Roman" w:eastAsia="Times New Roman"/>
                <w:sz w:val="17"/>
              </w:rPr>
              <w:t>Tibial component overhang, mm</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5694360D">
            <w:pPr>
              <w:spacing w:before="0" w:after="0"/>
              <w:jc w:val="center"/>
            </w:pPr>
            <w:r>
              <w:rPr>
                <w:rFonts w:ascii="Times New Roman" w:hAnsi="Times New Roman" w:eastAsia="Times New Roman"/>
                <w:sz w:val="17"/>
              </w:rPr>
              <w:t>0.918 (0.860–0.953)</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445F7740">
            <w:pPr>
              <w:spacing w:before="0" w:after="0"/>
              <w:jc w:val="center"/>
            </w:pPr>
            <w:r>
              <w:rPr>
                <w:rFonts w:ascii="Times New Roman" w:hAnsi="Times New Roman" w:eastAsia="Times New Roman"/>
                <w:sz w:val="17"/>
              </w:rPr>
              <w:t>0.914 (0.853–0.951)</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6588E7AA">
            <w:pPr>
              <w:spacing w:before="0" w:after="0"/>
              <w:jc w:val="center"/>
            </w:pPr>
            <w:r>
              <w:rPr>
                <w:rFonts w:ascii="Times New Roman" w:hAnsi="Times New Roman" w:eastAsia="Times New Roman"/>
                <w:sz w:val="17"/>
              </w:rPr>
              <w:t>0.901 (0.833–0.943)</w:t>
            </w:r>
          </w:p>
        </w:tc>
      </w:tr>
      <w:tr w14:paraId="14AD6746">
        <w:tblPrEx>
          <w:tblCellMar>
            <w:top w:w="0" w:type="dxa"/>
            <w:left w:w="108" w:type="dxa"/>
            <w:bottom w:w="0" w:type="dxa"/>
            <w:right w:w="108" w:type="dxa"/>
          </w:tblCellMar>
        </w:tblPrEx>
        <w:trPr>
          <w:cantSplit/>
          <w:jc w:val="center"/>
        </w:trPr>
        <w:tc>
          <w:tcPr>
            <w:tcW w:w="2628" w:type="dxa"/>
            <w:tcBorders>
              <w:top w:val="nil"/>
              <w:left w:val="nil"/>
              <w:bottom w:val="nil"/>
              <w:right w:val="nil"/>
              <w:insideH w:val="nil"/>
              <w:insideV w:val="nil"/>
            </w:tcBorders>
            <w:tcMar>
              <w:top w:w="55" w:type="dxa"/>
              <w:left w:w="55" w:type="dxa"/>
              <w:bottom w:w="55" w:type="dxa"/>
              <w:right w:w="55" w:type="dxa"/>
            </w:tcMar>
            <w:vAlign w:val="center"/>
          </w:tcPr>
          <w:p w14:paraId="7897D4DF">
            <w:pPr>
              <w:spacing w:before="0" w:after="0"/>
              <w:jc w:val="left"/>
            </w:pPr>
            <w:r>
              <w:rPr>
                <w:rFonts w:ascii="Times New Roman" w:hAnsi="Times New Roman" w:eastAsia="Times New Roman"/>
                <w:sz w:val="17"/>
              </w:rPr>
              <w:t>Tibial component coronal angle, °</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188BA9E1">
            <w:pPr>
              <w:spacing w:before="0" w:after="0"/>
              <w:jc w:val="center"/>
            </w:pPr>
            <w:r>
              <w:rPr>
                <w:rFonts w:ascii="Times New Roman" w:hAnsi="Times New Roman" w:eastAsia="Times New Roman"/>
                <w:sz w:val="17"/>
              </w:rPr>
              <w:t>0.944 (0.902–0.969)</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7C80018C">
            <w:pPr>
              <w:spacing w:before="0" w:after="0"/>
              <w:jc w:val="center"/>
            </w:pPr>
            <w:r>
              <w:rPr>
                <w:rFonts w:ascii="Times New Roman" w:hAnsi="Times New Roman" w:eastAsia="Times New Roman"/>
                <w:sz w:val="17"/>
              </w:rPr>
              <w:t>0.941 (0.898–0.966)</w:t>
            </w:r>
          </w:p>
        </w:tc>
        <w:tc>
          <w:tcPr>
            <w:tcW w:w="2628" w:type="dxa"/>
            <w:tcBorders>
              <w:top w:val="nil"/>
              <w:left w:val="nil"/>
              <w:bottom w:val="nil"/>
              <w:right w:val="nil"/>
              <w:insideH w:val="nil"/>
              <w:insideV w:val="nil"/>
            </w:tcBorders>
            <w:tcMar>
              <w:top w:w="55" w:type="dxa"/>
              <w:left w:w="55" w:type="dxa"/>
              <w:bottom w:w="55" w:type="dxa"/>
              <w:right w:w="55" w:type="dxa"/>
            </w:tcMar>
            <w:vAlign w:val="center"/>
          </w:tcPr>
          <w:p w14:paraId="0878D871">
            <w:pPr>
              <w:spacing w:before="0" w:after="0"/>
              <w:jc w:val="center"/>
            </w:pPr>
            <w:r>
              <w:rPr>
                <w:rFonts w:ascii="Times New Roman" w:hAnsi="Times New Roman" w:eastAsia="Times New Roman"/>
                <w:sz w:val="17"/>
              </w:rPr>
              <w:t>0.930 (0.879–0.960)</w:t>
            </w:r>
          </w:p>
        </w:tc>
      </w:tr>
      <w:tr w14:paraId="3AF659F8">
        <w:tblPrEx>
          <w:tblCellMar>
            <w:top w:w="0" w:type="dxa"/>
            <w:left w:w="108" w:type="dxa"/>
            <w:bottom w:w="0" w:type="dxa"/>
            <w:right w:w="108" w:type="dxa"/>
          </w:tblCellMar>
        </w:tblPrEx>
        <w:trPr>
          <w:cantSplit/>
          <w:jc w:val="center"/>
        </w:trPr>
        <w:tc>
          <w:tcPr>
            <w:tcW w:w="2628" w:type="dxa"/>
            <w:tcBorders>
              <w:top w:val="nil"/>
              <w:left w:val="nil"/>
              <w:bottom w:val="single" w:color="000000" w:sz="10" w:space="0"/>
              <w:right w:val="nil"/>
              <w:insideH w:val="nil"/>
              <w:insideV w:val="nil"/>
            </w:tcBorders>
            <w:tcMar>
              <w:top w:w="55" w:type="dxa"/>
              <w:left w:w="55" w:type="dxa"/>
              <w:bottom w:w="55" w:type="dxa"/>
              <w:right w:w="55" w:type="dxa"/>
            </w:tcMar>
            <w:vAlign w:val="center"/>
          </w:tcPr>
          <w:p w14:paraId="4F05D7A3">
            <w:pPr>
              <w:spacing w:before="0" w:after="0"/>
              <w:jc w:val="left"/>
            </w:pPr>
            <w:r>
              <w:rPr>
                <w:rFonts w:ascii="Times New Roman" w:hAnsi="Times New Roman" w:eastAsia="Times New Roman"/>
                <w:sz w:val="17"/>
              </w:rPr>
              <w:t>Joint-line change, mm</w:t>
            </w:r>
          </w:p>
        </w:tc>
        <w:tc>
          <w:tcPr>
            <w:tcW w:w="2628" w:type="dxa"/>
            <w:tcBorders>
              <w:top w:val="nil"/>
              <w:left w:val="nil"/>
              <w:bottom w:val="single" w:color="000000" w:sz="10" w:space="0"/>
              <w:right w:val="nil"/>
              <w:insideH w:val="nil"/>
              <w:insideV w:val="nil"/>
            </w:tcBorders>
            <w:tcMar>
              <w:top w:w="55" w:type="dxa"/>
              <w:left w:w="55" w:type="dxa"/>
              <w:bottom w:w="55" w:type="dxa"/>
              <w:right w:w="55" w:type="dxa"/>
            </w:tcMar>
            <w:vAlign w:val="center"/>
          </w:tcPr>
          <w:p w14:paraId="45402CA1">
            <w:pPr>
              <w:spacing w:before="0" w:after="0"/>
              <w:jc w:val="center"/>
            </w:pPr>
            <w:r>
              <w:rPr>
                <w:rFonts w:ascii="Times New Roman" w:hAnsi="Times New Roman" w:eastAsia="Times New Roman"/>
                <w:sz w:val="17"/>
              </w:rPr>
              <w:t>0.889 (0.815–0.936)</w:t>
            </w:r>
          </w:p>
        </w:tc>
        <w:tc>
          <w:tcPr>
            <w:tcW w:w="2628" w:type="dxa"/>
            <w:tcBorders>
              <w:top w:val="nil"/>
              <w:left w:val="nil"/>
              <w:bottom w:val="single" w:color="000000" w:sz="10" w:space="0"/>
              <w:right w:val="nil"/>
              <w:insideH w:val="nil"/>
              <w:insideV w:val="nil"/>
            </w:tcBorders>
            <w:tcMar>
              <w:top w:w="55" w:type="dxa"/>
              <w:left w:w="55" w:type="dxa"/>
              <w:bottom w:w="55" w:type="dxa"/>
              <w:right w:w="55" w:type="dxa"/>
            </w:tcMar>
            <w:vAlign w:val="center"/>
          </w:tcPr>
          <w:p w14:paraId="7722E541">
            <w:pPr>
              <w:spacing w:before="0" w:after="0"/>
              <w:jc w:val="center"/>
            </w:pPr>
            <w:r>
              <w:rPr>
                <w:rFonts w:ascii="Times New Roman" w:hAnsi="Times New Roman" w:eastAsia="Times New Roman"/>
                <w:sz w:val="17"/>
              </w:rPr>
              <w:t>0.884 (0.803–0.932)</w:t>
            </w:r>
          </w:p>
        </w:tc>
        <w:tc>
          <w:tcPr>
            <w:tcW w:w="2628" w:type="dxa"/>
            <w:tcBorders>
              <w:top w:val="nil"/>
              <w:left w:val="nil"/>
              <w:bottom w:val="single" w:color="000000" w:sz="10" w:space="0"/>
              <w:right w:val="nil"/>
              <w:insideH w:val="nil"/>
              <w:insideV w:val="nil"/>
            </w:tcBorders>
            <w:tcMar>
              <w:top w:w="55" w:type="dxa"/>
              <w:left w:w="55" w:type="dxa"/>
              <w:bottom w:w="55" w:type="dxa"/>
              <w:right w:w="55" w:type="dxa"/>
            </w:tcMar>
            <w:vAlign w:val="center"/>
          </w:tcPr>
          <w:p w14:paraId="76FC6D23">
            <w:pPr>
              <w:spacing w:before="0" w:after="0"/>
              <w:jc w:val="center"/>
            </w:pPr>
            <w:r>
              <w:rPr>
                <w:rFonts w:ascii="Times New Roman" w:hAnsi="Times New Roman" w:eastAsia="Times New Roman"/>
                <w:sz w:val="17"/>
              </w:rPr>
              <w:t>0.852 (0.752–0.913)</w:t>
            </w:r>
          </w:p>
        </w:tc>
      </w:tr>
    </w:tbl>
    <w:p w14:paraId="124E79E8">
      <w:pPr>
        <w:spacing w:before="100" w:after="0"/>
      </w:pPr>
      <w:r>
        <w:rPr>
          <w:rFonts w:ascii="Times New Roman" w:hAnsi="Times New Roman" w:eastAsia="Times New Roman"/>
          <w:b/>
          <w:sz w:val="17"/>
        </w:rPr>
        <w:t xml:space="preserve">Note. </w:t>
      </w:r>
      <w:r>
        <w:rPr>
          <w:rFonts w:ascii="Times New Roman" w:hAnsi="Times New Roman" w:eastAsia="Times New Roman"/>
          <w:sz w:val="17"/>
        </w:rPr>
        <w:t xml:space="preserve"> Intraobserver reliability is intended to be assessed using repeated measurements by each observer, and interobserver reliability using the first measurements of both observers. ICC, intraclass correlation coefficient; HKA, hip-knee-ankle angle; MPTA, medial proximal tibial angle; LDFA, lateral distal femoral angle; JLCA, joint-line convergence angle; PTS, posterior tibial slope; Δ, change from preoperative to postoperative value.</w:t>
      </w:r>
    </w:p>
    <w:p w14:paraId="6053B159">
      <w:pPr>
        <w:spacing w:before="100" w:after="0"/>
        <w:jc w:val="left"/>
        <w:rPr>
          <w:rFonts w:hint="default" w:ascii="Times New Roman" w:hAnsi="Times New Roman" w:eastAsia="宋体"/>
          <w:sz w:val="17"/>
          <w:lang w:val="en-US" w:eastAsia="zh-CN"/>
        </w:rPr>
      </w:pPr>
      <w:bookmarkStart w:id="0" w:name="_GoBack"/>
      <w:bookmarkEnd w:id="0"/>
    </w:p>
    <w:p w14:paraId="4FC5618F">
      <w:pPr>
        <w:spacing w:before="100" w:after="0"/>
        <w:jc w:val="left"/>
        <w:rPr>
          <w:rFonts w:ascii="Times New Roman" w:hAnsi="Times New Roman" w:eastAsia="Times New Roman"/>
          <w:sz w:val="17"/>
        </w:rPr>
      </w:pPr>
    </w:p>
    <w:p w14:paraId="4B4662A2">
      <w:pPr>
        <w:spacing w:before="60" w:after="0" w:line="240" w:lineRule="auto"/>
        <w:jc w:val="left"/>
        <w:rPr>
          <w:rFonts w:hint="default" w:eastAsia="宋体"/>
          <w:b w:val="0"/>
          <w:i w:val="0"/>
          <w:sz w:val="16"/>
          <w:lang w:val="en-US" w:eastAsia="zh-CN"/>
        </w:rPr>
      </w:pPr>
    </w:p>
    <w:sectPr>
      <w:pgSz w:w="16834" w:h="11909" w:orient="landscape"/>
      <w:pgMar w:top="792" w:right="864" w:bottom="792" w:left="8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65571D6"/>
    <w:rsid w:val="47924127"/>
    <w:rsid w:val="5F6E1EDE"/>
    <w:rsid w:val="61A325DC"/>
    <w:rsid w:val="77154D9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18"/>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1630</Words>
  <Characters>9694</Characters>
  <Lines>0</Lines>
  <Paragraphs>0</Paragraphs>
  <TotalTime>0</TotalTime>
  <ScaleCrop>false</ScaleCrop>
  <LinksUpToDate>false</LinksUpToDate>
  <CharactersWithSpaces>10803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lin</dc:creator>
  <dc:description>generated by python-docx</dc:description>
  <cp:lastModifiedBy>lin</cp:lastModifiedBy>
  <dcterms:modified xsi:type="dcterms:W3CDTF">2026-08-22T11:26:39Z</dcterms:modified>
  <dc:subject>Main and supplementary three-line tables</dc:subject>
  <dc:title>Submission-Ready Tables - Forgotten Joint Prediction After Medial UKA</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67DAEC56608C4411A3529C8C24FB6521_13</vt:lpwstr>
  </property>
  <property fmtid="{D5CDD505-2E9C-101B-9397-08002B2CF9AE}" pid="4" name="KSOTemplateDocerSaveRecord">
    <vt:lpwstr>eyJoZGlkIjoiN2M2OGQ4NGQ2NzcyNzliODEzN2U0NTM2NTkyMzkxYWYiLCJ1c2VySWQiOiI0ODk4MzQ4MDEifQ==</vt:lpwstr>
  </property>
</Properties>
</file>