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92F" w:rsidRDefault="0050192F" w:rsidP="0050192F">
      <w:pPr>
        <w:rPr>
          <w:rFonts w:eastAsiaTheme="majorEastAsia" w:cs="Times New Roman"/>
          <w:color w:val="000000" w:themeColor="text1"/>
          <w:kern w:val="24"/>
          <w:szCs w:val="24"/>
          <w:lang w:eastAsia="zh-TW"/>
        </w:rPr>
      </w:pPr>
      <w:proofErr w:type="gramStart"/>
      <w:r>
        <w:rPr>
          <w:rFonts w:eastAsiaTheme="majorEastAsia" w:cs="Times New Roman"/>
          <w:color w:val="000000" w:themeColor="text1"/>
          <w:kern w:val="24"/>
          <w:szCs w:val="24"/>
        </w:rPr>
        <w:t xml:space="preserve">Table </w:t>
      </w:r>
      <w:r>
        <w:rPr>
          <w:rFonts w:eastAsiaTheme="majorEastAsia" w:cs="Times New Roman"/>
          <w:color w:val="000000" w:themeColor="text1"/>
          <w:kern w:val="24"/>
          <w:szCs w:val="24"/>
          <w:lang w:eastAsia="zh-TW"/>
        </w:rPr>
        <w:t>2</w:t>
      </w:r>
      <w:r>
        <w:rPr>
          <w:rFonts w:eastAsiaTheme="majorEastAsia" w:cs="Times New Roman"/>
          <w:color w:val="000000" w:themeColor="text1"/>
          <w:kern w:val="24"/>
          <w:szCs w:val="24"/>
        </w:rPr>
        <w:t>.</w:t>
      </w:r>
      <w:proofErr w:type="gramEnd"/>
      <w:r>
        <w:rPr>
          <w:rFonts w:eastAsiaTheme="majorEastAsia" w:cs="Times New Roman"/>
          <w:color w:val="000000" w:themeColor="text1"/>
          <w:kern w:val="24"/>
          <w:szCs w:val="24"/>
        </w:rPr>
        <w:t xml:space="preserve"> Pulmonary function tests for diffuse </w:t>
      </w:r>
      <w:proofErr w:type="spellStart"/>
      <w:r>
        <w:rPr>
          <w:rFonts w:eastAsiaTheme="majorEastAsia" w:cs="Times New Roman"/>
          <w:color w:val="000000" w:themeColor="text1"/>
          <w:kern w:val="24"/>
          <w:szCs w:val="24"/>
        </w:rPr>
        <w:t>panbronchiolitis</w:t>
      </w:r>
      <w:proofErr w:type="spellEnd"/>
      <w:r>
        <w:rPr>
          <w:rFonts w:eastAsiaTheme="majorEastAsia" w:cs="Times New Roman"/>
          <w:color w:val="000000" w:themeColor="text1"/>
          <w:kern w:val="24"/>
          <w:szCs w:val="24"/>
        </w:rPr>
        <w:t>, before and after erythromycin therapy.</w:t>
      </w:r>
    </w:p>
    <w:tbl>
      <w:tblPr>
        <w:tblStyle w:val="a3"/>
        <w:tblW w:w="19664" w:type="dxa"/>
        <w:tblLook w:val="04A0" w:firstRow="1" w:lastRow="0" w:firstColumn="1" w:lastColumn="0" w:noHBand="0" w:noVBand="1"/>
      </w:tblPr>
      <w:tblGrid>
        <w:gridCol w:w="3277"/>
        <w:gridCol w:w="3277"/>
        <w:gridCol w:w="3277"/>
        <w:gridCol w:w="3277"/>
        <w:gridCol w:w="3278"/>
        <w:gridCol w:w="3278"/>
      </w:tblGrid>
      <w:tr w:rsidR="0050192F" w:rsidTr="00441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7" w:type="dxa"/>
            <w:hideMark/>
          </w:tcPr>
          <w:p w:rsidR="0050192F" w:rsidRDefault="0050192F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Before</w:t>
            </w:r>
          </w:p>
        </w:tc>
        <w:tc>
          <w:tcPr>
            <w:tcW w:w="3277" w:type="dxa"/>
            <w:hideMark/>
          </w:tcPr>
          <w:p w:rsidR="0050192F" w:rsidRDefault="0050192F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After</w:t>
            </w:r>
          </w:p>
        </w:tc>
        <w:tc>
          <w:tcPr>
            <w:tcW w:w="3277" w:type="dxa"/>
          </w:tcPr>
          <w:p w:rsidR="0050192F" w:rsidRDefault="0050192F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</w:tcPr>
          <w:p w:rsidR="0050192F" w:rsidRDefault="0050192F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</w:tcPr>
          <w:p w:rsidR="0050192F" w:rsidRDefault="0050192F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FEV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  <w:vertAlign w:val="subscript"/>
              </w:rPr>
              <w:t>1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 xml:space="preserve"> (L, % predicted)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1.08 (34.1)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1.87 (59.6)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FVC (L, % predicted)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1.79 (48.3)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2.55 (69.3)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FEV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  <w:vertAlign w:val="subscript"/>
              </w:rPr>
              <w:t>1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/FVC (% predicted)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60.3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73.3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  <w:lang w:eastAsia="zh-TW"/>
              </w:rPr>
              <w:t>PEF (% predicted)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  <w:lang w:eastAsia="zh-TW"/>
              </w:rPr>
              <w:t>30.1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  <w:lang w:eastAsia="zh-TW"/>
              </w:rPr>
              <w:t>57.0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RV (L, % predicted)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3.52 (219.2)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2.08 (127.6)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TLC (L, % predicted)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5.60 (104.0)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4.34 (80.7)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50192F" w:rsidRDefault="0050192F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  <w:tr w:rsidR="0050192F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single" w:sz="8" w:space="0" w:color="000000" w:themeColor="text1"/>
            </w:tcBorders>
            <w:hideMark/>
          </w:tcPr>
          <w:p w:rsidR="0050192F" w:rsidRDefault="0050192F" w:rsidP="0044111D">
            <w:pPr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RV/TLC (% predicted)</w:t>
            </w:r>
          </w:p>
        </w:tc>
        <w:tc>
          <w:tcPr>
            <w:tcW w:w="3277" w:type="dxa"/>
            <w:tcBorders>
              <w:top w:val="nil"/>
              <w:bottom w:val="single" w:sz="8" w:space="0" w:color="000000" w:themeColor="text1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62.9</w:t>
            </w:r>
          </w:p>
        </w:tc>
        <w:tc>
          <w:tcPr>
            <w:tcW w:w="3277" w:type="dxa"/>
            <w:tcBorders>
              <w:top w:val="nil"/>
              <w:bottom w:val="single" w:sz="8" w:space="0" w:color="000000" w:themeColor="text1"/>
            </w:tcBorders>
            <w:hideMark/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47.9</w:t>
            </w:r>
          </w:p>
        </w:tc>
        <w:tc>
          <w:tcPr>
            <w:tcW w:w="3277" w:type="dxa"/>
            <w:tcBorders>
              <w:top w:val="nil"/>
              <w:bottom w:val="single" w:sz="8" w:space="0" w:color="000000" w:themeColor="text1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single" w:sz="8" w:space="0" w:color="000000" w:themeColor="text1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single" w:sz="8" w:space="0" w:color="000000" w:themeColor="text1"/>
            </w:tcBorders>
          </w:tcPr>
          <w:p w:rsidR="0050192F" w:rsidRDefault="0050192F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color w:val="000000" w:themeColor="text1"/>
                <w:kern w:val="24"/>
                <w:sz w:val="24"/>
                <w:szCs w:val="24"/>
                <w:lang w:eastAsia="zh-TW"/>
              </w:rPr>
            </w:pPr>
          </w:p>
        </w:tc>
      </w:tr>
    </w:tbl>
    <w:p w:rsidR="00B429C0" w:rsidRDefault="0050192F">
      <w:r>
        <w:rPr>
          <w:rFonts w:eastAsiaTheme="majorEastAsia" w:cs="Times New Roman"/>
          <w:color w:val="000000" w:themeColor="text1"/>
          <w:kern w:val="24"/>
          <w:szCs w:val="24"/>
        </w:rPr>
        <w:t>FEV</w:t>
      </w:r>
      <w:r>
        <w:rPr>
          <w:rFonts w:eastAsia="新細明體" w:cs="Times New Roman"/>
          <w:color w:val="000000" w:themeColor="text1"/>
          <w:kern w:val="24"/>
          <w:szCs w:val="24"/>
          <w:vertAlign w:val="subscript"/>
        </w:rPr>
        <w:t>1</w:t>
      </w:r>
      <w:r>
        <w:rPr>
          <w:rFonts w:eastAsiaTheme="majorEastAsia" w:cs="Times New Roman"/>
          <w:color w:val="000000" w:themeColor="text1"/>
          <w:kern w:val="24"/>
          <w:szCs w:val="24"/>
        </w:rPr>
        <w:t xml:space="preserve">: forced expiratory volume in one second; FVC: forced volume capacity; </w:t>
      </w:r>
      <w:r>
        <w:rPr>
          <w:rFonts w:eastAsiaTheme="majorEastAsia" w:cs="Times New Roman"/>
          <w:color w:val="000000" w:themeColor="text1"/>
          <w:kern w:val="24"/>
          <w:szCs w:val="24"/>
          <w:lang w:eastAsia="zh-TW"/>
        </w:rPr>
        <w:t xml:space="preserve">PEF: peak expiratory flow; </w:t>
      </w:r>
      <w:r>
        <w:rPr>
          <w:rFonts w:eastAsiaTheme="majorEastAsia" w:cs="Times New Roman"/>
          <w:color w:val="000000" w:themeColor="text1"/>
          <w:kern w:val="24"/>
          <w:szCs w:val="24"/>
        </w:rPr>
        <w:t>RV: residual volume; TLC: total lung capacity.</w:t>
      </w:r>
      <w:bookmarkStart w:id="0" w:name="_GoBack"/>
      <w:bookmarkEnd w:id="0"/>
    </w:p>
    <w:sectPr w:rsidR="00B429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92F"/>
    <w:rsid w:val="0050192F"/>
    <w:rsid w:val="00B4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2F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50192F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2F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50192F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2025-10-04T01:18:00Z</dcterms:created>
  <dcterms:modified xsi:type="dcterms:W3CDTF">2025-10-04T01:18:00Z</dcterms:modified>
</cp:coreProperties>
</file>