
<file path=[Content_Types].xml><?xml version="1.0" encoding="utf-8"?>
<Types xmlns="http://schemas.openxmlformats.org/package/2006/content-types">
  <Default Extension="tiff" ContentType="image/tiff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EFCF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43"/>
          <w:szCs w:val="43"/>
          <w:lang w:val="en-US" w:eastAsia="zh-CN" w:bidi="ar"/>
        </w:rPr>
        <w:t>Supporting Information</w:t>
      </w:r>
    </w:p>
    <w:p w14:paraId="2898C13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05DC0BB3">
      <w:pPr>
        <w:widowControl/>
        <w:shd w:val="clear" w:color="auto" w:fill="FFFFFF"/>
        <w:spacing w:after="160" w:line="480" w:lineRule="auto"/>
        <w:jc w:val="center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Segoe UI" w:cs="Times New Roman"/>
          <w:b/>
          <w:bCs/>
          <w:color w:val="000000"/>
          <w:kern w:val="0"/>
          <w:sz w:val="24"/>
          <w:shd w:val="clear" w:color="auto" w:fill="FFFFFF"/>
        </w:rPr>
        <w:t>Colorimetric/chemiluminescent vertical flow immunoassay based on multifunctional cobalt–gold bimetallic nanoclusters for Brucella antibody detection and deep learning-assisted semiquantitative analysis</w:t>
      </w:r>
    </w:p>
    <w:p w14:paraId="2C726CC4">
      <w:pPr>
        <w:widowControl/>
        <w:shd w:val="clear" w:color="auto" w:fill="FFFFFF"/>
        <w:spacing w:after="160" w:line="360" w:lineRule="auto"/>
        <w:jc w:val="left"/>
        <w:textAlignment w:val="baseline"/>
        <w:rPr>
          <w:rFonts w:ascii="Times New Roman" w:hAnsi="Times New Roman" w:eastAsia="Segoe UI" w:cs="Times New Roman"/>
          <w:color w:val="1783FF"/>
          <w:kern w:val="0"/>
          <w:sz w:val="24"/>
          <w:u w:val="single"/>
          <w:shd w:val="clear" w:color="auto" w:fill="FFFFFF"/>
        </w:rPr>
      </w:pPr>
      <w:r>
        <w:rPr>
          <w:rStyle w:val="10"/>
          <w:rFonts w:ascii="Times New Roman" w:hAnsi="Times New Roman" w:eastAsia="Segoe UI" w:cs="Times New Roman"/>
          <w:bCs/>
          <w:color w:val="000000"/>
          <w:kern w:val="0"/>
          <w:sz w:val="24"/>
          <w:shd w:val="clear" w:color="auto" w:fill="FFFFFF"/>
        </w:rPr>
        <w:t>Authors</w:t>
      </w:r>
      <w:r>
        <w:rPr>
          <w:rFonts w:ascii="Times New Roman" w:hAnsi="Times New Roman" w:eastAsia="Segoe UI" w:cs="Times New Roman"/>
          <w:color w:val="000000"/>
          <w:kern w:val="0"/>
          <w:sz w:val="16"/>
          <w:szCs w:val="16"/>
          <w:shd w:val="clear" w:color="auto" w:fill="FFFFFF"/>
        </w:rPr>
        <w:br w:type="textWrapping"/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Hamai Bi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Xiaogang Zhao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Mingjie Wei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hd w:val="clear" w:color="auto" w:fill="FFFFFF"/>
          <w:lang w:val="en-US" w:eastAsia="zh-CN"/>
        </w:rPr>
        <w:t>Xia Li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b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 xml:space="preserve"> Jiahui Wu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Yuankun Wang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,Xindi Zhang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Halifei Ma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Hengxuan Zhou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Zhihua Xu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, Kedong Guo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Times New Roman" w:cs="Times New Roman"/>
          <w:sz w:val="24"/>
        </w:rPr>
        <w:t>, Yali Jiang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c</w:t>
      </w:r>
      <w:r>
        <w:rPr>
          <w:rFonts w:ascii="Times New Roman" w:hAnsi="Times New Roman" w:eastAsia="Times New Roman" w:cs="Times New Roman"/>
          <w:sz w:val="24"/>
        </w:rPr>
        <w:t xml:space="preserve">*, 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Feng Shi</w:t>
      </w:r>
      <w:r>
        <w:rPr>
          <w:rFonts w:hint="eastAsia" w:ascii="Times New Roman" w:hAnsi="Times New Roman" w:cs="Times New Roman"/>
          <w:color w:val="000000"/>
          <w:kern w:val="0"/>
          <w:sz w:val="24"/>
          <w:shd w:val="clear" w:color="auto" w:fill="FFFFFF"/>
          <w:vertAlign w:val="superscript"/>
          <w:lang w:val="en-US" w:eastAsia="zh-CN"/>
        </w:rPr>
        <w:t>a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*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br w:type="textWrapping"/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*Corresponding author:</w:t>
      </w:r>
      <w:r>
        <w:rPr>
          <w:rFonts w:ascii="Times New Roman" w:hAnsi="Times New Roman" w:eastAsia="Times New Roman" w:cs="Times New Roman"/>
          <w:sz w:val="24"/>
        </w:rPr>
        <w:t>Yali Jiang,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>E-mail:</w:t>
      </w:r>
      <w:r>
        <w:rPr>
          <w:rFonts w:ascii="Times New Roman" w:hAnsi="Times New Roman" w:eastAsia="Segoe UI" w:cs="Times New Roman"/>
          <w:color w:val="1783FF"/>
          <w:kern w:val="0"/>
          <w:sz w:val="24"/>
          <w:u w:val="single"/>
          <w:shd w:val="clear" w:color="auto" w:fill="FFFFFF"/>
        </w:rPr>
        <w:t xml:space="preserve">yalijiang@njmu.edu.cn </w:t>
      </w:r>
      <w:r>
        <w:rPr>
          <w:rFonts w:ascii="Times New Roman" w:hAnsi="Times New Roman" w:eastAsia="Segoe UI" w:cs="Times New Roman"/>
          <w:color w:val="000000"/>
          <w:kern w:val="0"/>
          <w:sz w:val="24"/>
          <w:shd w:val="clear" w:color="auto" w:fill="FFFFFF"/>
        </w:rPr>
        <w:t xml:space="preserve">and Feng Shi, E-mail: </w:t>
      </w:r>
      <w:r>
        <w:fldChar w:fldCharType="begin"/>
      </w:r>
      <w:r>
        <w:instrText xml:space="preserve"> HYPERLINK "mailto:shifeng2314@yeah.net" \t "https://www.kimi.com/chat/_blank" \h </w:instrText>
      </w:r>
      <w:r>
        <w:fldChar w:fldCharType="separate"/>
      </w:r>
      <w:r>
        <w:rPr>
          <w:rStyle w:val="12"/>
          <w:rFonts w:ascii="Times New Roman" w:hAnsi="Times New Roman" w:eastAsia="Segoe UI" w:cs="Times New Roman"/>
          <w:color w:val="1783FF"/>
          <w:kern w:val="0"/>
          <w:sz w:val="24"/>
          <w:shd w:val="clear" w:color="auto" w:fill="FFFFFF"/>
        </w:rPr>
        <w:t>shifeng2314@yeah.net</w:t>
      </w:r>
      <w:r>
        <w:rPr>
          <w:rStyle w:val="12"/>
          <w:rFonts w:ascii="Times New Roman" w:hAnsi="Times New Roman" w:eastAsia="Segoe UI" w:cs="Times New Roman"/>
          <w:color w:val="1783FF"/>
          <w:kern w:val="0"/>
          <w:sz w:val="24"/>
          <w:shd w:val="clear" w:color="auto" w:fill="FFFFFF"/>
        </w:rPr>
        <w:fldChar w:fldCharType="end"/>
      </w:r>
    </w:p>
    <w:p w14:paraId="161AB18C">
      <w:pPr>
        <w:spacing w:line="36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Style w:val="10"/>
          <w:rFonts w:ascii="Times New Roman" w:hAnsi="Times New Roman" w:eastAsia="Segoe UI" w:cs="Times New Roman"/>
          <w:bCs/>
          <w:color w:val="000000"/>
          <w:kern w:val="0"/>
          <w:sz w:val="20"/>
          <w:szCs w:val="20"/>
          <w:shd w:val="clear" w:color="auto" w:fill="FFFFFF"/>
        </w:rPr>
        <w:t>Affiliations</w:t>
      </w:r>
      <w:r>
        <w:rPr>
          <w:rFonts w:ascii="Times New Roman" w:hAnsi="Times New Roman" w:eastAsia="Segoe UI" w:cs="Times New Roman"/>
          <w:color w:val="000000"/>
          <w:kern w:val="0"/>
          <w:sz w:val="20"/>
          <w:szCs w:val="20"/>
          <w:shd w:val="clear" w:color="auto" w:fill="FFFFFF"/>
        </w:rPr>
        <w:br w:type="textWrapping"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</w:t>
      </w:r>
      <w:r>
        <w:rPr>
          <w:rFonts w:ascii="Times New Roman" w:hAnsi="Times New Roman" w:eastAsia="Times New Roman" w:cs="Times New Roman"/>
          <w:sz w:val="22"/>
          <w:szCs w:val="22"/>
        </w:rPr>
        <w:t>.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>College Of Life Sciences, Shihezi University, Shihezi 832003, China.</w:t>
      </w:r>
    </w:p>
    <w:p w14:paraId="751CDB90">
      <w:pPr>
        <w:spacing w:line="36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b. Department of Blood Transfusion, The First Division Hospital of Xinjiang Production and Construction Corps , Aksu 843000, China.</w:t>
      </w:r>
    </w:p>
    <w:p w14:paraId="6681DB95">
      <w:pPr>
        <w:spacing w:line="36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c. The Friendship Hospital of Ili Kazakh Autonomous Prefecture, Yining, Xinjiang Uygur Autonomous Region 835000, China.</w:t>
      </w:r>
    </w:p>
    <w:p w14:paraId="18EB2FD4">
      <w:pPr>
        <w:pStyle w:val="3"/>
        <w:widowControl w:val="0"/>
        <w:numPr>
          <w:ilvl w:val="0"/>
          <w:numId w:val="0"/>
        </w:numPr>
        <w:spacing w:line="500" w:lineRule="exact"/>
        <w:ind w:leftChars="0"/>
        <w:jc w:val="both"/>
        <w:rPr>
          <w:rFonts w:hint="default" w:ascii="Times New Roman" w:hAnsi="Times New Roman" w:eastAsia="宋体" w:cs="Times New Roman"/>
          <w:b/>
          <w:bCs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231F1F"/>
          <w:spacing w:val="6"/>
          <w:kern w:val="2"/>
          <w:sz w:val="24"/>
          <w:szCs w:val="24"/>
          <w:lang w:val="en-US" w:eastAsia="zh-CN" w:bidi="ar-SA"/>
        </w:rPr>
        <w:t>Preparation of assay reagents</w:t>
      </w:r>
    </w:p>
    <w:p w14:paraId="0AEBEA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  <w:t>The assay buffer contained 1 g PVP-40,1 mL BSA (10%), 1 mL NaCl (10%), 1 mL Tween-20 (10%), 2 g EDTA, and 0.1 g NaN₃, dissolved in 10 mL Tris-HCl (0.2 M, pH 8.0) , and is stored at 4 °C until use.</w:t>
      </w:r>
    </w:p>
    <w:p w14:paraId="1F2591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  <w:t>Preparation of the enzyme chromogenic solution: The enzyme chromogenic solution is prepared by mixing Solution A and Solution B; it should be used immediately after preparation.</w:t>
      </w:r>
    </w:p>
    <w:p w14:paraId="534A3251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231F1F"/>
          <w:spacing w:val="6"/>
          <w:kern w:val="2"/>
          <w:sz w:val="24"/>
          <w:szCs w:val="24"/>
          <w:lang w:val="en-US" w:eastAsia="zh-CN" w:bidi="ar-SA"/>
        </w:rPr>
        <w:t>Solution A (substrate solution): Dissolve 10 mg of TMB in 1 mL of DMSO, add 66 mL of 0.1 mol/L sodium acetate buffer (pH 5.5), and mix thoroughly. Solution B (substrate solution): Mix 100 mL of purified water with 17 μL of 30% H₂O₂, and mix thoroughly. Preparation: Before use, mix Solution A and Solution B in a volume ratio of 1:1; store in dark conditions.</w:t>
      </w:r>
    </w:p>
    <w:p w14:paraId="117A2C6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  <w:b/>
          <w:bCs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231F1F"/>
          <w:spacing w:val="6"/>
          <w:kern w:val="2"/>
          <w:sz w:val="24"/>
          <w:szCs w:val="24"/>
          <w:lang w:val="en-US" w:eastAsia="zh-CN" w:bidi="ar-SA"/>
        </w:rPr>
        <w:t>Luminescent working solution</w:t>
      </w:r>
    </w:p>
    <w:p w14:paraId="2DB18C88">
      <w:pPr>
        <w:pStyle w:val="6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rPr>
          <w:rFonts w:hint="default" w:ascii="Times New Roman" w:hAnsi="Times New Roman" w:cs="Times New Roman"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color w:val="231F1F"/>
          <w:spacing w:val="6"/>
          <w:kern w:val="2"/>
          <w:sz w:val="24"/>
          <w:szCs w:val="24"/>
          <w:lang w:val="en-US" w:eastAsia="zh-CN" w:bidi="ar-SA"/>
        </w:rPr>
        <w:t xml:space="preserve"> The luminol–H₂O₂ system is employed as the chemiluminescent substrate, while GSH@Co–AuNCs (or their loading system) serves as a catalytic enhancer in the immunosorption filter card reaction zone. To enhance the stability and reproducibility of the substrate, the luminescent substrate is typically prepared as a mixture of two components—Component A (luminol) and Component B (hydrogen peroxide)—which are mixed thoroughly just before use. The optimal pH, nanozyme concentration, H₂O₂ concentration, and luminol concentration were determined through optimization.</w:t>
      </w:r>
    </w:p>
    <w:p w14:paraId="058972D3">
      <w:pPr>
        <w:widowControl w:val="0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宋体" w:cs="Times New Roman"/>
          <w:b/>
          <w:bCs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Instrumentation</w:t>
      </w:r>
    </w:p>
    <w:p w14:paraId="6B3942D8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480" w:lineRule="auto"/>
        <w:ind w:firstLine="482"/>
        <w:jc w:val="both"/>
        <w:textAlignment w:val="auto"/>
        <w:rPr>
          <w:rFonts w:hint="default" w:ascii="Times New Roman" w:hAnsi="Times New Roman" w:cs="Times New Roman"/>
          <w:color w:val="231F1F"/>
          <w:spacing w:val="6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</w:rPr>
        <w:t xml:space="preserve"> Transmission electron microscopy (TEM) was performed using an FEI Tecnai T20 microscope. X-ray photoelectron spectroscopy (XPS) measurements were conducted using a PerkinElmer PHI 5600 system. UV–vis absorption spectra were recorded using a SpectraMax M2 microplate reader. Dynamic light scattering (DLS) and zeta-potential measurements were performed using a Zetasizer Nano ZS. </w:t>
      </w:r>
    </w:p>
    <w:p w14:paraId="25949052">
      <w:pPr>
        <w:pStyle w:val="3"/>
        <w:widowControl/>
        <w:spacing w:before="280" w:after="280" w:line="48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Material Characterization</w:t>
      </w:r>
    </w:p>
    <w:p w14:paraId="652B9988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360" w:lineRule="auto"/>
        <w:ind w:firstLine="482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The morphology of the primary nanoclusters and their assembled structures was characterized by TEM and high-magnification TEM. Field-emission scanning electron microscopy coupled with energy-dispersive X-ray spectroscopy (FESEM–EDS) was employed to examine the surface morphology and elemental distributions of Au, Co, S, and N. The hydrodynamic diameter and polydispersity index (PDI) were determined by DLS.</w:t>
      </w:r>
    </w:p>
    <w:p w14:paraId="1E821760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360" w:lineRule="auto"/>
        <w:ind w:firstLine="482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For XPS analysis, all binding energies were calibrated against the C 1s peak at 284.8 eV. High-resolution spectra of Au 4f, Co 2p, S 2p, and N 1s were analyzed to characterize the surface chemical states. Fourier-transform infrared (FT-IR) spectroscopy and zeta-potential measurements were further performed to evaluate GSH coordination and SPA conjugation.</w:t>
      </w:r>
    </w:p>
    <w:p w14:paraId="43C45762">
      <w:pPr>
        <w:pStyle w:val="3"/>
        <w:widowControl/>
        <w:spacing w:before="280" w:after="28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TA-based ·OH fluorescence assay</w:t>
      </w:r>
    </w:p>
    <w:p w14:paraId="37D63750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480" w:lineRule="auto"/>
        <w:ind w:firstLine="482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Hydroxyl radical (·OH) generation was evaluated using terephthalic acid (TA) as a fluorescent probe</w:t>
      </w:r>
      <w:r>
        <w:rPr>
          <w:rFonts w:ascii="Times New Roman" w:hAnsi="Times New Roman" w:eastAsia="宋体" w:cs="Times New Roman"/>
          <w:vertAlign w:val="superscript"/>
        </w:rPr>
        <w:fldChar w:fldCharType="begin"/>
      </w:r>
      <w:r>
        <w:rPr>
          <w:rFonts w:ascii="Times New Roman" w:hAnsi="Times New Roman" w:eastAsia="宋体" w:cs="Times New Roman"/>
          <w:vertAlign w:val="superscript"/>
        </w:rPr>
        <w:instrText xml:space="preserve"> ADDIN ZOTERO_ITEM CSL_CITATION {"citationID":"sL4wMjDV","properties":{"unsorted":false,"formattedCitation":"[23]","plainCitation":"[23]","noteIndex":0},"citationItems":[{"id":381,"uris":["http://zotero.org/users/17942310/items/NV6AB7EW"],"itemData":{"id":381,"type":"article-journal","container-title":"Photochem. Photobiol.","DOI":"10.1562/0031-8655(2000)071&lt;0307:HAAFPF&gt;2.0.CO;2","issue":"3","journalAbbreviation":"Photochem. Photobiol.","page":"307-313","title":"Hydroxyterephthalate as a fluorescent probe for hydroxyl radicals: application to hair melanin","URL":"https://doi.org/10.1562/0031-8655(2000)071%3C0307:HAAFPF%3E2.0.CO;2","volume":"71","author":[{"family":"Qu","given":"X."},{"family":"Kirschenbaum","given":"L. J."},{"family":"Borish","given":"E. T."}],"issued":{"date-parts":[["2000"]]}}}],"schema":"https://github.com/citation-style-language/schema/raw/master/csl-citation.json"} </w:instrText>
      </w:r>
      <w:r>
        <w:rPr>
          <w:rFonts w:ascii="Times New Roman" w:hAnsi="Times New Roman" w:eastAsia="宋体" w:cs="Times New Roman"/>
          <w:vertAlign w:val="superscript"/>
        </w:rPr>
        <w:fldChar w:fldCharType="separate"/>
      </w:r>
      <w:r>
        <w:rPr>
          <w:rFonts w:ascii="Times New Roman" w:hAnsi="Times New Roman" w:eastAsia="宋体" w:cs="Times New Roman"/>
          <w:vertAlign w:val="superscript"/>
        </w:rPr>
        <w:t>[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ascii="Times New Roman" w:hAnsi="Times New Roman" w:eastAsia="宋体" w:cs="Times New Roman"/>
          <w:vertAlign w:val="superscript"/>
        </w:rPr>
        <w:t>]</w:t>
      </w:r>
      <w:r>
        <w:rPr>
          <w:rFonts w:ascii="Times New Roman" w:hAnsi="Times New Roman" w:eastAsia="宋体" w:cs="Times New Roman"/>
          <w:vertAlign w:val="superscript"/>
        </w:rPr>
        <w:fldChar w:fldCharType="end"/>
      </w:r>
      <w:r>
        <w:rPr>
          <w:rFonts w:ascii="Times New Roman" w:hAnsi="Times New Roman" w:eastAsia="宋体" w:cs="Times New Roman"/>
        </w:rPr>
        <w:t>. TA (5 mM), H₂O₂ (2 mM), and GSH@Co–AuNCs (0.5 mg mL⁻¹) were incubated at 37 °C for 20 min, followed by fluorescence measurement at an excitation wavelength of 315 nm and an emission wavelength of 425 nm. Four groups were analyzed: TA alone, TA + H₂O₂, TA + AuNCs + H₂O₂, and TA + GSH@Co–AuNCs + H₂O₂. All measurements were performed in triplicate.</w:t>
      </w:r>
    </w:p>
    <w:p w14:paraId="5EBD8BF7">
      <w:pPr>
        <w:pStyle w:val="3"/>
        <w:widowControl/>
        <w:spacing w:before="280" w:after="28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Fabrication of the VFI Device and Assay Procedure</w:t>
      </w:r>
    </w:p>
    <w:bookmarkEnd w:id="0"/>
    <w:p w14:paraId="52D671FA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360" w:lineRule="auto"/>
        <w:ind w:firstLine="482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The VFI device consisted of a 1 × 1 cm² nitrocellulose membrane and a 2 × 1.5 cm² absorbent pad. The test (T) spot was coated with Brucella abortus LPS (1 μL, 2.0 mg mL⁻¹), whereas the control (C) spot was coated with sheep IgG (1 μL, 0.5 mg mL⁻¹).</w:t>
      </w:r>
      <w:r>
        <w:rPr>
          <w:rFonts w:hint="eastAsia" w:ascii="Times New Roman" w:hAnsi="Times New Roman" w:eastAsia="宋体" w:cs="Times New Roman"/>
        </w:rPr>
        <w:t>A 10 μL aliquot of serum was mixed with 60 μL of comprehensive buffer solution, and the mixture was introduced into the VFI device. Following membrane filtration, approximately 50 μL of the GSH@Co–AuNCs–SPA probe and 150–200 μL of assay buffer were sequentially added, with each subsequent reagent applied only after the preceding solution had completely passed through the membrane. The intrinsic pale-yellow color of the probe was initially employed for direct visual inspection. For colorimetric detection, 20 μL of TMB–H₂O₂ substrate was added, and the colorimetric image was captured after 2 min. For chemiluminescence detection, 20 μL of luminol–H₂O₂ working solution was added, and chemiluminescence images were acquired using a smartphone under fixed dark-condition imaging settings</w:t>
      </w:r>
    </w:p>
    <w:p w14:paraId="2A7A68F1">
      <w:pPr>
        <w:pStyle w:val="3"/>
        <w:widowControl/>
        <w:spacing w:before="280" w:after="280" w:line="48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cs="Times New Roman"/>
          <w:sz w:val="24"/>
          <w:szCs w:val="24"/>
        </w:rPr>
        <w:t>Evaluation of Analytical Performance</w:t>
      </w:r>
    </w:p>
    <w:p w14:paraId="46E62C53">
      <w:pPr>
        <w:pStyle w:val="6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280" w:after="280" w:line="480" w:lineRule="auto"/>
        <w:ind w:firstLine="482"/>
        <w:jc w:val="both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Anti-Brucella IgG-positive serum with an antibody concentration of 1000 IU mL⁻¹ was used as the reference sample. The undiluted sample and serial dilutions of 1:10, 1:50, 1:100, 1:200, 1:500, 1:1000, 1:2000, 1:5000, and 1:10000 were analyzed, corresponding to antibody concentrations of 1000, 100, 20, 10, 5, 2, 1, 0.5, 0.2, and 0.1 IU mL⁻¹, respectively. These samples were used to compare the analytical responses of three readout modes: the intrinsic color of the probe, TMB-mediated catalytic color development, and chemiluminescence.</w:t>
      </w:r>
    </w:p>
    <w:p w14:paraId="51BF23E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Deep-learning image-label generation</w:t>
      </w:r>
    </w:p>
    <w:p w14:paraId="09B01664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Nanozyme-amplified colorimetric image label generation</w:t>
      </w:r>
    </w:p>
    <w:p w14:paraId="3DDC4EC0">
      <w:pPr>
        <w:pStyle w:val="6"/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TMB chromogenic image label generation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：For TMB chromogenic images, a manual annotation approach is employed to determine the effective chromogenic boundaries at points C and T, and to calculate their respective equivalent diameters. The ratio of the diameter at point T to the diameter at point C is then used as the continuous regression label for the TMB branch.</w:t>
      </w:r>
    </w:p>
    <w:p w14:paraId="0D0B4692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  <w:lang w:val="en-US" w:eastAsia="zh-CN" w:bidi="ar"/>
        </w:rPr>
        <w:t>TMB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​=d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/d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​​</w:t>
      </w:r>
    </w:p>
    <w:p w14:paraId="4684B6DB">
      <w:pPr>
        <w:pStyle w:val="6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 the formula, dT and dC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denote the equivalent diameters of the detection point and the quality control point, respectively.</w:t>
      </w:r>
    </w:p>
    <w:p w14:paraId="3D5D0138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Based on the distribution of manually annotated data and the actual colorimetric interpretation characteristics, the continuous regression results for TMB are categorized into 4 semi-quantitative grades.</w:t>
      </w:r>
    </w:p>
    <w:p w14:paraId="7B4EDC92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Negative or extremely weak signal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 xml:space="preserve">​&lt;0.30； </w:t>
      </w:r>
    </w:p>
    <w:p w14:paraId="0FA10833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 W</w:t>
      </w:r>
      <w:r>
        <w:rPr>
          <w:rFonts w:hint="default" w:ascii="Times New Roman" w:hAnsi="Times New Roman" w:cs="Times New Roman"/>
          <w:sz w:val="24"/>
          <w:szCs w:val="24"/>
        </w:rPr>
        <w:t>eakly positive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0.30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≤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TMB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0.74； </w:t>
      </w:r>
    </w:p>
    <w:p w14:paraId="5B4E866A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Moderately positive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0.74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≤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TMB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&lt;0.95； </w:t>
      </w:r>
    </w:p>
    <w:p w14:paraId="3F455C38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Strongly positive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TMB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0.95</w:t>
      </w:r>
    </w:p>
    <w:p w14:paraId="34E87D05">
      <w:pPr>
        <w:pStyle w:val="6"/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These hierarchical results are obtained by mapping the continuous regression values through a fixed threshold, rather than being directly outputted by a standalone four-class classification network.</w:t>
      </w:r>
    </w:p>
    <w:p w14:paraId="514D292F">
      <w:pPr>
        <w:pStyle w:val="3"/>
        <w:keepNext w:val="0"/>
        <w:keepLines w:val="0"/>
        <w:widowControl/>
        <w:suppressLineNumbers w:val="0"/>
        <w:rPr>
          <w:rFonts w:hint="defaul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Chemiluminescence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 xml:space="preserve">mage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  <w:szCs w:val="24"/>
        </w:rPr>
        <w:t xml:space="preserve">abel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>eneration</w:t>
      </w:r>
    </w:p>
    <w:p w14:paraId="3F625241">
      <w:pPr>
        <w:pStyle w:val="6"/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For chemiluminescence images, the luminescent regions at points C and T are separately calibrated, and areas devoid of significant luminescence near these spots are selected as local backgrounds. After subtracting the background, the integral chemiluminescence intensities within the regions at points C and T are calculated, and the ratio of these two values is used as the regression label for the chemiluminescence branch.</w:t>
      </w:r>
    </w:p>
    <w:p w14:paraId="5ACBF8A7">
      <w:pPr>
        <w:pStyle w:val="6"/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R</w:t>
      </w:r>
      <w:r>
        <w:rPr>
          <w:rFonts w:hint="default" w:ascii="Times New Roman" w:hAnsi="Times New Roman" w:cs="Times New Roman"/>
          <w:kern w:val="0"/>
          <w:sz w:val="24"/>
          <w:szCs w:val="24"/>
          <w:vertAlign w:val="subscript"/>
          <w:lang w:val="en-US" w:eastAsia="zh-CN" w:bidi="ar"/>
        </w:rPr>
        <w:t xml:space="preserve">CL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​=</w:t>
      </w:r>
      <w:r>
        <w:rPr>
          <w:rFonts w:hint="default" w:ascii="Times New Roman" w:hAnsi="Times New Roman" w:cs="Times New Roman"/>
          <w:i/>
          <w:iCs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/</w:t>
      </w:r>
      <w:r>
        <w:rPr>
          <w:rFonts w:hint="default" w:ascii="Times New Roman" w:hAnsi="Times New Roman" w:cs="Times New Roman"/>
          <w:i/>
          <w:iCs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  <w:lang w:val="en-US" w:eastAsia="zh-CN" w:bidi="ar"/>
        </w:rPr>
        <w:t>C</w:t>
      </w:r>
    </w:p>
    <w:p w14:paraId="01AC4CEE">
      <w:pPr>
        <w:pStyle w:val="6"/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 this formula,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 denote the integrated luminescence intensities at points T and C, respectively, after background subtraction. The integrated luminescence intensity simultaneously reflects both the brightness and effective area of the spot; thus, it is more suitable than a single-pixel peak for evaluating the overall enrichment level of the probe on the membrane.</w:t>
      </w:r>
    </w:p>
    <w:p w14:paraId="6A3F8F7E">
      <w:pPr>
        <w:pStyle w:val="6"/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Based on the CL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T/C</w:t>
      </w:r>
      <w:r>
        <w:rPr>
          <w:rFonts w:hint="default" w:ascii="Times New Roman" w:hAnsi="Times New Roman" w:cs="Times New Roman"/>
          <w:sz w:val="24"/>
          <w:szCs w:val="24"/>
        </w:rPr>
        <w:t xml:space="preserve"> intensity ratio, the chemiluminescence results are classified as follows:</w:t>
      </w:r>
    </w:p>
    <w:p w14:paraId="1E5D86B5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4"/>
          <w:szCs w:val="24"/>
        </w:rPr>
        <w:t>Negative or extremely weak luminescence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CL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&lt;0.10； </w:t>
      </w:r>
    </w:p>
    <w:p w14:paraId="57B76F4B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4"/>
          <w:szCs w:val="24"/>
        </w:rPr>
        <w:t>Weakly positive luminescence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</w:rPr>
        <w:t>0.10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≤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CL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&lt;0.60； </w:t>
      </w:r>
    </w:p>
    <w:p w14:paraId="358C4EDB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4"/>
          <w:szCs w:val="24"/>
        </w:rPr>
        <w:t>Moderately positive luminescence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4"/>
          <w:szCs w:val="24"/>
        </w:rPr>
        <w:t>0.60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≤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CL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&lt;0.85； </w:t>
      </w:r>
    </w:p>
    <w:p w14:paraId="6C277C75">
      <w:pPr>
        <w:keepNext w:val="0"/>
        <w:keepLines w:val="0"/>
        <w:widowControl/>
        <w:suppressLineNumbers w:val="0"/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4"/>
          <w:szCs w:val="24"/>
        </w:rPr>
        <w:t>Strongly positive luminescence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R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CL</w:t>
      </w:r>
      <w:r>
        <w:rPr>
          <w:rFonts w:hint="default" w:ascii="Times New Roman" w:hAnsi="Times New Roman" w:eastAsia="宋体" w:cs="Times New Roman"/>
          <w:sz w:val="24"/>
          <w:szCs w:val="24"/>
        </w:rPr>
        <w:t>​≥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0.85。 </w:t>
      </w:r>
    </w:p>
    <w:p w14:paraId="2524239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aforementioned interval adopts a left-closed and right-open definition to avoid situations where boundary values fall simultaneously into two adjacent levels.</w:t>
      </w:r>
    </w:p>
    <w:p w14:paraId="2EBBE899"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26B7BFBB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3866515" cy="3193415"/>
            <wp:effectExtent l="0" t="0" r="4445" b="6985"/>
            <wp:docPr id="9" name="图片 9" descr="DLS作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LS作图"/>
                    <pic:cNvPicPr/>
                  </pic:nvPicPr>
                  <pic:blipFill>
                    <a:blip r:embed="rId6"/>
                    <a:srcRect l="5602" t="6099" r="8990" b="1476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76416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DLS spectra of GSH@Co–AuNCs nanoclusters</w:t>
      </w:r>
    </w:p>
    <w:p w14:paraId="0BB7CD5B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867150" cy="3193415"/>
            <wp:effectExtent l="0" t="0" r="3810" b="6985"/>
            <wp:docPr id="1" name="图片 1" descr="总谱图-X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总谱图-XPS"/>
                    <pic:cNvPicPr/>
                  </pic:nvPicPr>
                  <pic:blipFill>
                    <a:blip r:embed="rId7"/>
                    <a:srcRect l="5058" r="14602" b="5473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FF411">
      <w:pPr>
        <w:spacing w:line="240" w:lineRule="auto"/>
        <w:jc w:val="center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XPS survey spectra for GSH@Co–AuNCs and GSH@Co–AuNCs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-SPA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, showing characteristic peaks of Co 2p, O 1s, N 1s, C 1s, Au 4f and S 2p.</w:t>
      </w:r>
    </w:p>
    <w:p w14:paraId="11D12EAF">
      <w:pPr>
        <w:pStyle w:val="5"/>
        <w:spacing w:before="73" w:line="199" w:lineRule="auto"/>
        <w:ind w:left="183" w:right="67" w:hanging="184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</w:p>
    <w:p w14:paraId="2669B175">
      <w:pPr>
        <w:pStyle w:val="5"/>
        <w:spacing w:before="73" w:line="199" w:lineRule="auto"/>
        <w:ind w:left="183" w:right="67" w:hanging="184"/>
        <w:jc w:val="center"/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</w:pPr>
    </w:p>
    <w:p w14:paraId="2D04E66C">
      <w:pPr>
        <w:pStyle w:val="5"/>
        <w:spacing w:before="73" w:line="199" w:lineRule="auto"/>
        <w:ind w:left="183" w:right="67" w:hanging="184"/>
        <w:jc w:val="center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  <w:drawing>
          <wp:inline distT="0" distB="0" distL="114300" distR="114300">
            <wp:extent cx="3866515" cy="3193415"/>
            <wp:effectExtent l="0" t="0" r="4445" b="6985"/>
            <wp:docPr id="8" name="图片 8" descr="PH优化-TM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H优化-TMB"/>
                    <pic:cNvPicPr/>
                  </pic:nvPicPr>
                  <pic:blipFill>
                    <a:blip r:embed="rId8"/>
                    <a:srcRect l="4237" t="6563" r="9820" b="2585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4342">
      <w:pPr>
        <w:spacing w:line="240" w:lineRule="auto"/>
        <w:jc w:val="center"/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Style w:val="10"/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Effect of pH on the peroxidase-like activity of GSH@Co–AuNCs using the TMB–H₂O₂ system</w:t>
      </w:r>
    </w:p>
    <w:p w14:paraId="29B38D12">
      <w:pPr>
        <w:pStyle w:val="5"/>
        <w:spacing w:before="73" w:line="199" w:lineRule="auto"/>
        <w:ind w:left="183" w:right="67" w:hanging="184"/>
        <w:jc w:val="center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  <w:drawing>
          <wp:inline distT="0" distB="0" distL="114300" distR="114300">
            <wp:extent cx="3866515" cy="3193415"/>
            <wp:effectExtent l="0" t="0" r="4445" b="6985"/>
            <wp:docPr id="7" name="图片 7" descr="温度优化TM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温度优化TMB"/>
                    <pic:cNvPicPr/>
                  </pic:nvPicPr>
                  <pic:blipFill>
                    <a:blip r:embed="rId9"/>
                    <a:srcRect l="4142" t="7332" r="10608" b="3320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0287">
      <w:pPr>
        <w:spacing w:line="240" w:lineRule="auto"/>
        <w:jc w:val="center"/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Style w:val="10"/>
          <w:rFonts w:hint="default" w:ascii="Times New Roman" w:hAnsi="Times New Roman" w:eastAsia="宋体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Effect of temperature on the peroxidase-like activity of GSH@Co–AuNCs using the TMB–H₂O₂ system.</w:t>
      </w:r>
    </w:p>
    <w:p w14:paraId="4E6054BA">
      <w:pPr>
        <w:pStyle w:val="5"/>
        <w:spacing w:before="73" w:line="199" w:lineRule="auto"/>
        <w:ind w:right="67"/>
        <w:jc w:val="center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  <w:drawing>
          <wp:inline distT="0" distB="0" distL="114300" distR="114300">
            <wp:extent cx="3866515" cy="3193415"/>
            <wp:effectExtent l="0" t="0" r="4445" b="6985"/>
            <wp:docPr id="4" name="图片 4" descr="0-60min支撑信息图S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-60min支撑信息图S6"/>
                    <pic:cNvPicPr/>
                  </pic:nvPicPr>
                  <pic:blipFill>
                    <a:blip r:embed="rId10"/>
                    <a:srcRect l="4317" t="8393" r="11562" b="2602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42AB">
      <w:pPr>
        <w:spacing w:line="24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Style w:val="10"/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Linear fitting of ln(Net CL) versus time within 0–60 min</w:t>
      </w:r>
    </w:p>
    <w:p w14:paraId="6E2F8AF4">
      <w:pPr>
        <w:spacing w:line="240" w:lineRule="auto"/>
        <w:jc w:val="center"/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</w:pPr>
    </w:p>
    <w:p w14:paraId="07AB7710">
      <w:pPr>
        <w:spacing w:line="240" w:lineRule="auto"/>
        <w:jc w:val="center"/>
        <w:rPr>
          <w:rFonts w:hint="default" w:ascii="Times New Roman" w:hAnsi="Times New Roman" w:eastAsia="Times New Roman" w:cs="Times New Roman"/>
          <w:color w:val="231F1F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231F1F"/>
          <w:sz w:val="24"/>
          <w:szCs w:val="24"/>
          <w:lang w:eastAsia="zh-CN"/>
        </w:rPr>
        <w:drawing>
          <wp:inline distT="0" distB="0" distL="114300" distR="114300">
            <wp:extent cx="3866515" cy="3193415"/>
            <wp:effectExtent l="0" t="0" r="4445" b="6985"/>
            <wp:docPr id="6" name="图片 6" descr="PTA-OH测定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TA-OH测定"/>
                    <pic:cNvPicPr/>
                  </pic:nvPicPr>
                  <pic:blipFill>
                    <a:blip r:embed="rId11"/>
                    <a:srcRect l="3966" t="5867" r="9990" b="7456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7199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Fluorescence intensity of TA oxidation product reflecting ·OH generation from different catalytic systems. : blank buffer control; H₂O₂ + TA without nanoclusters; AuNCs + H₂O₂ + TA;  GSH@Co-AuNCs + H₂O₂ + TA. Data are expressed as mean ± standard deviation (n = 3).</w:t>
      </w:r>
    </w:p>
    <w:p w14:paraId="5AA4A208">
      <w:pPr>
        <w:spacing w:line="240" w:lineRule="auto"/>
        <w:jc w:val="center"/>
        <w:rPr>
          <w:sz w:val="24"/>
        </w:rPr>
      </w:pPr>
    </w:p>
    <w:p w14:paraId="2225D34E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sz w:val="24"/>
        </w:rPr>
        <w:drawing>
          <wp:inline distT="0" distB="0" distL="114300" distR="114300">
            <wp:extent cx="3866515" cy="3193415"/>
            <wp:effectExtent l="0" t="0" r="0" b="0"/>
            <wp:docPr id="1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/>
                  </pic:nvPicPr>
                  <pic:blipFill>
                    <a:blip r:embed="rId12"/>
                    <a:srcRect l="5444" t="6952" r="10440" b="3026"/>
                    <a:stretch>
                      <a:fillRect/>
                    </a:stretch>
                  </pic:blipFill>
                  <pic:spPr>
                    <a:xfrm>
                      <a:off x="2189480" y="462280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8A90">
      <w:pPr>
        <w:pStyle w:val="6"/>
        <w:widowControl/>
        <w:spacing w:before="280" w:after="280" w:line="240" w:lineRule="auto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Effects of PH concentration on the chemiluminescence (CL) intensity of the luminol - H2O2 system. The CL intensity was recorded at the peak time point of the kinetic curves. Data are presented as mean ± standard deviation (SD) from three independent replicates (n = 3）</w:t>
      </w:r>
    </w:p>
    <w:p w14:paraId="084E2CA8">
      <w:pPr>
        <w:pStyle w:val="6"/>
        <w:widowControl/>
        <w:spacing w:before="280" w:after="28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drawing>
          <wp:inline distT="0" distB="0" distL="114300" distR="114300">
            <wp:extent cx="3866515" cy="3193415"/>
            <wp:effectExtent l="0" t="0" r="0" b="0"/>
            <wp:docPr id="13" name="内容占位符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内容占位符 12"/>
                    <pic:cNvPicPr/>
                  </pic:nvPicPr>
                  <pic:blipFill>
                    <a:blip r:embed="rId13"/>
                    <a:srcRect l="5165" t="7587" r="10330" b="4826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FDBD4">
      <w:pPr>
        <w:pStyle w:val="6"/>
        <w:widowControl/>
        <w:spacing w:before="280" w:after="280" w:line="240" w:lineRule="auto"/>
        <w:jc w:val="center"/>
        <w:rPr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net chemiluminescence integral AUC values. Error bars represent the standard deviation (n = 3)</w:t>
      </w:r>
    </w:p>
    <w:p w14:paraId="697C5735">
      <w:pPr>
        <w:pStyle w:val="6"/>
        <w:widowControl/>
        <w:spacing w:before="280" w:after="280" w:line="360" w:lineRule="auto"/>
        <w:jc w:val="center"/>
      </w:pPr>
      <w:r>
        <w:drawing>
          <wp:inline distT="0" distB="0" distL="114300" distR="114300">
            <wp:extent cx="3866515" cy="3193415"/>
            <wp:effectExtent l="0" t="0" r="0" b="0"/>
            <wp:docPr id="25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/>
                  </pic:nvPicPr>
                  <pic:blipFill>
                    <a:blip r:embed="rId14"/>
                    <a:srcRect l="3800" t="9399" r="9889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3FCC4">
      <w:pPr>
        <w:pStyle w:val="6"/>
        <w:widowControl/>
        <w:spacing w:line="240" w:lineRule="auto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S9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Effects of GSH@Co-AuNCs concentration on the chemiluminescence (CL) intensity of the luminol - H2O2 system. The CL intensity was recorded at the peak time point of the kinetic curves. Data are presented as mean ± standard deviation (SD) from three independent replicates (n = 3）</w:t>
      </w:r>
    </w:p>
    <w:p w14:paraId="0108B208">
      <w:pPr>
        <w:pStyle w:val="6"/>
        <w:widowControl/>
        <w:spacing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drawing>
          <wp:inline distT="0" distB="0" distL="114300" distR="114300">
            <wp:extent cx="3866515" cy="3193415"/>
            <wp:effectExtent l="0" t="0" r="0" b="0"/>
            <wp:docPr id="14" name="内容占位符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内容占位符 3"/>
                    <pic:cNvPicPr/>
                  </pic:nvPicPr>
                  <pic:blipFill>
                    <a:blip r:embed="rId15"/>
                    <a:srcRect l="5753" t="7138" r="11505" b="1618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75FC">
      <w:pPr>
        <w:pStyle w:val="6"/>
        <w:widowControl/>
        <w:spacing w:before="280" w:after="28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10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GSH@Co–AuNCs net chemiluminescence integral AUC values. Error bars represent the standard deviation (n = 3).</w:t>
      </w:r>
    </w:p>
    <w:p w14:paraId="756B1BF4">
      <w:pPr>
        <w:pStyle w:val="6"/>
        <w:widowControl/>
        <w:spacing w:before="280" w:after="280" w:line="360" w:lineRule="auto"/>
        <w:jc w:val="center"/>
      </w:pPr>
      <w:r>
        <w:drawing>
          <wp:inline distT="0" distB="0" distL="114300" distR="114300">
            <wp:extent cx="3866515" cy="3193415"/>
            <wp:effectExtent l="0" t="0" r="0" b="0"/>
            <wp:docPr id="17" name="内容占位符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内容占位符 16"/>
                    <pic:cNvPicPr/>
                  </pic:nvPicPr>
                  <pic:blipFill>
                    <a:blip r:embed="rId16"/>
                    <a:srcRect l="5347" t="8548" r="10340" b="2926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4333">
      <w:pPr>
        <w:pStyle w:val="6"/>
        <w:widowControl/>
        <w:spacing w:before="280" w:after="28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11.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H2O2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net chemiluminescence integral AUC values. Error bars represent the standard deviation (n = 3).</w:t>
      </w:r>
    </w:p>
    <w:p w14:paraId="3A8AD3B9">
      <w:pPr>
        <w:pStyle w:val="6"/>
        <w:widowControl/>
        <w:spacing w:before="280" w:after="28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drawing>
          <wp:inline distT="0" distB="0" distL="114300" distR="114300">
            <wp:extent cx="3913505" cy="3182620"/>
            <wp:effectExtent l="0" t="0" r="0" b="0"/>
            <wp:docPr id="2" name="内容占位符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内容占位符 14"/>
                    <pic:cNvPicPr/>
                  </pic:nvPicPr>
                  <pic:blipFill>
                    <a:blip r:embed="rId17"/>
                    <a:srcRect l="6056" t="7524" r="11464" b="1770"/>
                    <a:stretch>
                      <a:fillRect/>
                    </a:stretch>
                  </pic:blipFill>
                  <pic:spPr>
                    <a:xfrm>
                      <a:off x="0" y="0"/>
                      <a:ext cx="3913505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0DB4">
      <w:pPr>
        <w:pStyle w:val="6"/>
        <w:widowControl/>
        <w:spacing w:before="280" w:after="2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12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Luminol</w:t>
      </w:r>
      <w:r>
        <w:rPr>
          <w:rFonts w:ascii="Times New Roman" w:hAnsi="Times New Roman" w:cs="Times New Roman"/>
          <w:sz w:val="24"/>
          <w:szCs w:val="24"/>
        </w:rPr>
        <w:t xml:space="preserve"> net chemiluminescence integral AUC values. Error bars represent the standard deviation (n = 3).</w:t>
      </w:r>
    </w:p>
    <w:p w14:paraId="4BCF3189">
      <w:pPr>
        <w:pStyle w:val="6"/>
        <w:widowControl/>
        <w:spacing w:before="280" w:after="280" w:line="240" w:lineRule="auto"/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5256561F">
      <w:pPr>
        <w:spacing w:line="48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1：Batch-to-batch reproducibility of the chemiluminescence mode (CL T/C ratio)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2909"/>
        <w:gridCol w:w="2697"/>
      </w:tblGrid>
      <w:tr w14:paraId="37A5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6F6B4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Concentration</w:t>
            </w: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E8121B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Mean T/C,SD</w:t>
            </w: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61F531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CV (%)</w:t>
            </w:r>
          </w:p>
        </w:tc>
      </w:tr>
      <w:tr w14:paraId="48AC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4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34E39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Low</w:t>
            </w: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F587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0.07±0.0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05</w:t>
            </w: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5121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7.1…</w:t>
            </w:r>
          </w:p>
        </w:tc>
      </w:tr>
      <w:tr w14:paraId="40E1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14:paraId="0027428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Medium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F3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0.51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±0.03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BA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5.2</w:t>
            </w:r>
          </w:p>
        </w:tc>
      </w:tr>
      <w:tr w14:paraId="2AD5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884B59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High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C2F3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±0.02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66A8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</w:tbl>
    <w:p w14:paraId="2EB7D0D8">
      <w:pPr>
        <w:spacing w:line="360" w:lineRule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CV% = (SD / Mean) × 100%. The inter-run precision was determined by analyzing the same sample once on each of three independent batches (A, B, C). All CV% values were below 10%, meeting the precision requirements for the immunoassay method.</w:t>
      </w:r>
    </w:p>
    <w:p w14:paraId="1094B02F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3CB04623">
      <w:pPr>
        <w:spacing w:line="48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2:Stability of GSH@Co-AuNCs-VFI test cards during storage at 4°C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2872"/>
        <w:gridCol w:w="2793"/>
      </w:tblGrid>
      <w:tr w14:paraId="20BD2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7DB3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Storage time</w:t>
            </w: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E024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Relative signal (%)</w:t>
            </w: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3C22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CV (%)</w:t>
            </w:r>
          </w:p>
        </w:tc>
      </w:tr>
      <w:tr w14:paraId="62F1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DDD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Day 0</w:t>
            </w: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0D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2D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2.0…</w:t>
            </w:r>
          </w:p>
        </w:tc>
      </w:tr>
      <w:tr w14:paraId="2B17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AE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Day 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2D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98.1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607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2.4…</w:t>
            </w:r>
          </w:p>
        </w:tc>
      </w:tr>
      <w:tr w14:paraId="0776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2DF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Day 14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5A1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92.3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3C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3.7…</w:t>
            </w:r>
          </w:p>
        </w:tc>
      </w:tr>
      <w:tr w14:paraId="2709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DBB1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Day 30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B20E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85.4 …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A078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7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4.3…</w:t>
            </w:r>
          </w:p>
        </w:tc>
      </w:tr>
    </w:tbl>
    <w:p w14:paraId="64719681">
      <w:pPr>
        <w:pStyle w:val="5"/>
        <w:spacing w:before="73" w:line="360" w:lineRule="auto"/>
        <w:ind w:right="67"/>
        <w:rPr>
          <w:rFonts w:hint="default" w:ascii="Times New Roman" w:hAnsi="Times New Roman" w:eastAsia="Times New Roman" w:cs="Times New Roman"/>
          <w:color w:val="231F1F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color w:val="231F1F"/>
          <w:sz w:val="21"/>
          <w:szCs w:val="21"/>
        </w:rPr>
        <w:t>Relative signal (%) = (CL T/C ratio at indicated storage time / CL T/C ratio at day 0) × 100%, based on weakly positive serum samples (SAT = 1:50, n = 3 independent batches). CV (%) = (SD / Mean) × 100%, calculated from triplicate measurements at each time point. All CV values were below 5%, indicating good precision during storage. The signal remained above 85% after 30 days of storage at 4°C, demonstrating acceptable stability for routine use.</w:t>
      </w:r>
    </w:p>
    <w:p w14:paraId="17AFF173">
      <w:pPr>
        <w:rPr>
          <w:rFonts w:hint="default" w:ascii="Times New Roman" w:hAnsi="Times New Roman" w:eastAsia="Times New Roman" w:cs="Times New Roman"/>
          <w:color w:val="231F1F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color w:val="231F1F"/>
          <w:sz w:val="21"/>
          <w:szCs w:val="21"/>
        </w:rPr>
        <w:br w:type="page"/>
      </w:r>
    </w:p>
    <w:p w14:paraId="623471D8">
      <w:pPr>
        <w:spacing w:line="480" w:lineRule="auto"/>
        <w:jc w:val="center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Table S3. Preliminary clinical performance of the deep learning-assisted vertical flow immunoassay using the serum agglutination test as the reference method (n = 30)</w:t>
      </w:r>
    </w:p>
    <w:tbl>
      <w:tblPr>
        <w:tblStyle w:val="8"/>
        <w:tblpPr w:leftFromText="180" w:rightFromText="180" w:vertAnchor="text" w:horzAnchor="page" w:tblpX="922" w:tblpY="535"/>
        <w:tblOverlap w:val="never"/>
        <w:tblW w:w="10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173"/>
        <w:gridCol w:w="574"/>
        <w:gridCol w:w="1026"/>
        <w:gridCol w:w="1147"/>
        <w:gridCol w:w="1587"/>
        <w:gridCol w:w="1053"/>
        <w:gridCol w:w="1160"/>
        <w:gridCol w:w="1680"/>
      </w:tblGrid>
      <w:tr w14:paraId="3C28A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6EA4E172">
            <w:pPr>
              <w:jc w:val="center"/>
              <w:rPr>
                <w:vertAlign w:val="baseline"/>
              </w:rPr>
            </w:pPr>
          </w:p>
        </w:tc>
        <w:tc>
          <w:tcPr>
            <w:tcW w:w="1173" w:type="dxa"/>
            <w:tcBorders>
              <w:left w:val="nil"/>
              <w:bottom w:val="nil"/>
              <w:right w:val="nil"/>
            </w:tcBorders>
          </w:tcPr>
          <w:p w14:paraId="6425B0A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747" w:type="dxa"/>
            <w:gridSpan w:val="3"/>
            <w:tcBorders>
              <w:left w:val="nil"/>
              <w:bottom w:val="single" w:color="auto" w:sz="4" w:space="0"/>
              <w:right w:val="nil"/>
            </w:tcBorders>
          </w:tcPr>
          <w:p w14:paraId="19F0E5B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VFI-ACM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B7874F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CI</w:t>
            </w:r>
          </w:p>
        </w:tc>
        <w:tc>
          <w:tcPr>
            <w:tcW w:w="2213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DCD6EB5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VFI-CL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2789454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CI</w:t>
            </w:r>
          </w:p>
        </w:tc>
      </w:tr>
      <w:tr w14:paraId="6A3B9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252FC2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61EE6A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B8AAA8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D0951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Positive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3DAB28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3D24B9E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323DCB0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Positive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28D2B23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197A06E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2AA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9C49A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S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AT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22156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Positive</w:t>
            </w:r>
          </w:p>
        </w:tc>
        <w:tc>
          <w:tcPr>
            <w:tcW w:w="5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09DEAD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AB588D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2744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C9260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FAD8F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6C0ED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66844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0C4B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25DDB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D536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6C812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CFCA64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E3B5A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1D426C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8782AA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A2EA2B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5071C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7B3E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94481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D1D32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Total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C003DF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6020C1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7772E9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E5F6D5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3F95BB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A0FBFB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815E7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</w:tr>
      <w:tr w14:paraId="5D93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B464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B297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Sensitivity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,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3761C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95.0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9D06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75.1–99.9%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A32C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5.0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372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75.1–99.9%</w:t>
            </w:r>
          </w:p>
        </w:tc>
      </w:tr>
      <w:tr w14:paraId="7263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C470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CD86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Specificity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85B86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8E67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55.5–99.7%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5EB8B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93A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69.2–100%</w:t>
            </w:r>
          </w:p>
        </w:tc>
      </w:tr>
      <w:tr w14:paraId="19346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B04149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0C4FC0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8E9CF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3.3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78BEF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77.9–99.2%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F4A6A0">
            <w:pPr>
              <w:pStyle w:val="6"/>
              <w:widowControl/>
              <w:overflowPunct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0E08B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82.8–99.9%</w:t>
            </w:r>
          </w:p>
        </w:tc>
      </w:tr>
    </w:tbl>
    <w:p w14:paraId="6762360A">
      <w:pPr>
        <w:keepNext w:val="0"/>
        <w:keepLines w:val="0"/>
        <w:widowControl/>
        <w:suppressLineNumbers w:val="0"/>
        <w:spacing w:line="240" w:lineRule="auto"/>
        <w:rPr>
          <w:rFonts w:ascii="Symbol" w:hAnsi="Symbol" w:eastAsia="Symbol" w:cs="Symbol"/>
          <w:sz w:val="24"/>
        </w:rPr>
      </w:pPr>
    </w:p>
    <w:p w14:paraId="0DB02FC6">
      <w:pPr>
        <w:pStyle w:val="3"/>
        <w:rPr>
          <w:rFonts w:hint="eastAsia"/>
          <w:lang w:val="en-US" w:eastAsia="zh-CN"/>
        </w:rPr>
      </w:pPr>
      <w:r>
        <w:t>Reference</w:t>
      </w:r>
    </w:p>
    <w:p w14:paraId="6B90D7B5">
      <w:pPr>
        <w:pStyle w:val="13"/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]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X. Qu, L.J. Kirschenbaum, E.T. Borish, Hydroxyterephthalate as a fluorescent probe for hydroxyl radicals: application to hair melanin, Photochem. Photobiol. 71 (2000) 307–313. https://doi.org/10.1562/0031-8655(2000)071%3C0307:HAAFPF%3E2.0.CO;2.</w:t>
      </w:r>
    </w:p>
    <w:p w14:paraId="6AEA5CD1">
      <w:pPr>
        <w:spacing w:line="240" w:lineRule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" w:fontKey="{ADF0A786-9F48-4EC5-A85A-61B04089AE7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0CEABBEF-86AE-4CAB-BB4A-62642B9F125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8654ED47-C98C-4ACF-A120-5F7BAA729AB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B027E"/>
    <w:rsid w:val="012A7AF5"/>
    <w:rsid w:val="020F48EF"/>
    <w:rsid w:val="02931935"/>
    <w:rsid w:val="02A318E0"/>
    <w:rsid w:val="02BE378E"/>
    <w:rsid w:val="038A7E04"/>
    <w:rsid w:val="0423435A"/>
    <w:rsid w:val="04F027A9"/>
    <w:rsid w:val="06EF7CF0"/>
    <w:rsid w:val="0A36774D"/>
    <w:rsid w:val="0B212BCE"/>
    <w:rsid w:val="0BE1520A"/>
    <w:rsid w:val="0BFF29CC"/>
    <w:rsid w:val="0D914F51"/>
    <w:rsid w:val="0DBF3F1C"/>
    <w:rsid w:val="0DE77EDE"/>
    <w:rsid w:val="10123CEB"/>
    <w:rsid w:val="11912B10"/>
    <w:rsid w:val="12531C9B"/>
    <w:rsid w:val="133117E1"/>
    <w:rsid w:val="142976A3"/>
    <w:rsid w:val="14812B5E"/>
    <w:rsid w:val="153E3968"/>
    <w:rsid w:val="16951D1B"/>
    <w:rsid w:val="16970417"/>
    <w:rsid w:val="18550589"/>
    <w:rsid w:val="19F1171D"/>
    <w:rsid w:val="1D7414B2"/>
    <w:rsid w:val="1E34479D"/>
    <w:rsid w:val="248C0F26"/>
    <w:rsid w:val="25832019"/>
    <w:rsid w:val="25F369C7"/>
    <w:rsid w:val="28357004"/>
    <w:rsid w:val="290C153A"/>
    <w:rsid w:val="2A0517FE"/>
    <w:rsid w:val="2A1805FD"/>
    <w:rsid w:val="2E5A3D45"/>
    <w:rsid w:val="3109327F"/>
    <w:rsid w:val="31BB027E"/>
    <w:rsid w:val="36AD1C42"/>
    <w:rsid w:val="36CC15BF"/>
    <w:rsid w:val="3AC06BF4"/>
    <w:rsid w:val="3D3A6003"/>
    <w:rsid w:val="3D8A3804"/>
    <w:rsid w:val="3E507D4A"/>
    <w:rsid w:val="44176241"/>
    <w:rsid w:val="46DF12D2"/>
    <w:rsid w:val="4B8A2194"/>
    <w:rsid w:val="4C966935"/>
    <w:rsid w:val="4D881740"/>
    <w:rsid w:val="4EA25710"/>
    <w:rsid w:val="509E5922"/>
    <w:rsid w:val="50F23CDB"/>
    <w:rsid w:val="50F93666"/>
    <w:rsid w:val="51DA5080"/>
    <w:rsid w:val="532C2301"/>
    <w:rsid w:val="55AB141B"/>
    <w:rsid w:val="567B6271"/>
    <w:rsid w:val="59080725"/>
    <w:rsid w:val="5924294C"/>
    <w:rsid w:val="59590F80"/>
    <w:rsid w:val="5B1E5F8A"/>
    <w:rsid w:val="5B991157"/>
    <w:rsid w:val="5E6301AB"/>
    <w:rsid w:val="5F7858AF"/>
    <w:rsid w:val="61310483"/>
    <w:rsid w:val="614B102D"/>
    <w:rsid w:val="63980872"/>
    <w:rsid w:val="647E30EE"/>
    <w:rsid w:val="67E9310A"/>
    <w:rsid w:val="686626D4"/>
    <w:rsid w:val="6A2E3D63"/>
    <w:rsid w:val="6BE9361A"/>
    <w:rsid w:val="6C7A503E"/>
    <w:rsid w:val="6D56758C"/>
    <w:rsid w:val="6F3E7E0E"/>
    <w:rsid w:val="7091303E"/>
    <w:rsid w:val="7118679B"/>
    <w:rsid w:val="72BC6E4B"/>
    <w:rsid w:val="72FD42D3"/>
    <w:rsid w:val="74F03568"/>
    <w:rsid w:val="753541F8"/>
    <w:rsid w:val="76F27835"/>
    <w:rsid w:val="77260F89"/>
    <w:rsid w:val="785E5813"/>
    <w:rsid w:val="7A461E2B"/>
    <w:rsid w:val="7AC322A6"/>
    <w:rsid w:val="7C885555"/>
    <w:rsid w:val="7CB16A21"/>
    <w:rsid w:val="7EB81375"/>
    <w:rsid w:val="7EF7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left="0" w:leftChars="0" w:firstLine="0" w:firstLineChars="0"/>
      <w:jc w:val="both"/>
    </w:pPr>
    <w:rPr>
      <w:rFonts w:ascii="Calibri" w:hAnsi="Calibri" w:eastAsia="宋体" w:cs="宋体"/>
      <w:kern w:val="2"/>
      <w:sz w:val="27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Calibri" w:hAnsi="Calibri" w:eastAsia="宋体" w:cs="Arial"/>
      <w:b/>
      <w:kern w:val="44"/>
      <w:sz w:val="44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Bibliography"/>
    <w:basedOn w:val="1"/>
    <w:next w:val="1"/>
    <w:unhideWhenUsed/>
    <w:qFormat/>
    <w:uiPriority w:val="37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emf"/><Relationship Id="rId16" Type="http://schemas.openxmlformats.org/officeDocument/2006/relationships/image" Target="media/image11.emf"/><Relationship Id="rId15" Type="http://schemas.openxmlformats.org/officeDocument/2006/relationships/image" Target="media/image10.png"/><Relationship Id="rId14" Type="http://schemas.openxmlformats.org/officeDocument/2006/relationships/image" Target="media/image9.emf"/><Relationship Id="rId13" Type="http://schemas.openxmlformats.org/officeDocument/2006/relationships/image" Target="media/image8.emf"/><Relationship Id="rId12" Type="http://schemas.openxmlformats.org/officeDocument/2006/relationships/image" Target="media/image7.em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899</Words>
  <Characters>5220</Characters>
  <Lines>0</Lines>
  <Paragraphs>0</Paragraphs>
  <TotalTime>0</TotalTime>
  <ScaleCrop>false</ScaleCrop>
  <LinksUpToDate>false</LinksUpToDate>
  <CharactersWithSpaces>6090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2026-08-02T12:05:00Z</dcterms:created>
  <dc:creator>毕灵玫</dc:creator>
  <cp:lastModifiedBy>毕灵玫</cp:lastModifiedBy>
  <dcterms:modified xsi:type="dcterms:W3CDTF">2026-08-21T15:35:24Z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255550012BE342049FD70DCC6802FDA8_13</vt:lpwstr>
  </property>
  <property fmtid="{D5CDD505-2E9C-101B-9397-08002B2CF9AE}" pid="4" name="KSOTemplateDocerSaveRecord">
    <vt:lpwstr>eyJoZGlkIjoiYjk5ODM0YmMxOWJiYWQyNDU4MGIzYWRmYTA0ZmI5NDciLCJ1c2VySWQiOiIyNzY2ODk2NSJ9</vt:lpwstr>
  </property>
</Properties>
</file>