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AA438">
      <w:r>
        <w:drawing>
          <wp:inline distT="0" distB="0" distL="114300" distR="114300">
            <wp:extent cx="1801495" cy="1417955"/>
            <wp:effectExtent l="0" t="0" r="1905" b="4445"/>
            <wp:docPr id="1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805940" cy="1363345"/>
            <wp:effectExtent l="0" t="0" r="10160" b="8255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647190" cy="1336040"/>
            <wp:effectExtent l="0" t="0" r="3810" b="1016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47190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AC363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680" w:firstLineChars="7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                 B                      C</w:t>
      </w:r>
    </w:p>
    <w:p w14:paraId="26044F19">
      <w:r>
        <w:drawing>
          <wp:inline distT="0" distB="0" distL="114300" distR="114300">
            <wp:extent cx="1594485" cy="1427480"/>
            <wp:effectExtent l="0" t="0" r="5715" b="762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42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574800" cy="1447800"/>
            <wp:effectExtent l="0" t="0" r="0" b="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30375" cy="1430020"/>
            <wp:effectExtent l="0" t="0" r="9525" b="508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14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EFDF4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1440" w:firstLineChars="6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                    E                       F</w:t>
      </w:r>
    </w:p>
    <w:p w14:paraId="20585DF9">
      <w:r>
        <w:drawing>
          <wp:inline distT="0" distB="0" distL="114300" distR="114300">
            <wp:extent cx="1835150" cy="1551940"/>
            <wp:effectExtent l="0" t="0" r="6350" b="10160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29F37">
      <w:pPr>
        <w:ind w:firstLine="1680" w:firstLineChars="8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H</w:t>
      </w:r>
    </w:p>
    <w:p w14:paraId="3BCA4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Supplementary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S1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Calibration plots of 1–3-year for predicting the probability of overall survival of the prognostic model in the CGGA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325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 cohort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(A-C),CGGA693(D-F) and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>GSE43378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>(H).</w:t>
      </w:r>
    </w:p>
    <w:p w14:paraId="296835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drawing>
          <wp:inline distT="0" distB="0" distL="114300" distR="114300">
            <wp:extent cx="5272405" cy="1877060"/>
            <wp:effectExtent l="0" t="0" r="10795" b="2540"/>
            <wp:docPr id="1" name="图片 1" descr="CGGA69311_forestplot_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GGA69311_forestplot_IP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843D2">
      <w:pPr>
        <w:ind w:firstLine="3780" w:firstLineChars="18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</w:t>
      </w:r>
    </w:p>
    <w:p w14:paraId="2542EA0D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399405" cy="2234565"/>
            <wp:effectExtent l="0" t="0" r="10795" b="635"/>
            <wp:docPr id="2" name="图片 2" descr="GSE4337811_forestplot_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SE4337811_forestplot_IP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7B386">
      <w:pPr>
        <w:ind w:firstLine="3570" w:firstLineChars="17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</w:t>
      </w:r>
    </w:p>
    <w:p w14:paraId="7C016083">
      <w:pPr>
        <w:jc w:val="both"/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Supplementary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S2 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>Multivariate Cox regression analysis and forest plot of the survival in CGGA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693</w:t>
      </w: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(A) and GSE43378 (B)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.</w:t>
      </w:r>
    </w:p>
    <w:p w14:paraId="49B3ECCC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2492375"/>
            <wp:effectExtent l="0" t="0" r="0" b="9525"/>
            <wp:docPr id="40" name="图片 40" descr="CGGA325_nomogram11_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CGGA325_nomogram11_IPS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B96F0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</w:t>
      </w:r>
    </w:p>
    <w:p w14:paraId="4F714DD8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715510" cy="2593340"/>
            <wp:effectExtent l="0" t="0" r="8890" b="10160"/>
            <wp:docPr id="41" name="图片 41" descr="CGGA693_nomogram11_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CGGA693_nomogram11_IPS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15510" cy="259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BC8A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B</w:t>
      </w:r>
    </w:p>
    <w:p w14:paraId="672DE35E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715135" cy="1665605"/>
            <wp:effectExtent l="0" t="0" r="12065" b="10795"/>
            <wp:docPr id="49" name="图片 49" descr="CGGA325_1-Year_Calibration_of_nomogram_11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CGGA325_1-Year_Calibration_of_nomogram_11IPS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15135" cy="166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69415" cy="1623060"/>
            <wp:effectExtent l="0" t="0" r="6985" b="2540"/>
            <wp:docPr id="50" name="图片 50" descr="CGGA325_2-Year_Calibration_of_nomogram_11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CGGA325_2-Year_Calibration_of_nomogram_11IP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84020" cy="1635125"/>
            <wp:effectExtent l="0" t="0" r="5080" b="3175"/>
            <wp:docPr id="51" name="图片 51" descr="CGGA325_3-Year_Calibration_of_nomogram_11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CGGA325_3-Year_Calibration_of_nomogram_11IPS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442E6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 w:firstLine="960" w:firstLineChars="4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                    D                       E</w:t>
      </w:r>
    </w:p>
    <w:p w14:paraId="03E28858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668780" cy="1620520"/>
            <wp:effectExtent l="0" t="0" r="7620" b="5080"/>
            <wp:docPr id="42" name="图片 42" descr="CGGA693_1-Year_Calibration_of_nomogram_11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CGGA693_1-Year_Calibration_of_nomogram_11IPS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62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63700" cy="1616075"/>
            <wp:effectExtent l="0" t="0" r="0" b="9525"/>
            <wp:docPr id="43" name="图片 43" descr="CGGA693_2-Year_Calibration_of_nomogram_11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CGGA693_2-Year_Calibration_of_nomogram_11IPS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697355" cy="1648460"/>
            <wp:effectExtent l="0" t="0" r="4445" b="2540"/>
            <wp:docPr id="44" name="图片 44" descr="CGGA693_3-Year_Calibration_of_nomogram_11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CGGA693_3-Year_Calibration_of_nomogram_11IP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97355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F7EF2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 w:firstLine="960" w:firstLineChars="4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                    G                      H</w:t>
      </w:r>
    </w:p>
    <w:p w14:paraId="1E6B1CF6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 w:firstLine="960" w:firstLineChars="400"/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225040" cy="2653030"/>
            <wp:effectExtent l="0" t="0" r="10160" b="1270"/>
            <wp:docPr id="46" name="图片 46" descr="CGGA32511_prognosis_nomogram_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CGGA32511_prognosis_nomogram_ROC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238375" cy="2669540"/>
            <wp:effectExtent l="0" t="0" r="9525" b="10160"/>
            <wp:docPr id="48" name="图片 48" descr="CGGA69311_prognosis_nomogram_R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CGGA69311_prognosis_nomogram_ROC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A5852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 w:firstLine="960" w:firstLineChars="40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I                          J</w:t>
      </w:r>
    </w:p>
    <w:p w14:paraId="7A7D788F"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Supplementary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S3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 xml:space="preserve">Developed nomogram to predict the probability of survival in GBM patients.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 xml:space="preserve">A and B,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>Nomogram built with clinicopathological factors incorporated estimating 1-, 2- and 3-year overall survival for GBM patients in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  <w:t xml:space="preserve"> CGGA325(A) and CGGA693(B). C-H,The calibration curves describing the consistency between predicted and observed overall survival at different time points in CGGA325(C-E) and CGGA693(F-H). D,ROC analysis for the nomogram in CGGA325(I) and CGGA693(J).</w:t>
      </w:r>
    </w:p>
    <w:p w14:paraId="3E847080">
      <w:pPr>
        <w:keepNext w:val="0"/>
        <w:keepLines w:val="0"/>
        <w:pageBreakBefore w:val="0"/>
        <w:widowControl w:val="0"/>
        <w:tabs>
          <w:tab w:val="left" w:pos="6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1"/>
          <w:szCs w:val="21"/>
          <w:shd w:val="clear" w:fill="FFFFFF"/>
          <w:lang w:val="en-US" w:eastAsia="zh-CN"/>
        </w:rPr>
      </w:pPr>
    </w:p>
    <w:p w14:paraId="3E2E8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586865" cy="1892935"/>
            <wp:effectExtent l="0" t="0" r="635" b="12065"/>
            <wp:docPr id="23" name="图片 23" descr="04TCGAGBMPRS_type_subtupe_IPS_ROCCOX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04TCGAGBMPRS_type_subtupe_IPS_ROCCOX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89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1715770" cy="1882775"/>
            <wp:effectExtent l="0" t="0" r="11430" b="9525"/>
            <wp:docPr id="24" name="图片 24" descr="CGGA325_PRS_type_ISP_RO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GGA325_PRS_type_ISP_ROC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606550" cy="1916430"/>
            <wp:effectExtent l="0" t="0" r="6350" b="1270"/>
            <wp:docPr id="25" name="图片 25" descr="CGGA693_PRS_type_ISP_RO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GGA693_PRS_type_ISP_ROC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191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A7B7C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right="0" w:firstLine="1920" w:firstLineChars="8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                     B                  C</w:t>
      </w:r>
    </w:p>
    <w:p w14:paraId="28E66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4"/>
          <w:szCs w:val="24"/>
          <w:shd w:val="clear" w:fill="FFFFFF"/>
        </w:rPr>
        <w:t>Supplementary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Fig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S4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ROC curve analysis of the ISP score to distinguish between primary and recurrent GBM patients in the TCGA (A) and  CGGA325 (B) cohorts</w:t>
      </w:r>
    </w:p>
    <w:p w14:paraId="3BC533FD">
      <w:pPr>
        <w:jc w:val="both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59260A"/>
    <w:rsid w:val="05164994"/>
    <w:rsid w:val="0B102933"/>
    <w:rsid w:val="0F772484"/>
    <w:rsid w:val="13794251"/>
    <w:rsid w:val="13FC6FDA"/>
    <w:rsid w:val="147A2487"/>
    <w:rsid w:val="1BAB789B"/>
    <w:rsid w:val="24701257"/>
    <w:rsid w:val="24E32997"/>
    <w:rsid w:val="27C53DAD"/>
    <w:rsid w:val="2A357DCE"/>
    <w:rsid w:val="310D5C8E"/>
    <w:rsid w:val="4159260A"/>
    <w:rsid w:val="42091470"/>
    <w:rsid w:val="4E146B80"/>
    <w:rsid w:val="67AF7EF7"/>
    <w:rsid w:val="6A48066B"/>
    <w:rsid w:val="6E8F6156"/>
    <w:rsid w:val="72225337"/>
    <w:rsid w:val="749A217F"/>
    <w:rsid w:val="75A4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</Words>
  <Characters>830</Characters>
  <Lines>0</Lines>
  <Paragraphs>0</Paragraphs>
  <TotalTime>1</TotalTime>
  <ScaleCrop>false</ScaleCrop>
  <LinksUpToDate>false</LinksUpToDate>
  <CharactersWithSpaces>1206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2026-03-28T23:16:00Z</dcterms:created>
  <dc:creator>潘翠翠</dc:creator>
  <cp:lastModifiedBy>潘翠翠</cp:lastModifiedBy>
  <dcterms:modified xsi:type="dcterms:W3CDTF">2026-05-31T15:27:03Z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02CA65769B35476B90D53219AFFDADA1_13</vt:lpwstr>
  </property>
  <property fmtid="{D5CDD505-2E9C-101B-9397-08002B2CF9AE}" pid="4" name="KSOTemplateDocerSaveRecord">
    <vt:lpwstr>eyJoZGlkIjoiZGFjNjlkMzZmNDY4ZjJhZWVmYjI4OWM0YTIxZTVmNDMiLCJ1c2VySWQiOiI2Mzk4NzkzOTAifQ==</vt:lpwstr>
  </property>
</Properties>
</file>