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05D17">
      <w:pPr>
        <w:spacing w:line="480" w:lineRule="auto" w:before="0" w:after="0"/>
        <w:jc w:val="both"/>
        <w:rPr>
          <w:i w:val="0"/>
          <w:iCs/>
        </w:rPr>
      </w:pPr>
      <w:bookmarkStart w:id="0" w:name="_GoBack"/>
      <w:r>
        <w:rPr>
          <w:rFonts w:ascii="Times New Roman" w:hAnsi="Times New Roman" w:eastAsia="Times New Roman" w:cs="Times New Roman"/>
          <w:b/>
          <w:i w:val="0"/>
          <w:iCs/>
          <w:sz w:val="24"/>
        </w:rPr>
        <w:t>Table S5. Leave-one-county-out sensitivity analysis.</w:t>
      </w:r>
    </w:p>
    <w:bookmarkEnd w:id="0"/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3762"/>
        <w:gridCol w:w="3762"/>
      </w:tblGrid>
      <w:tr w14:paraId="18223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A6EA6A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Excluded county</w:t>
            </w:r>
          </w:p>
        </w:tc>
        <w:tc>
          <w:tcPr>
            <w:tcW w:w="3762" w:type="dxa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575318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Model 1, Vaccination × Time estimate</w:t>
            </w:r>
            <w:r>
              <w:rPr>
                <w:rFonts w:ascii="Times New Roman" w:hAnsi="Times New Roman" w:eastAsia="Times New Roman" w:cs="Times New Roman"/>
                <w:b/>
                <w:sz w:val="1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sz w:val="21"/>
              </w:rPr>
              <w:t>(95% CI)</w:t>
            </w:r>
          </w:p>
        </w:tc>
        <w:tc>
          <w:tcPr>
            <w:tcW w:w="3762" w:type="dxa"/>
            <w:tcBorders>
              <w:top w:val="single" w:color="000000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037B2E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CSA ATT</w:t>
            </w:r>
            <w:r>
              <w:rPr>
                <w:rFonts w:ascii="Times New Roman" w:hAnsi="Times New Roman" w:eastAsia="Times New Roman" w:cs="Times New Roman"/>
                <w:b/>
                <w:sz w:val="1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sz w:val="21"/>
              </w:rPr>
              <w:t>(95% CI)</w:t>
            </w:r>
          </w:p>
        </w:tc>
      </w:tr>
      <w:tr w14:paraId="2D18B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B32FEF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Yifeng</w:t>
            </w:r>
          </w:p>
        </w:tc>
        <w:tc>
          <w:tcPr>
            <w:tcW w:w="376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C0394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-0.599** (-0.956 to -0.242)</w:t>
            </w:r>
          </w:p>
        </w:tc>
        <w:tc>
          <w:tcPr>
            <w:tcW w:w="376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AFD1BF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-4.561*** (-7.209 to -1.914)</w:t>
            </w:r>
          </w:p>
        </w:tc>
      </w:tr>
      <w:tr w14:paraId="3D4CE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BB62F3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Xinjian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0038D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-0.761*** (-1.149 to -0.372)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497DB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-4.044*** (-7.052 to -1.037)</w:t>
            </w:r>
          </w:p>
        </w:tc>
      </w:tr>
      <w:tr w14:paraId="6A799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9B641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Wuning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28BB5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-0.867** (-1.515 to -0.218)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FA101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-0.394 (-4.360 to 3.572)</w:t>
            </w:r>
          </w:p>
        </w:tc>
      </w:tr>
      <w:tr w14:paraId="43EC6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5CB947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Shanggao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B7DCB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-0.672** (-1.158 to -0.186)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0C03A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-3.692*** (-6.493 to -0.890)</w:t>
            </w:r>
          </w:p>
        </w:tc>
      </w:tr>
      <w:tr w14:paraId="14F6B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2450B1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Jing'an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A52EB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-0.691** (-1.072 to -0.310)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096ED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-3.905** (-6.946 to -0.864)</w:t>
            </w:r>
          </w:p>
        </w:tc>
      </w:tr>
      <w:tr w14:paraId="26145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346B0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Gao'an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93FC5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-0.832*** (-1.173 to -0.492)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7C243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-4.518*** (-6.192 to -2.844)</w:t>
            </w:r>
          </w:p>
        </w:tc>
      </w:tr>
      <w:tr w14:paraId="1B188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9FA90F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Fengxin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1375A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-0.775*** (-1.137 to -0.412)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483F6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-4.194*** (-7.344 to -1.044)</w:t>
            </w:r>
          </w:p>
        </w:tc>
      </w:tr>
      <w:tr w14:paraId="7FCC8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D81D42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Excl. Anyi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4F5C6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-0.639** (-0.988 to -0.289)</w:t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2F5DB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-2.869*** (-4.224 to -1.515)</w:t>
            </w:r>
          </w:p>
        </w:tc>
      </w:tr>
      <w:tr w14:paraId="2B2BE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D957D6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Full sample (all 8 counties)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61E78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-0.718** (-1.084 to -0.352)</w:t>
            </w:r>
          </w:p>
        </w:tc>
        <w:tc>
          <w:tcPr>
            <w:tcW w:w="3762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921E5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-3.998*** (-6.621 to -1.374)</w:t>
            </w:r>
          </w:p>
        </w:tc>
      </w:tr>
    </w:tbl>
    <w:p w14:paraId="3C1B0911">
      <w:pPr>
        <w:spacing w:line="240" w:lineRule="auto" w:before="0" w:after="0"/>
      </w:pPr>
      <w:r>
        <w:rPr>
          <w:rFonts w:ascii="Times New Roman" w:hAnsi="Times New Roman" w:eastAsia="Times New Roman" w:cs="Times New Roman"/>
          <w:b w:val="0"/>
          <w:sz w:val="18"/>
        </w:rPr>
        <w:t>Note: Each row excludes one of the eight Cluster I counties. The linear estimate is the Vaccination × Time coefficient from Model 1 (preferred; ages 15–59 years, RHCR-adjusted, county fixed effects, county-clustered standard errors), expressed as the annual change in incidence slope per 100,000. The CSA estimate is the overall ATT from the Callaway–Sant’Anna estimator using not-yet-treated counties as controls; it is a different estimand. Full-sample reference estimates were −0.718 for Model 1 and −4.00 for CSA. All eight leave-one-county-out estimates remained negative. County names are romanized in pinyin. † P &lt; 0.10, * P &lt; 0.05, ** P &lt; 0.01, *** P &lt; 0.001.</w:t>
      </w:r>
    </w:p>
    <w:sectPr>
      <w:pgSz w:w="12240" w:h="15840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A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1230</Characters>
  <Lines>0</Lines>
  <Paragraphs>0</Paragraphs>
  <TotalTime>0</TotalTime>
  <ScaleCrop>false</ScaleCrop>
  <LinksUpToDate>false</LinksUpToDate>
  <CharactersWithSpaces>1413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李紫芬</cp:lastModifiedBy>
  <dcterms:modified xsi:type="dcterms:W3CDTF">2026-08-11T02:18:29Z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eyJoZGlkIjoiMzdkNTczZmQ3ZTkyZWJkMzBkNTA0YzFjM2FjZjg1NDkiLCJ1c2VySWQiOiI0NzgxNTc0MzgifQ==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2F234750BCD149B4B729B9E4A61D73A8_12</vt:lpwstr>
  </property>
</Properties>
</file>