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019F9">
      <w:pPr>
        <w:spacing w:before="0" w:after="0" w:line="48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Table S1. Joinpoint APC and AAPC estimates by endemic cluster.</w:t>
      </w:r>
    </w:p>
    <w:tbl>
      <w:tblPr>
        <w:tblStyle w:val="2"/>
        <w:tblW w:w="9360" w:type="dxa"/>
        <w:tblInd w:w="-109" w:type="dxa"/>
        <w:tblBorders>
          <w:top w:val="none" w:color="auto" w:sz="24" w:space="0"/>
          <w:left w:val="none" w:color="auto" w:sz="0" w:space="0"/>
          <w:bottom w:val="none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800"/>
        <w:gridCol w:w="1500"/>
        <w:gridCol w:w="2050"/>
        <w:gridCol w:w="2050"/>
        <w:gridCol w:w="760"/>
      </w:tblGrid>
      <w:tr w14:paraId="5942901D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220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73CE0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Population subgroup</w:t>
            </w:r>
          </w:p>
        </w:tc>
        <w:tc>
          <w:tcPr>
            <w:tcW w:w="80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8EDFC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Cluster</w:t>
            </w:r>
          </w:p>
        </w:tc>
        <w:tc>
          <w:tcPr>
            <w:tcW w:w="150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18ED5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Segment (calendar years)</w:t>
            </w:r>
          </w:p>
        </w:tc>
        <w:tc>
          <w:tcPr>
            <w:tcW w:w="205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CF9B0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APC (95% CI), %</w:t>
            </w:r>
          </w:p>
        </w:tc>
        <w:tc>
          <w:tcPr>
            <w:tcW w:w="205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CD375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AAPC (95% CI), %</w:t>
            </w:r>
          </w:p>
        </w:tc>
        <w:tc>
          <w:tcPr>
            <w:tcW w:w="76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090AF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P for AAPC</w:t>
            </w:r>
          </w:p>
        </w:tc>
      </w:tr>
      <w:tr w14:paraId="28EDFE96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137DEF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EED1D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7CCDA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2005–2017</w:t>
            </w:r>
          </w:p>
        </w:tc>
        <w:tc>
          <w:tcPr>
            <w:tcW w:w="205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A7D6F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+4.36 (+1.47, +8.67)*</w:t>
            </w:r>
          </w:p>
        </w:tc>
        <w:tc>
          <w:tcPr>
            <w:tcW w:w="205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FA172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0F239B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71648390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7A373E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9CA7A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9892E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2018–2024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2F707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−17.47 (−28.68, −11.62)*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B0358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83B0F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4C2F4370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3C15A4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49B5F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68FA59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DDEFE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0A80DE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−4.28 (−7.27, −2.18)*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B7F9E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&lt;0.001</w:t>
            </w:r>
          </w:p>
        </w:tc>
      </w:tr>
      <w:tr w14:paraId="601FDA52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3E0AA2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2D3A2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4F272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9365A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+2.18 (−0.62, +15.86)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203FA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CFFA0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59B34BB8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80E527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B7EFD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EBE84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2020–2024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D1680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−14.63 (−49.06, −2.80)*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9CB7C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2885A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63120306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9CFFBC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DBF51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4BC10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C9C59A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57B5F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−2.54 (−7.08, +1.57)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2C4CA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0.147</w:t>
            </w:r>
          </w:p>
        </w:tc>
      </w:tr>
      <w:tr w14:paraId="23406D41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CEB34B9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F14DD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F2068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2A8B20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+9.94 (+4.51, +22.91)*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DB17B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1DDF0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255BD2EB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C21100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92A7B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89D92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2017–2024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F5F45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−12.87 (−33.43, −5.19)*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28B46B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89583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0C7768F8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32A349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Total (age-standardized)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98E46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10321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18B60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327F04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−0.32 (−6.41, +4.22)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C616A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0.849</w:t>
            </w:r>
          </w:p>
        </w:tc>
      </w:tr>
      <w:tr w14:paraId="30DB9187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53F17F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F5248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9F728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DCF78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+9.12 (+5.22, +16.08)*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70A50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73B9F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7A7E26D9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35B5595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2F197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4300E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2019–2024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44210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−25.96 (−46.21, −15.62)*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99775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32B8B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0DB0D997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D7C7F8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BD6E9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F7163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AC5C7B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2262B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−3.46 (−8.87, +0.39)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99950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0.076</w:t>
            </w:r>
          </w:p>
        </w:tc>
      </w:tr>
      <w:tr w14:paraId="5939012F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47FC74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349AA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905B2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A3136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−5.19 (−27.50, +1.59)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B2E95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B78D5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07FF8C0F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816C54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03291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A6598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2016–2019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CA4BF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+30.29 (+6.41, +68.50)*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8D402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B4C7E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4FC7EA15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F96E8E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4520C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37DA4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2020–2024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C6187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−28.80 (−53.20, −18.15)*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FAE1C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5E3AE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1F4858E1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A6C7F5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F594E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9F353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C2888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26C54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−5.99 (−11.96, −2.96)*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E9E9F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0.002</w:t>
            </w:r>
          </w:p>
        </w:tc>
      </w:tr>
      <w:tr w14:paraId="669150A5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3BE1C2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C090D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EC5E8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0FFC7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+14.81 (+8.09, +70.01)*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B14CC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14B44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46B2225C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DAB1D0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8EBA8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3F603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2020–2024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D0BBA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−33.84 (−91.05, −2.56)*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3FCD3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2735E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1B921218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DC340E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0–14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F698E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CF376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9EA1A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7B77E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−0.69 (−15.45, +18.27)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8C528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0.870</w:t>
            </w:r>
          </w:p>
        </w:tc>
      </w:tr>
      <w:tr w14:paraId="2D8C2E31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5E05DB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37912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FD26E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2005–2017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E884C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+1.26 (−1.48, +5.79)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54286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6DB00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5672828F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59E830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E3FEE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173448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2018–2024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C8746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−16.38 (−32.12, −10.18)*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82C21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832AC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682A3A70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06D5A8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8E418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03EBF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60628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02584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−5.64 (−9.45, −3.45)*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11C92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0.006</w:t>
            </w:r>
          </w:p>
        </w:tc>
      </w:tr>
      <w:tr w14:paraId="158D9A9A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2F3532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EBA8F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FA7E3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2005–2009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6D0E8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−15.03 (−42.90, +6.74)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E5800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8ED47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267D6448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D8073C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02EB5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41FA1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2010–2012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1FF42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+33.27 (−23.68, +60.72)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11613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93ABA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726027EC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8C3E8B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4BDB8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F6F70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2013–2024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026BB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−5.42 (−13.56, +13.54)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B574B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24835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390C93EE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8B1390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ADF81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0EAF55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66BEBD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5B9A8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−2.39 (−5.39, +1.06)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247EA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0.124</w:t>
            </w:r>
          </w:p>
        </w:tc>
      </w:tr>
      <w:tr w14:paraId="43BB26B9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1CB3D33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601F1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FF68B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FD3C4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+7.16 (+2.08, +27.14)*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5092B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20D07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4871A6B7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B9FA7F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3202E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90254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2017–2024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F3317D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−10.45 (−62.59, −2.52)*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2FF21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0DC801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4A06F4EE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541B13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15–59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CA210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72BA5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D92BD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3C046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−0.64 (−8.35, +4.52)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C8405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0.661</w:t>
            </w:r>
          </w:p>
        </w:tc>
      </w:tr>
      <w:tr w14:paraId="174BE5EA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6DD75D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8729F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6EE66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26E87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+13.15 (+8.58, +23.27)*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A407C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D1AE3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7695595C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613A8C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7D198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518FF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2016–2024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D720D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−9.68 (−16.15, −5.48)*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FB099C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D48CC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0039CC64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07D394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FC6AA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18F69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05D18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E298A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+1.69 (−0.85, +5.10)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68296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0.144</w:t>
            </w:r>
          </w:p>
        </w:tc>
      </w:tr>
      <w:tr w14:paraId="2BBE8C60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77A7F7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FEDF8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7D5D9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444A3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+16.92 (+3.62, +103.37)*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1FC39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07C15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08A6B4C9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861002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A9641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7CCC7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2013–2024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9C2B0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−5.33 (−20.33, −1.07)*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38BCA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40932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3E5D6B9A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C736E1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201C3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464BC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EA1A0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94D080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+2.33 (−2.61, +9.98)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BFE2A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0.213</w:t>
            </w:r>
          </w:p>
        </w:tc>
      </w:tr>
      <w:tr w14:paraId="28720FA9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353739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98E9E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028CF0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2005–2013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16913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+28.87 (+14.69, +85.45)*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CEFDB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3BD14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7BAB640E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076701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334C6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B014F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2014–2024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B3802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−7.60 (−15.91, −2.40)*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B0F10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00086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</w:tr>
      <w:tr w14:paraId="6C260C48">
        <w:tblPrEx>
          <w:tblBorders>
            <w:top w:val="none" w:color="auto" w:sz="24" w:space="0"/>
            <w:left w:val="none" w:color="auto" w:sz="0" w:space="0"/>
            <w:bottom w:val="non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73496B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sz w:val="21"/>
              </w:rPr>
              <w:t>≥60 years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949E9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III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7A445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AAPC (2005–2024)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4175AF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—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1C63B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+6.29 (+1.59, +15.76)*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3F1B0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sz w:val="21"/>
              </w:rPr>
              <w:t>0.021</w:t>
            </w:r>
          </w:p>
        </w:tc>
      </w:tr>
    </w:tbl>
    <w:p w14:paraId="6ADB3185">
      <w:pPr>
        <w:spacing w:before="0" w:after="0" w:line="240" w:lineRule="auto"/>
        <w:ind w:left="240"/>
      </w:pPr>
      <w:r>
        <w:rPr>
          <w:rFonts w:ascii="Times New Roman" w:hAnsi="Times New Roman" w:eastAsia="Times New Roman" w:cs="Times New Roman"/>
          <w:b w:val="0"/>
          <w:sz w:val="18"/>
        </w:rPr>
        <w:t>1. * Statistically significant at P &lt; 0.05.</w:t>
      </w:r>
    </w:p>
    <w:p w14:paraId="2E0E7901">
      <w:pPr>
        <w:spacing w:before="0" w:after="0" w:line="240" w:lineRule="auto"/>
        <w:ind w:left="240"/>
      </w:pPr>
      <w:r>
        <w:rPr>
          <w:rFonts w:ascii="Times New Roman" w:hAnsi="Times New Roman" w:eastAsia="Times New Roman" w:cs="Times New Roman"/>
          <w:b w:val="0"/>
          <w:sz w:val="18"/>
        </w:rPr>
        <w:t>2. AAPC, average annual percent change, computed as 100 × (e^β − 1); 95% confidence intervals are shown in parentheses.</w:t>
      </w:r>
    </w:p>
    <w:p w14:paraId="7B821712">
      <w:pPr>
        <w:spacing w:before="0" w:after="0" w:line="240" w:lineRule="auto"/>
        <w:ind w:left="240"/>
      </w:pPr>
      <w:r>
        <w:rPr>
          <w:rFonts w:ascii="Times New Roman" w:hAnsi="Times New Roman" w:eastAsia="Times New Roman" w:cs="Times New Roman"/>
          <w:b w:val="0"/>
          <w:sz w:val="18"/>
        </w:rPr>
        <w:t>3. Cluster I, II and III denote the three HFRS aggregation areas identified by SaTScan space–time scan (Yang et al., 2020, Sci Rep).</w:t>
      </w:r>
    </w:p>
    <w:p w14:paraId="1D5BA244">
      <w:pPr>
        <w:spacing w:before="0" w:after="0" w:line="240" w:lineRule="auto"/>
        <w:ind w:left="240"/>
      </w:pPr>
      <w:r>
        <w:rPr>
          <w:rFonts w:ascii="Times New Roman" w:hAnsi="Times New Roman" w:eastAsia="Times New Roman" w:cs="Times New Roman"/>
          <w:b w:val="0"/>
          <w:sz w:val="18"/>
        </w:rPr>
        <w:t>4. Total = age-standardized incidence (Segi world standard population); age-specific strata are based on crude incidence.</w:t>
      </w:r>
    </w:p>
    <w:p w14:paraId="32AE72AF">
      <w:pPr>
        <w:spacing w:before="0" w:after="0" w:line="240" w:lineRule="auto"/>
        <w:ind w:left="240"/>
      </w:pPr>
      <w:r>
        <w:rPr>
          <w:rFonts w:ascii="Times New Roman" w:hAnsi="Times New Roman" w:eastAsia="Times New Roman" w:cs="Times New Roman"/>
          <w:b w:val="0"/>
          <w:sz w:val="18"/>
        </w:rPr>
        <w:t>5. Source data: China Information System for Disease Control and Prevention (CISDCP).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63F12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18"/>
      <w:szCs w:val="18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460</Words>
  <Characters>2402</Characters>
  <TotalTime>0</TotalTime>
  <ScaleCrop>false</ScaleCrop>
  <LinksUpToDate>false</LinksUpToDate>
  <CharactersWithSpaces>2622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2026-08-11T02:13:08Z</dcterms:created>
  <dc:creator>Administrator</dc:creator>
  <cp:lastModifiedBy>李紫芬</cp:lastModifiedBy>
  <dcterms:modified xsi:type="dcterms:W3CDTF">2026-08-11T02:13:50Z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eyJoZGlkIjoiMzdkNTczZmQ3ZTkyZWJkMzBkNTA0YzFjM2FjZjg1NDkiLCJ1c2VySWQiOiI0NzgxNTc0MzgifQ==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1CB6C6BDAFFE443B86778E95630CB440_12</vt:lpwstr>
  </property>
</Properties>
</file>