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EC4D94">
      <w:pPr>
        <w:spacing w:line="480" w:lineRule="auto" w:before="0" w:after="0"/>
      </w:pPr>
      <w:r>
        <w:rPr>
          <w:rFonts w:ascii="Times New Roman" w:hAnsi="Times New Roman" w:eastAsia="Times New Roman" w:cs="Times New Roman"/>
          <w:b/>
          <w:sz w:val="24"/>
        </w:rPr>
        <w:t>Table S4. Goodman–Bacon decomposition of the TWFE estimator.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8"/>
        <w:gridCol w:w="1728"/>
        <w:gridCol w:w="1728"/>
        <w:gridCol w:w="1728"/>
        <w:gridCol w:w="1728"/>
      </w:tblGrid>
      <w:tr w14:paraId="74F4CE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8" w:type="dxa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</w:tcPr>
          <w:p w14:paraId="0346294C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1"/>
              </w:rPr>
              <w:t>Comparison type</w:t>
            </w:r>
          </w:p>
        </w:tc>
        <w:tc>
          <w:tcPr>
            <w:tcW w:w="1728" w:type="dxa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</w:tcPr>
          <w:p w14:paraId="105BEB0D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1"/>
              </w:rPr>
              <w:t>Total weight</w:t>
            </w:r>
          </w:p>
        </w:tc>
        <w:tc>
          <w:tcPr>
            <w:tcW w:w="1728" w:type="dxa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</w:tcPr>
          <w:p w14:paraId="011ECAC5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1"/>
              </w:rPr>
              <w:t>Weight (%)</w:t>
            </w:r>
          </w:p>
        </w:tc>
        <w:tc>
          <w:tcPr>
            <w:tcW w:w="1728" w:type="dxa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</w:tcPr>
          <w:p w14:paraId="12EDA4BA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1"/>
              </w:rPr>
              <w:t>Weighted mean 2×2 DID estimate</w:t>
            </w:r>
          </w:p>
        </w:tc>
        <w:tc>
          <w:tcPr>
            <w:tcW w:w="1728" w:type="dxa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</w:tcPr>
          <w:p w14:paraId="7AB8EC2D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1"/>
              </w:rPr>
              <w:t>No. of comparisons</w:t>
            </w:r>
          </w:p>
        </w:tc>
      </w:tr>
      <w:tr w14:paraId="2716BE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2B7FB810">
            <w:pPr>
              <w:spacing w:line="240" w:lineRule="auto" w:before="0" w:after="0"/>
              <w:jc w:val="left"/>
            </w:pPr>
            <w:r>
              <w:rPr>
                <w:rFonts w:ascii="Times New Roman" w:hAnsi="Times New Roman" w:eastAsia="Times New Roman" w:cs="Times New Roman"/>
                <w:sz w:val="21"/>
              </w:rPr>
              <w:t>Later vs earlier treated (negative weights)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7240C304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0.448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1B1BFBC3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44.8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59FA432A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2.203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548F9E1C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6</w:t>
            </w:r>
          </w:p>
        </w:tc>
      </w:tr>
      <w:tr w14:paraId="4DA85C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5F29AB4C">
            <w:pPr>
              <w:spacing w:line="240" w:lineRule="auto" w:before="0" w:after="0"/>
              <w:jc w:val="left"/>
            </w:pPr>
            <w:r>
              <w:rPr>
                <w:rFonts w:ascii="Times New Roman" w:hAnsi="Times New Roman" w:eastAsia="Times New Roman" w:cs="Times New Roman"/>
                <w:sz w:val="21"/>
              </w:rPr>
              <w:t>Treated vs never-treated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3C8C3E81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0.333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4CEFA333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33.3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5386AB9E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-0.372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470A05CE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4</w:t>
            </w:r>
          </w:p>
        </w:tc>
      </w:tr>
      <w:tr w14:paraId="3C84C9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50FAB27A">
            <w:pPr>
              <w:spacing w:line="240" w:lineRule="auto" w:before="0" w:after="0"/>
              <w:jc w:val="left"/>
            </w:pPr>
            <w:r>
              <w:rPr>
                <w:rFonts w:ascii="Times New Roman" w:hAnsi="Times New Roman" w:eastAsia="Times New Roman" w:cs="Times New Roman"/>
                <w:sz w:val="21"/>
              </w:rPr>
              <w:t>Earlier vs later treated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6D9B25AF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0.218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17CEBDDD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21.8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4965F3F5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-1.717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4EDB7D31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6</w:t>
            </w:r>
          </w:p>
        </w:tc>
      </w:tr>
      <w:tr w14:paraId="1590BF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8" w:type="dxa"/>
            <w:tcBorders>
              <w:top w:val="nil"/>
              <w:left w:val="nil"/>
              <w:bottom w:val="single" w:color="000000" w:sz="12" w:space="0"/>
              <w:right w:val="nil"/>
            </w:tcBorders>
          </w:tcPr>
          <w:p w14:paraId="4276C7AB">
            <w:pPr>
              <w:spacing w:line="240" w:lineRule="auto" w:before="0" w:after="0"/>
              <w:jc w:val="left"/>
              <w:rPr>
                <w:b w:val="0"/>
                <w:bCs/>
              </w:rPr>
            </w:pPr>
            <w:bookmarkStart w:id="0" w:name="_GoBack" w:colFirst="0" w:colLast="4"/>
            <w:r>
              <w:rPr>
                <w:rFonts w:ascii="Times New Roman" w:hAnsi="Times New Roman" w:eastAsia="Times New Roman" w:cs="Times New Roman"/>
                <w:b w:val="0"/>
                <w:bCs/>
                <w:sz w:val="21"/>
              </w:rPr>
              <w:t>Overall (TWFE estimate)</w:t>
            </w:r>
          </w:p>
        </w:tc>
        <w:tc>
          <w:tcPr>
            <w:tcW w:w="1728" w:type="dxa"/>
            <w:tcBorders>
              <w:top w:val="nil"/>
              <w:left w:val="nil"/>
              <w:bottom w:val="single" w:color="000000" w:sz="12" w:space="0"/>
              <w:right w:val="nil"/>
            </w:tcBorders>
          </w:tcPr>
          <w:p w14:paraId="033A413B">
            <w:pPr>
              <w:spacing w:line="240" w:lineRule="auto" w:before="0" w:after="0"/>
              <w:jc w:val="center"/>
              <w:rPr>
                <w:b w:val="0"/>
                <w:bCs/>
              </w:rPr>
            </w:pPr>
            <w:r>
              <w:rPr>
                <w:rFonts w:ascii="Times New Roman" w:hAnsi="Times New Roman" w:eastAsia="Times New Roman" w:cs="Times New Roman"/>
                <w:b w:val="0"/>
                <w:bCs/>
                <w:sz w:val="21"/>
              </w:rPr>
              <w:t>—</w:t>
            </w:r>
          </w:p>
        </w:tc>
        <w:tc>
          <w:tcPr>
            <w:tcW w:w="1728" w:type="dxa"/>
            <w:tcBorders>
              <w:top w:val="nil"/>
              <w:left w:val="nil"/>
              <w:bottom w:val="single" w:color="000000" w:sz="12" w:space="0"/>
              <w:right w:val="nil"/>
            </w:tcBorders>
          </w:tcPr>
          <w:p w14:paraId="2C3BD8BC">
            <w:pPr>
              <w:spacing w:line="240" w:lineRule="auto" w:before="0" w:after="0"/>
              <w:jc w:val="center"/>
              <w:rPr>
                <w:b w:val="0"/>
                <w:bCs/>
              </w:rPr>
            </w:pPr>
            <w:r>
              <w:rPr>
                <w:rFonts w:ascii="Times New Roman" w:hAnsi="Times New Roman" w:eastAsia="Times New Roman" w:cs="Times New Roman"/>
                <w:b w:val="0"/>
                <w:bCs/>
                <w:sz w:val="21"/>
              </w:rPr>
              <w:t>100.0</w:t>
            </w:r>
          </w:p>
        </w:tc>
        <w:tc>
          <w:tcPr>
            <w:tcW w:w="1728" w:type="dxa"/>
            <w:tcBorders>
              <w:top w:val="nil"/>
              <w:left w:val="nil"/>
              <w:bottom w:val="single" w:color="000000" w:sz="12" w:space="0"/>
              <w:right w:val="nil"/>
            </w:tcBorders>
          </w:tcPr>
          <w:p w14:paraId="7F899321">
            <w:pPr>
              <w:spacing w:line="240" w:lineRule="auto" w:before="0" w:after="0"/>
              <w:jc w:val="center"/>
              <w:rPr>
                <w:b w:val="0"/>
                <w:bCs/>
              </w:rPr>
            </w:pPr>
            <w:r>
              <w:rPr>
                <w:rFonts w:ascii="Times New Roman" w:hAnsi="Times New Roman" w:eastAsia="Times New Roman" w:cs="Times New Roman"/>
                <w:b w:val="0"/>
                <w:bCs/>
                <w:sz w:val="21"/>
              </w:rPr>
              <w:t>0.489</w:t>
            </w:r>
          </w:p>
        </w:tc>
        <w:tc>
          <w:tcPr>
            <w:tcW w:w="1728" w:type="dxa"/>
            <w:tcBorders>
              <w:top w:val="nil"/>
              <w:left w:val="nil"/>
              <w:bottom w:val="single" w:color="000000" w:sz="12" w:space="0"/>
              <w:right w:val="nil"/>
            </w:tcBorders>
          </w:tcPr>
          <w:p w14:paraId="4D4FE826">
            <w:pPr>
              <w:spacing w:line="240" w:lineRule="auto" w:before="0" w:after="0"/>
              <w:jc w:val="center"/>
              <w:rPr>
                <w:b w:val="0"/>
                <w:bCs/>
              </w:rPr>
            </w:pPr>
            <w:r>
              <w:rPr>
                <w:rFonts w:ascii="Times New Roman" w:hAnsi="Times New Roman" w:eastAsia="Times New Roman" w:cs="Times New Roman"/>
                <w:b w:val="0"/>
                <w:bCs/>
                <w:sz w:val="21"/>
              </w:rPr>
              <w:t>16</w:t>
            </w:r>
          </w:p>
        </w:tc>
      </w:tr>
      <w:bookmarkEnd w:id="0"/>
    </w:tbl>
    <w:p w14:paraId="6EC1B00C">
      <w:pPr>
        <w:spacing w:line="240" w:lineRule="auto" w:before="0" w:after="0"/>
        <w:rPr>
          <w:i w:val="0"/>
          <w:iCs/>
          <w:sz w:val="16"/>
          <w:szCs w:val="16"/>
        </w:rPr>
      </w:pPr>
      <w:r>
        <w:rPr>
          <w:rFonts w:ascii="Times New Roman" w:hAnsi="Times New Roman" w:eastAsia="Times New Roman" w:cs="Times New Roman"/>
          <w:sz w:val="18"/>
        </w:rPr>
        <w:t>Bacon decomposition of the standard two-way fixed-effects (TWFE) difference-in-differences estimator applied to the age 15–59 y stratum (n = 160 county-years; 8 counties × 20 y, 2005–2024). The treatment variable is the county-year vaccination status (Vaccination_implementation). The decomposition expresses the TWFE estimate as a weighted average of all 2×2 difference-in-differences comparisons. 'Negative weights' denote later-treated vs earlier-treated comparisons, which can yield upward- or downward-biased contributions under heterogeneous treatment effects. The overall TWFE estimate (+0.49 per 100,000; P = 0.710 by county-clustered standard errors) is dominated by the 44.8% weight of negative-weight comparisons (mean 2×2 = +2.20), whereas both well-behaved comparison groups (treated vs never-treated: −0.37; earlier vs later treated: −1.72) indicate a negative association between vaccination and incidence. This demonstrates that the standard TWFE estimator is affected by heterogeneous-treatment-effect weights and is therefore not our preferred specification; the main analysis instead uses the Vaccination_implementation × Time interaction and the event-study specification (Table 6 / Figure 6), which were used as complementary specifications and diagnostics.</w:t>
      </w:r>
    </w:p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6C895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uiPriority="99" w:semiHidden="0" w:name="List"/>
    <w:lsdException w:qFormat="1" w:uiPriority="99" w:semiHidden="0" w:name="List Bullet"/>
    <w:lsdException w:uiPriority="99" w:semiHidden="0" w:name="List Number"/>
    <w:lsdException w:qFormat="1" w:uiPriority="99" w:semiHidden="0" w:name="List 2"/>
    <w:lsdException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qFormat="1"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qFormat="1"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qFormat="1"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qFormat="1"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unhideWhenUsed="0" w:uiPriority="65" w:semiHidden="0" w:name="Medium List 1 Accent 3"/>
    <w:lsdException w:qFormat="1"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qFormat="1" w:unhideWhenUsed="0" w:uiPriority="61" w:semiHidden="0" w:name="Light List Accent 4"/>
    <w:lsdException w:unhideWhenUsed="0" w:uiPriority="62" w:semiHidden="0" w:name="Light Grid Accent 4"/>
    <w:lsdException w:qFormat="1" w:unhideWhenUsed="0" w:uiPriority="63" w:semiHidden="0" w:name="Medium Shading 1 Accent 4"/>
    <w:lsdException w:unhideWhenUsed="0" w:uiPriority="64" w:semiHidden="0" w:name="Medium Shading 2 Accent 4"/>
    <w:lsdException w:qFormat="1" w:unhideWhenUsed="0" w:uiPriority="65" w:semiHidden="0" w:name="Medium List 1 Accent 4"/>
    <w:lsdException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qFormat="1"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qFormat="1" w:unhideWhenUsed="0" w:uiPriority="69" w:semiHidden="0" w:name="Medium Grid 3 Accent 6"/>
    <w:lsdException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Theme="minorEastAsia" w:cstheme="minorBidi"/>
      <w:sz w:val="18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218</Words>
  <Characters>1405</Characters>
  <Lines>0</Lines>
  <Paragraphs>0</Paragraphs>
  <TotalTime>0</TotalTime>
  <ScaleCrop>false</ScaleCrop>
  <LinksUpToDate>false</LinksUpToDate>
  <CharactersWithSpaces>1596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李紫芬</cp:lastModifiedBy>
  <dcterms:modified xsi:type="dcterms:W3CDTF">2026-08-11T02:17:54Z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eyJoZGlkIjoiMzdkNTczZmQ3ZTkyZWJkMzBkNTA0YzFjM2FjZjg1NDkiLCJ1c2VySWQiOiI0NzgxNTc0MzgifQ==</vt:lpwstr>
  </property>
  <property fmtid="{D5CDD505-2E9C-101B-9397-08002B2CF9AE}" pid="3" name="KSOProductBuildVer">
    <vt:lpwstr>2052-12.1.0.28043</vt:lpwstr>
  </property>
  <property fmtid="{D5CDD505-2E9C-101B-9397-08002B2CF9AE}" pid="4" name="ICV">
    <vt:lpwstr>E2F1718C7BAF496EACA55609B437EFEE_12</vt:lpwstr>
  </property>
</Properties>
</file>